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B3" w:rsidRPr="000C2A20" w:rsidRDefault="007C6463" w:rsidP="000C2A20">
      <w:pPr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Additional file 1: </w:t>
      </w:r>
      <w:r w:rsidR="00B47063">
        <w:rPr>
          <w:rFonts w:ascii="Arial" w:eastAsia="Times New Roman" w:hAnsi="Arial" w:cs="Arial"/>
          <w:b/>
          <w:sz w:val="22"/>
        </w:rPr>
        <w:t>T</w:t>
      </w:r>
      <w:r w:rsidR="004F48B3" w:rsidRPr="000C2A20">
        <w:rPr>
          <w:rFonts w:ascii="Arial" w:eastAsia="Times New Roman" w:hAnsi="Arial" w:cs="Arial"/>
          <w:b/>
          <w:sz w:val="22"/>
        </w:rPr>
        <w:t xml:space="preserve">able </w:t>
      </w:r>
      <w:r>
        <w:rPr>
          <w:rFonts w:ascii="Arial" w:eastAsia="Times New Roman" w:hAnsi="Arial" w:cs="Arial"/>
          <w:b/>
          <w:sz w:val="22"/>
        </w:rPr>
        <w:t>S</w:t>
      </w:r>
      <w:bookmarkStart w:id="0" w:name="_GoBack"/>
      <w:bookmarkEnd w:id="0"/>
      <w:r w:rsidR="004F48B3" w:rsidRPr="000C2A20">
        <w:rPr>
          <w:rFonts w:ascii="Arial" w:eastAsia="Times New Roman" w:hAnsi="Arial" w:cs="Arial"/>
          <w:b/>
          <w:sz w:val="22"/>
        </w:rPr>
        <w:t xml:space="preserve">1: Transcription factor binding analysis of the </w:t>
      </w:r>
      <w:r w:rsidR="004F48B3" w:rsidRPr="000C2A20">
        <w:rPr>
          <w:rFonts w:ascii="Arial" w:eastAsia="Times New Roman" w:hAnsi="Arial" w:cs="Arial"/>
          <w:b/>
          <w:i/>
          <w:sz w:val="22"/>
        </w:rPr>
        <w:t>IL-7</w:t>
      </w:r>
      <w:r w:rsidR="004F48B3" w:rsidRPr="000C2A20">
        <w:rPr>
          <w:rFonts w:ascii="Arial" w:eastAsia="Times New Roman" w:hAnsi="Arial" w:cs="Arial"/>
          <w:b/>
          <w:sz w:val="22"/>
        </w:rPr>
        <w:t xml:space="preserve"> </w:t>
      </w:r>
      <w:r w:rsidR="004F48B3" w:rsidRPr="000C2A20">
        <w:rPr>
          <w:rFonts w:ascii="Arial" w:hAnsi="Arial" w:cs="Arial"/>
          <w:b/>
          <w:sz w:val="22"/>
        </w:rPr>
        <w:t xml:space="preserve">2440 A/G (rs7007634)] and amino acid change for the </w:t>
      </w:r>
      <w:r w:rsidR="004F48B3" w:rsidRPr="000C2A20">
        <w:rPr>
          <w:rFonts w:ascii="Arial" w:eastAsia="Arial Unicode MS" w:hAnsi="Arial" w:cs="Arial"/>
          <w:b/>
          <w:sz w:val="22"/>
        </w:rPr>
        <w:t>[</w:t>
      </w:r>
      <w:r w:rsidR="004F48B3" w:rsidRPr="000C2A20">
        <w:rPr>
          <w:rFonts w:ascii="Arial" w:hAnsi="Arial" w:cs="Arial"/>
          <w:b/>
          <w:sz w:val="22"/>
        </w:rPr>
        <w:t>72194T/C (rs2583759)</w:t>
      </w:r>
      <w:r w:rsidR="00423D20" w:rsidRPr="000C2A20">
        <w:rPr>
          <w:rFonts w:ascii="Arial" w:hAnsi="Arial" w:cs="Arial"/>
          <w:b/>
          <w:sz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2700"/>
        <w:gridCol w:w="3040"/>
        <w:gridCol w:w="2314"/>
      </w:tblGrid>
      <w:tr w:rsidR="004F48B3" w:rsidRPr="00A67A12" w:rsidTr="00B10626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4F48B3" w:rsidRPr="00A67A12" w:rsidRDefault="004F48B3" w:rsidP="00B10626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A67A12">
              <w:rPr>
                <w:rFonts w:ascii="Arial" w:hAnsi="Arial" w:cs="Arial"/>
                <w:b/>
                <w:sz w:val="22"/>
              </w:rPr>
              <w:t>Gene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4F48B3" w:rsidRPr="00A67A12" w:rsidRDefault="004F48B3" w:rsidP="00B106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67A12">
              <w:rPr>
                <w:rFonts w:ascii="Arial" w:hAnsi="Arial" w:cs="Arial"/>
                <w:b/>
                <w:sz w:val="22"/>
              </w:rPr>
              <w:t>SNP</w:t>
            </w:r>
          </w:p>
        </w:tc>
        <w:tc>
          <w:tcPr>
            <w:tcW w:w="3040" w:type="dxa"/>
            <w:shd w:val="clear" w:color="auto" w:fill="D9D9D9" w:themeFill="background1" w:themeFillShade="D9"/>
          </w:tcPr>
          <w:p w:rsidR="004F48B3" w:rsidRPr="00A67A12" w:rsidRDefault="004F48B3" w:rsidP="00423D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67A12">
              <w:rPr>
                <w:rFonts w:ascii="Arial" w:hAnsi="Arial" w:cs="Arial"/>
                <w:b/>
                <w:sz w:val="22"/>
              </w:rPr>
              <w:t>Major allele binding factors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4F48B3" w:rsidRPr="00A67A12" w:rsidRDefault="004F48B3" w:rsidP="00423D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67A12">
              <w:rPr>
                <w:rFonts w:ascii="Arial" w:hAnsi="Arial" w:cs="Arial"/>
                <w:b/>
                <w:sz w:val="22"/>
              </w:rPr>
              <w:t>Minor allele binding factors</w:t>
            </w:r>
          </w:p>
        </w:tc>
      </w:tr>
      <w:tr w:rsidR="004F48B3" w:rsidRPr="00A67A12" w:rsidTr="00423D20">
        <w:tc>
          <w:tcPr>
            <w:tcW w:w="1188" w:type="dxa"/>
            <w:shd w:val="clear" w:color="auto" w:fill="auto"/>
            <w:vAlign w:val="center"/>
          </w:tcPr>
          <w:p w:rsidR="004F48B3" w:rsidRPr="00A67A12" w:rsidRDefault="004F48B3" w:rsidP="00423D20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A67A12">
              <w:rPr>
                <w:rFonts w:ascii="Arial" w:hAnsi="Arial" w:cs="Arial"/>
                <w:i/>
                <w:sz w:val="22"/>
              </w:rPr>
              <w:t>IL-7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8B3" w:rsidRPr="00A67A12" w:rsidRDefault="004F48B3" w:rsidP="00423D20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67A12">
              <w:rPr>
                <w:rFonts w:ascii="Arial" w:hAnsi="Arial" w:cs="Arial"/>
                <w:sz w:val="22"/>
              </w:rPr>
              <w:t>-2440 A/G (rs7007634)</w:t>
            </w:r>
          </w:p>
        </w:tc>
        <w:tc>
          <w:tcPr>
            <w:tcW w:w="3040" w:type="dxa"/>
            <w:tcBorders>
              <w:bottom w:val="single" w:sz="4" w:space="0" w:color="000000"/>
            </w:tcBorders>
            <w:shd w:val="clear" w:color="auto" w:fill="auto"/>
          </w:tcPr>
          <w:p w:rsidR="004F48B3" w:rsidRPr="00A67A12" w:rsidRDefault="004F48B3" w:rsidP="00423D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67A12">
              <w:rPr>
                <w:rFonts w:ascii="Arial" w:hAnsi="Arial" w:cs="Arial"/>
                <w:b/>
                <w:sz w:val="22"/>
              </w:rPr>
              <w:t>A</w:t>
            </w:r>
          </w:p>
          <w:p w:rsidR="004F48B3" w:rsidRPr="00A67A12" w:rsidRDefault="004F48B3" w:rsidP="00423D20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67A12">
              <w:rPr>
                <w:rFonts w:ascii="Arial" w:hAnsi="Arial" w:cs="Arial"/>
                <w:sz w:val="22"/>
                <w:shd w:val="clear" w:color="auto" w:fill="FFFFFF"/>
              </w:rPr>
              <w:t xml:space="preserve">IRF-3, </w:t>
            </w:r>
            <w:r w:rsidRPr="00A67A12">
              <w:rPr>
                <w:rFonts w:ascii="Arial" w:hAnsi="Arial" w:cs="Arial"/>
                <w:sz w:val="22"/>
              </w:rPr>
              <w:t xml:space="preserve">c-Ets-2, </w:t>
            </w:r>
            <w:r w:rsidRPr="00A67A12">
              <w:rPr>
                <w:rFonts w:ascii="Arial" w:eastAsia="Times New Roman" w:hAnsi="Arial" w:cs="Arial"/>
                <w:color w:val="000000"/>
                <w:sz w:val="22"/>
              </w:rPr>
              <w:t>AP-2alphaA, and NF-AT1</w:t>
            </w:r>
          </w:p>
        </w:tc>
        <w:tc>
          <w:tcPr>
            <w:tcW w:w="2314" w:type="dxa"/>
            <w:tcBorders>
              <w:bottom w:val="single" w:sz="4" w:space="0" w:color="000000"/>
            </w:tcBorders>
            <w:shd w:val="clear" w:color="auto" w:fill="auto"/>
          </w:tcPr>
          <w:p w:rsidR="004F48B3" w:rsidRPr="00A67A12" w:rsidRDefault="004F48B3" w:rsidP="00423D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67A12">
              <w:rPr>
                <w:rFonts w:ascii="Arial" w:hAnsi="Arial" w:cs="Arial"/>
                <w:b/>
                <w:sz w:val="22"/>
              </w:rPr>
              <w:t>G</w:t>
            </w:r>
          </w:p>
          <w:p w:rsidR="004F48B3" w:rsidRPr="00A67A12" w:rsidRDefault="004F48B3" w:rsidP="00423D20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67A12">
              <w:rPr>
                <w:rFonts w:ascii="Arial" w:hAnsi="Arial" w:cs="Arial"/>
                <w:sz w:val="22"/>
                <w:shd w:val="clear" w:color="auto" w:fill="FFFFFF"/>
              </w:rPr>
              <w:t>Elk-1 and C/</w:t>
            </w:r>
            <w:proofErr w:type="spellStart"/>
            <w:r w:rsidRPr="00A67A12">
              <w:rPr>
                <w:rFonts w:ascii="Arial" w:hAnsi="Arial" w:cs="Arial"/>
                <w:sz w:val="22"/>
                <w:shd w:val="clear" w:color="auto" w:fill="FFFFFF"/>
              </w:rPr>
              <w:t>EBPbeta</w:t>
            </w:r>
            <w:proofErr w:type="spellEnd"/>
          </w:p>
        </w:tc>
      </w:tr>
      <w:tr w:rsidR="004F48B3" w:rsidRPr="00A67A12" w:rsidTr="00423D20">
        <w:tc>
          <w:tcPr>
            <w:tcW w:w="1188" w:type="dxa"/>
            <w:shd w:val="clear" w:color="auto" w:fill="auto"/>
          </w:tcPr>
          <w:p w:rsidR="004F48B3" w:rsidRPr="00A67A12" w:rsidRDefault="004F48B3" w:rsidP="00423D20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4F48B3" w:rsidRPr="00A67A12" w:rsidRDefault="004F48B3" w:rsidP="00423D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40" w:type="dxa"/>
            <w:shd w:val="clear" w:color="auto" w:fill="D9D9D9" w:themeFill="background1" w:themeFillShade="D9"/>
          </w:tcPr>
          <w:p w:rsidR="004F48B3" w:rsidRPr="00A67A12" w:rsidRDefault="004F48B3" w:rsidP="00423D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67A12">
              <w:rPr>
                <w:rFonts w:ascii="Arial" w:hAnsi="Arial" w:cs="Arial"/>
                <w:b/>
                <w:sz w:val="22"/>
              </w:rPr>
              <w:t>Major allele protein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4F48B3" w:rsidRPr="00A67A12" w:rsidRDefault="004F48B3" w:rsidP="00423D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67A12">
              <w:rPr>
                <w:rFonts w:ascii="Arial" w:hAnsi="Arial" w:cs="Arial"/>
                <w:b/>
                <w:sz w:val="22"/>
              </w:rPr>
              <w:t>Minor allele protein</w:t>
            </w:r>
          </w:p>
        </w:tc>
      </w:tr>
      <w:tr w:rsidR="004F48B3" w:rsidRPr="00A67A12" w:rsidTr="00423D20">
        <w:tc>
          <w:tcPr>
            <w:tcW w:w="1188" w:type="dxa"/>
            <w:shd w:val="clear" w:color="auto" w:fill="auto"/>
            <w:vAlign w:val="center"/>
          </w:tcPr>
          <w:p w:rsidR="004F48B3" w:rsidRPr="00A67A12" w:rsidRDefault="004F48B3" w:rsidP="00423D20">
            <w:pPr>
              <w:spacing w:after="0" w:line="240" w:lineRule="auto"/>
              <w:jc w:val="left"/>
              <w:rPr>
                <w:rFonts w:ascii="Arial" w:hAnsi="Arial" w:cs="Arial"/>
                <w:i/>
                <w:sz w:val="22"/>
              </w:rPr>
            </w:pPr>
            <w:r w:rsidRPr="00A67A12">
              <w:rPr>
                <w:rFonts w:ascii="Arial" w:hAnsi="Arial" w:cs="Arial"/>
                <w:i/>
                <w:sz w:val="22"/>
              </w:rPr>
              <w:t>IL-7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8B3" w:rsidRPr="00A67A12" w:rsidRDefault="004F48B3" w:rsidP="00423D20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67A12">
              <w:rPr>
                <w:rFonts w:ascii="Arial" w:hAnsi="Arial" w:cs="Arial"/>
                <w:sz w:val="22"/>
              </w:rPr>
              <w:t>72194T/C (rs2583759)</w:t>
            </w:r>
          </w:p>
        </w:tc>
        <w:tc>
          <w:tcPr>
            <w:tcW w:w="3040" w:type="dxa"/>
            <w:shd w:val="clear" w:color="auto" w:fill="auto"/>
          </w:tcPr>
          <w:p w:rsidR="004F48B3" w:rsidRPr="00A67A12" w:rsidRDefault="004F48B3" w:rsidP="00423D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67A12">
              <w:rPr>
                <w:rFonts w:ascii="Arial" w:hAnsi="Arial" w:cs="Arial"/>
                <w:b/>
                <w:sz w:val="22"/>
              </w:rPr>
              <w:t>T</w:t>
            </w:r>
          </w:p>
          <w:p w:rsidR="004F48B3" w:rsidRPr="00A67A12" w:rsidRDefault="004F48B3" w:rsidP="00423D20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67A12">
              <w:rPr>
                <w:rFonts w:ascii="Arial" w:hAnsi="Arial" w:cs="Arial"/>
                <w:sz w:val="22"/>
                <w:shd w:val="clear" w:color="auto" w:fill="FFFFFF"/>
              </w:rPr>
              <w:t>Serine</w:t>
            </w:r>
          </w:p>
        </w:tc>
        <w:tc>
          <w:tcPr>
            <w:tcW w:w="2314" w:type="dxa"/>
            <w:shd w:val="clear" w:color="auto" w:fill="auto"/>
          </w:tcPr>
          <w:p w:rsidR="004F48B3" w:rsidRPr="00A67A12" w:rsidRDefault="004F48B3" w:rsidP="00423D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67A12">
              <w:rPr>
                <w:rFonts w:ascii="Arial" w:hAnsi="Arial" w:cs="Arial"/>
                <w:b/>
                <w:sz w:val="22"/>
              </w:rPr>
              <w:t>C</w:t>
            </w:r>
          </w:p>
          <w:p w:rsidR="004F48B3" w:rsidRPr="00A67A12" w:rsidRDefault="004F48B3" w:rsidP="00423D20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67A1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Leucine </w:t>
            </w:r>
          </w:p>
        </w:tc>
      </w:tr>
    </w:tbl>
    <w:p w:rsidR="00863FF2" w:rsidRDefault="00863FF2" w:rsidP="00B47063">
      <w:pPr>
        <w:spacing w:after="0" w:line="240" w:lineRule="auto"/>
        <w:rPr>
          <w:rFonts w:ascii="Arial" w:hAnsi="Arial" w:cs="Arial"/>
          <w:i/>
          <w:sz w:val="22"/>
        </w:rPr>
      </w:pPr>
    </w:p>
    <w:p w:rsidR="00B47063" w:rsidRDefault="00B47063" w:rsidP="00B47063">
      <w:pPr>
        <w:spacing w:after="0" w:line="240" w:lineRule="auto"/>
      </w:pPr>
      <w:r>
        <w:rPr>
          <w:rFonts w:ascii="Arial" w:hAnsi="Arial" w:cs="Arial"/>
          <w:i/>
          <w:sz w:val="22"/>
        </w:rPr>
        <w:t>I</w:t>
      </w:r>
      <w:r w:rsidRPr="00A67A12">
        <w:rPr>
          <w:rFonts w:ascii="Arial" w:hAnsi="Arial" w:cs="Arial"/>
          <w:i/>
          <w:sz w:val="22"/>
        </w:rPr>
        <w:t>n-silico</w:t>
      </w:r>
      <w:r w:rsidRPr="00A67A12">
        <w:rPr>
          <w:rFonts w:ascii="Arial" w:hAnsi="Arial" w:cs="Arial"/>
          <w:sz w:val="22"/>
        </w:rPr>
        <w:t xml:space="preserve"> transcription factor binding site (TFBSs) analyses </w:t>
      </w:r>
      <w:r w:rsidR="00863FF2">
        <w:rPr>
          <w:rFonts w:ascii="Arial" w:hAnsi="Arial" w:cs="Arial"/>
          <w:sz w:val="22"/>
        </w:rPr>
        <w:t>were</w:t>
      </w:r>
      <w:r>
        <w:rPr>
          <w:rFonts w:ascii="Arial" w:hAnsi="Arial" w:cs="Arial"/>
          <w:sz w:val="22"/>
        </w:rPr>
        <w:t xml:space="preserve"> performed </w:t>
      </w:r>
      <w:r w:rsidRPr="00A67A12">
        <w:rPr>
          <w:rFonts w:ascii="Arial" w:hAnsi="Arial" w:cs="Arial"/>
          <w:sz w:val="22"/>
        </w:rPr>
        <w:t>on the region encompassing the promoter variant using TRANSFAC</w:t>
      </w:r>
      <w:r>
        <w:rPr>
          <w:rFonts w:ascii="Arial" w:hAnsi="Arial" w:cs="Arial"/>
          <w:sz w:val="22"/>
        </w:rPr>
        <w:t xml:space="preserve"> </w:t>
      </w:r>
      <w:r w:rsidR="00863FF2">
        <w:rPr>
          <w:rFonts w:ascii="Arial" w:hAnsi="Arial" w:cs="Arial"/>
          <w:sz w:val="22"/>
        </w:rPr>
        <w:t>to determine potential g</w:t>
      </w:r>
      <w:r w:rsidRPr="00A67A12">
        <w:rPr>
          <w:rFonts w:ascii="Arial" w:hAnsi="Arial" w:cs="Arial"/>
          <w:sz w:val="22"/>
        </w:rPr>
        <w:t>ain or loss of binding for transcription factors (TFs) due to SNP variation</w:t>
      </w:r>
      <w:r w:rsidR="00340FF1">
        <w:rPr>
          <w:rFonts w:ascii="Arial" w:hAnsi="Arial" w:cs="Arial"/>
          <w:sz w:val="22"/>
        </w:rPr>
        <w:t xml:space="preserve">.  </w:t>
      </w:r>
      <w:r w:rsidR="00340FF1" w:rsidRPr="00340FF1">
        <w:rPr>
          <w:rFonts w:ascii="Arial" w:hAnsi="Arial" w:cs="Arial"/>
          <w:bCs/>
          <w:sz w:val="22"/>
          <w:shd w:val="clear" w:color="auto" w:fill="FFFFFF"/>
        </w:rPr>
        <w:t>I</w:t>
      </w:r>
      <w:r w:rsidR="00340FF1" w:rsidRPr="00340FF1">
        <w:rPr>
          <w:rFonts w:ascii="Arial" w:hAnsi="Arial" w:cs="Arial"/>
          <w:sz w:val="22"/>
          <w:shd w:val="clear" w:color="auto" w:fill="FFFFFF"/>
        </w:rPr>
        <w:t xml:space="preserve">RF-3, interferon regulatory transcription factor; </w:t>
      </w:r>
      <w:r w:rsidR="00340FF1" w:rsidRPr="00340FF1">
        <w:rPr>
          <w:rFonts w:ascii="Arial" w:hAnsi="Arial" w:cs="Arial"/>
          <w:sz w:val="22"/>
        </w:rPr>
        <w:t xml:space="preserve">c-Ets-2, </w:t>
      </w:r>
      <w:r w:rsidR="00340FF1" w:rsidRPr="00340FF1">
        <w:rPr>
          <w:rFonts w:ascii="Arial" w:hAnsi="Arial" w:cs="Arial"/>
          <w:bCs/>
          <w:sz w:val="22"/>
          <w:shd w:val="clear" w:color="auto" w:fill="FFFFFF"/>
        </w:rPr>
        <w:t>c-E-twenty six transformation-specific</w:t>
      </w:r>
      <w:r w:rsidR="00340FF1" w:rsidRPr="00340FF1">
        <w:rPr>
          <w:rFonts w:ascii="Arial" w:hAnsi="Arial" w:cs="Arial"/>
          <w:sz w:val="22"/>
        </w:rPr>
        <w:t xml:space="preserve">-2; </w:t>
      </w:r>
      <w:r w:rsidR="00340FF1" w:rsidRPr="00340FF1">
        <w:rPr>
          <w:rFonts w:ascii="Arial" w:eastAsia="Times New Roman" w:hAnsi="Arial" w:cs="Arial"/>
          <w:sz w:val="22"/>
        </w:rPr>
        <w:t>AP-2alphaA</w:t>
      </w:r>
      <w:r w:rsidR="00340FF1" w:rsidRPr="00340FF1">
        <w:rPr>
          <w:rFonts w:ascii="Arial" w:hAnsi="Arial" w:cs="Arial"/>
          <w:sz w:val="22"/>
          <w:shd w:val="clear" w:color="auto" w:fill="FFFFFF"/>
        </w:rPr>
        <w:t>, activating enhancer binding protein 2 alpha</w:t>
      </w:r>
      <w:r w:rsidR="00340FF1" w:rsidRPr="00340FF1">
        <w:rPr>
          <w:rFonts w:ascii="Arial" w:eastAsia="Times New Roman" w:hAnsi="Arial" w:cs="Arial"/>
          <w:sz w:val="22"/>
        </w:rPr>
        <w:t xml:space="preserve">; NF-AT1, </w:t>
      </w:r>
      <w:r w:rsidR="00340FF1" w:rsidRPr="00340FF1">
        <w:rPr>
          <w:rFonts w:ascii="Arial" w:hAnsi="Arial" w:cs="Arial"/>
          <w:sz w:val="22"/>
          <w:shd w:val="clear" w:color="auto" w:fill="FFFFFF"/>
        </w:rPr>
        <w:t xml:space="preserve">Nuclear Factor of Activated T Cells 1; </w:t>
      </w:r>
      <w:r w:rsidR="00340FF1" w:rsidRPr="00340FF1">
        <w:rPr>
          <w:rFonts w:ascii="Arial" w:eastAsia="Times New Roman" w:hAnsi="Arial" w:cs="Arial"/>
          <w:sz w:val="22"/>
        </w:rPr>
        <w:t xml:space="preserve">Elk-1, Early gene expression factor; and </w:t>
      </w:r>
      <w:r w:rsidR="00340FF1" w:rsidRPr="00340FF1">
        <w:rPr>
          <w:rFonts w:ascii="Arial" w:hAnsi="Arial" w:cs="Arial"/>
          <w:bCs/>
          <w:shd w:val="clear" w:color="auto" w:fill="FFFFFF"/>
        </w:rPr>
        <w:t>C/EBP beta, CCAAT/enhancer-binding protein beta.</w:t>
      </w:r>
    </w:p>
    <w:sectPr w:rsidR="00B47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7F" w:rsidRDefault="0032377F" w:rsidP="004F48B3">
      <w:pPr>
        <w:spacing w:after="0" w:line="240" w:lineRule="auto"/>
      </w:pPr>
      <w:r>
        <w:separator/>
      </w:r>
    </w:p>
  </w:endnote>
  <w:endnote w:type="continuationSeparator" w:id="0">
    <w:p w:rsidR="0032377F" w:rsidRDefault="0032377F" w:rsidP="004F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7F" w:rsidRDefault="0032377F" w:rsidP="004F48B3">
      <w:pPr>
        <w:spacing w:after="0" w:line="240" w:lineRule="auto"/>
      </w:pPr>
      <w:r>
        <w:separator/>
      </w:r>
    </w:p>
  </w:footnote>
  <w:footnote w:type="continuationSeparator" w:id="0">
    <w:p w:rsidR="0032377F" w:rsidRDefault="0032377F" w:rsidP="004F4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8"/>
  </w:docVars>
  <w:rsids>
    <w:rsidRoot w:val="004F48B3"/>
    <w:rsid w:val="000C2A20"/>
    <w:rsid w:val="001E7EC9"/>
    <w:rsid w:val="0032377F"/>
    <w:rsid w:val="00340FF1"/>
    <w:rsid w:val="00366BCE"/>
    <w:rsid w:val="00423D20"/>
    <w:rsid w:val="004F48B3"/>
    <w:rsid w:val="007506E9"/>
    <w:rsid w:val="007A42A9"/>
    <w:rsid w:val="007C6463"/>
    <w:rsid w:val="00863FF2"/>
    <w:rsid w:val="00AC2575"/>
    <w:rsid w:val="00B10626"/>
    <w:rsid w:val="00B47063"/>
    <w:rsid w:val="00D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B3"/>
    <w:pPr>
      <w:spacing w:after="24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8B3"/>
    <w:pPr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F48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48B3"/>
    <w:pPr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F48B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B3"/>
    <w:pPr>
      <w:spacing w:after="24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8B3"/>
    <w:pPr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F48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48B3"/>
    <w:pPr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F48B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813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Raballah</dc:creator>
  <cp:lastModifiedBy>ETINAMBACAN</cp:lastModifiedBy>
  <cp:revision>6</cp:revision>
  <dcterms:created xsi:type="dcterms:W3CDTF">2019-07-09T18:05:00Z</dcterms:created>
  <dcterms:modified xsi:type="dcterms:W3CDTF">2019-07-31T15:16:00Z</dcterms:modified>
</cp:coreProperties>
</file>