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B809C1" w14:textId="77777777" w:rsidR="00E928F6" w:rsidRPr="00D84961" w:rsidRDefault="00E928F6" w:rsidP="00E928F6">
      <w:pPr>
        <w:pStyle w:val="Heading1"/>
        <w:rPr>
          <w:b/>
        </w:rPr>
      </w:pPr>
      <w:r w:rsidRPr="00D84961">
        <w:rPr>
          <w:b/>
        </w:rPr>
        <w:t>Appendi</w:t>
      </w:r>
      <w:r>
        <w:rPr>
          <w:b/>
        </w:rPr>
        <w:t>ces</w:t>
      </w:r>
    </w:p>
    <w:p w14:paraId="5A5AEF01" w14:textId="77777777" w:rsidR="00E928F6" w:rsidRPr="0049706B" w:rsidRDefault="00E928F6" w:rsidP="00E928F6">
      <w:pPr>
        <w:rPr>
          <w:b/>
        </w:rPr>
      </w:pPr>
      <w:r w:rsidRPr="0049706B">
        <w:rPr>
          <w:b/>
        </w:rPr>
        <w:t>Appendix A: Sub models of the Integrated Framework</w:t>
      </w:r>
    </w:p>
    <w:p w14:paraId="6D8FD48C" w14:textId="77777777" w:rsidR="00E928F6" w:rsidRPr="0049706B" w:rsidRDefault="00E928F6" w:rsidP="00E928F6">
      <w:pPr>
        <w:spacing w:after="0" w:line="360" w:lineRule="auto"/>
        <w:jc w:val="both"/>
        <w:rPr>
          <w:b/>
        </w:rPr>
      </w:pPr>
      <w:r w:rsidRPr="0049706B">
        <w:rPr>
          <w:b/>
        </w:rPr>
        <w:t>Sub-models</w:t>
      </w:r>
    </w:p>
    <w:p w14:paraId="41DA013C" w14:textId="77777777" w:rsidR="00E928F6" w:rsidRPr="0049706B" w:rsidRDefault="00E928F6" w:rsidP="00E928F6">
      <w:pPr>
        <w:spacing w:after="0" w:line="360" w:lineRule="auto"/>
        <w:jc w:val="both"/>
        <w:rPr>
          <w:i/>
        </w:rPr>
      </w:pPr>
      <w:r w:rsidRPr="0049706B">
        <w:rPr>
          <w:i/>
        </w:rPr>
        <w:t>Nutrition</w:t>
      </w:r>
    </w:p>
    <w:p w14:paraId="636E36BB" w14:textId="77777777" w:rsidR="00E928F6" w:rsidRPr="0049706B" w:rsidRDefault="00E928F6" w:rsidP="00E928F6">
      <w:pPr>
        <w:spacing w:after="0" w:line="360" w:lineRule="auto"/>
        <w:jc w:val="both"/>
      </w:pPr>
      <w:r w:rsidRPr="0049706B">
        <w:t>The link between the macroeconomic model, which captures household consumption of food (and non-food) commodities and health sub-model, which translates changes in total-to-HDL cholesterol to clinical outcomes was achieved by incorporating nutritional measurements in the model framework and converting them to total-to-HDL cholesterol changes. For each of the 9 regional households in the CGE model, data from the 2004-5 National Thai Food Consumption Survey (TFCS) [1,2]</w:t>
      </w:r>
      <w:bookmarkStart w:id="0" w:name="_Ref501382785"/>
      <w:r w:rsidRPr="0049706B">
        <w:rPr>
          <w:rStyle w:val="FootnoteReference"/>
        </w:rPr>
        <w:footnoteReference w:id="1"/>
      </w:r>
      <w:bookmarkEnd w:id="0"/>
      <w:r w:rsidRPr="0049706B">
        <w:t xml:space="preserve"> and the 2011 Household Socio-Economic Survey (HSES) [3] were used in order to produce separate household- and commodity-specific coefficients related to total energy intake, and energy intakes from individual micronutrients including Saturated Fatty Acids (SFA), Monounsaturated Fatty Acids (MUFA), and Polyunsaturated Fatty Acids (PUFA).  These household-specific average energy intake shares from SFA, MUFA and PUFA are used within the model to calculate average and stratified household-specific changes in the Total-to-HDL serum cholesterol ratio biomarker (</w:t>
      </w:r>
      <w:r w:rsidRPr="0049706B">
        <w:rPr>
          <w:rFonts w:cstheme="minorHAnsi"/>
        </w:rPr>
        <w:t>Δ</w:t>
      </w:r>
      <w:r w:rsidRPr="0049706B">
        <w:t>C) levels using the published equation from [4]:</w:t>
      </w:r>
    </w:p>
    <w:p w14:paraId="16369F45" w14:textId="77777777" w:rsidR="00E928F6" w:rsidRPr="0049706B" w:rsidRDefault="00E928F6" w:rsidP="00E928F6">
      <w:pPr>
        <w:spacing w:after="0" w:line="360" w:lineRule="auto"/>
        <w:jc w:val="both"/>
      </w:pPr>
    </w:p>
    <w:p w14:paraId="4888CCCB" w14:textId="77777777" w:rsidR="00E928F6" w:rsidRPr="0049706B" w:rsidRDefault="00E928F6" w:rsidP="00E928F6">
      <w:pPr>
        <w:spacing w:after="0" w:line="360" w:lineRule="auto"/>
        <w:jc w:val="both"/>
        <w:rPr>
          <w:lang w:val="de-DE"/>
        </w:rPr>
      </w:pPr>
      <w:r w:rsidRPr="00E87A04">
        <w:t xml:space="preserve"> </w:t>
      </w:r>
      <w:r w:rsidRPr="00E87A04">
        <w:tab/>
      </w:r>
      <w:r w:rsidRPr="0049706B">
        <w:rPr>
          <w:rFonts w:cstheme="minorHAnsi"/>
        </w:rPr>
        <w:t>Δ</w:t>
      </w:r>
      <w:r w:rsidRPr="0049706B">
        <w:rPr>
          <w:lang w:val="de-DE"/>
        </w:rPr>
        <w:t>C</w:t>
      </w:r>
      <w:r w:rsidRPr="0049706B">
        <w:rPr>
          <w:vertAlign w:val="subscript"/>
          <w:lang w:val="de-DE"/>
        </w:rPr>
        <w:t>h,t</w:t>
      </w:r>
      <w:r w:rsidRPr="0049706B">
        <w:rPr>
          <w:lang w:val="de-DE"/>
        </w:rPr>
        <w:t xml:space="preserve"> = </w:t>
      </w:r>
      <w:r w:rsidRPr="0049706B">
        <w:rPr>
          <w:rFonts w:ascii="Calibri" w:eastAsia="Times New Roman" w:hAnsi="Calibri" w:cs="Calibri"/>
          <w:color w:val="000000"/>
          <w:sz w:val="20"/>
          <w:szCs w:val="20"/>
          <w:lang w:eastAsia="en-GB"/>
        </w:rPr>
        <w:t>α</w:t>
      </w:r>
      <w:r w:rsidRPr="0049706B">
        <w:rPr>
          <w:rFonts w:ascii="Calibri" w:eastAsia="Times New Roman" w:hAnsi="Calibri" w:cs="Calibri"/>
          <w:color w:val="000000"/>
          <w:sz w:val="20"/>
          <w:szCs w:val="20"/>
          <w:vertAlign w:val="superscript"/>
          <w:lang w:val="de-DE" w:eastAsia="en-GB"/>
        </w:rPr>
        <w:t>SFA</w:t>
      </w:r>
      <w:r w:rsidRPr="0049706B">
        <w:rPr>
          <w:rFonts w:cstheme="minorHAnsi"/>
          <w:lang w:val="de-DE"/>
        </w:rPr>
        <w:t xml:space="preserve"> SFA</w:t>
      </w:r>
      <w:r w:rsidRPr="0049706B">
        <w:rPr>
          <w:vertAlign w:val="subscript"/>
          <w:lang w:val="de-DE"/>
        </w:rPr>
        <w:t>h,t</w:t>
      </w:r>
      <w:r w:rsidRPr="0049706B">
        <w:rPr>
          <w:lang w:val="de-DE"/>
        </w:rPr>
        <w:t xml:space="preserve"> + </w:t>
      </w:r>
      <w:r w:rsidRPr="0049706B">
        <w:rPr>
          <w:rFonts w:ascii="Calibri" w:eastAsia="Times New Roman" w:hAnsi="Calibri" w:cs="Calibri"/>
          <w:color w:val="000000"/>
          <w:sz w:val="20"/>
          <w:szCs w:val="20"/>
          <w:lang w:eastAsia="en-GB"/>
        </w:rPr>
        <w:t>α</w:t>
      </w:r>
      <w:r w:rsidRPr="0049706B">
        <w:rPr>
          <w:rFonts w:ascii="Calibri" w:eastAsia="Times New Roman" w:hAnsi="Calibri" w:cs="Calibri"/>
          <w:color w:val="000000"/>
          <w:sz w:val="20"/>
          <w:szCs w:val="20"/>
          <w:vertAlign w:val="superscript"/>
          <w:lang w:val="de-DE" w:eastAsia="en-GB"/>
        </w:rPr>
        <w:t>MUFA</w:t>
      </w:r>
      <w:r w:rsidRPr="0049706B">
        <w:rPr>
          <w:rFonts w:cstheme="minorHAnsi"/>
          <w:lang w:val="de-DE"/>
        </w:rPr>
        <w:t xml:space="preserve"> MUFA</w:t>
      </w:r>
      <w:r w:rsidRPr="0049706B">
        <w:rPr>
          <w:vertAlign w:val="subscript"/>
          <w:lang w:val="de-DE"/>
        </w:rPr>
        <w:t>h,t</w:t>
      </w:r>
      <w:r w:rsidRPr="0049706B">
        <w:rPr>
          <w:lang w:val="de-DE"/>
        </w:rPr>
        <w:t xml:space="preserve"> + </w:t>
      </w:r>
      <w:r w:rsidRPr="0049706B">
        <w:rPr>
          <w:rFonts w:ascii="Calibri" w:eastAsia="Times New Roman" w:hAnsi="Calibri" w:cs="Calibri"/>
          <w:color w:val="000000"/>
          <w:sz w:val="20"/>
          <w:szCs w:val="20"/>
          <w:lang w:eastAsia="en-GB"/>
        </w:rPr>
        <w:t>α</w:t>
      </w:r>
      <w:r w:rsidRPr="0049706B">
        <w:rPr>
          <w:rFonts w:ascii="Calibri" w:eastAsia="Times New Roman" w:hAnsi="Calibri" w:cs="Calibri"/>
          <w:color w:val="000000"/>
          <w:sz w:val="20"/>
          <w:szCs w:val="20"/>
          <w:vertAlign w:val="superscript"/>
          <w:lang w:val="de-DE" w:eastAsia="en-GB"/>
        </w:rPr>
        <w:t>PUFA</w:t>
      </w:r>
      <w:r w:rsidRPr="0049706B">
        <w:rPr>
          <w:rFonts w:cstheme="minorHAnsi"/>
          <w:lang w:val="de-DE"/>
        </w:rPr>
        <w:t xml:space="preserve"> PUFA</w:t>
      </w:r>
      <w:r w:rsidRPr="0049706B">
        <w:rPr>
          <w:vertAlign w:val="subscript"/>
          <w:lang w:val="de-DE"/>
        </w:rPr>
        <w:t>h,t</w:t>
      </w:r>
      <w:r w:rsidRPr="0049706B">
        <w:rPr>
          <w:lang w:val="de-DE"/>
        </w:rPr>
        <w:t xml:space="preserve">    </w:t>
      </w:r>
      <w:r w:rsidRPr="0049706B">
        <w:rPr>
          <w:lang w:val="de-DE"/>
        </w:rPr>
        <w:tab/>
        <w:t xml:space="preserve">h </w:t>
      </w:r>
      <w:r w:rsidRPr="0049706B">
        <w:t>ε</w:t>
      </w:r>
      <w:r w:rsidRPr="0049706B">
        <w:rPr>
          <w:lang w:val="de-DE"/>
        </w:rPr>
        <w:t xml:space="preserve"> H, t </w:t>
      </w:r>
      <w:r w:rsidRPr="0049706B">
        <w:t>ε</w:t>
      </w:r>
      <w:r w:rsidRPr="0049706B">
        <w:rPr>
          <w:lang w:val="de-DE"/>
        </w:rPr>
        <w:t xml:space="preserve"> T</w:t>
      </w:r>
    </w:p>
    <w:p w14:paraId="43256076" w14:textId="77777777" w:rsidR="00E928F6" w:rsidRPr="00E87A04" w:rsidRDefault="00E928F6" w:rsidP="00E928F6">
      <w:pPr>
        <w:spacing w:after="0" w:line="360" w:lineRule="auto"/>
        <w:rPr>
          <w:lang w:val="de-DE"/>
        </w:rPr>
      </w:pPr>
    </w:p>
    <w:p w14:paraId="0BF26B1B" w14:textId="77777777" w:rsidR="00E928F6" w:rsidRPr="0049706B" w:rsidRDefault="00E928F6" w:rsidP="00E928F6">
      <w:pPr>
        <w:spacing w:after="0" w:line="360" w:lineRule="auto"/>
        <w:rPr>
          <w:rFonts w:ascii="Calibri" w:eastAsia="Times New Roman" w:hAnsi="Calibri" w:cs="Calibri"/>
          <w:color w:val="000000"/>
          <w:sz w:val="20"/>
          <w:szCs w:val="20"/>
          <w:lang w:eastAsia="en-GB"/>
        </w:rPr>
      </w:pPr>
      <w:r w:rsidRPr="0049706B">
        <w:t xml:space="preserve">for each of our nine household types (H) and 20 time periods (T) and where the semi elasticities  </w:t>
      </w:r>
      <w:r w:rsidRPr="0049706B">
        <w:rPr>
          <w:rFonts w:ascii="Calibri" w:eastAsia="Times New Roman" w:hAnsi="Calibri" w:cs="Calibri"/>
          <w:color w:val="000000"/>
          <w:sz w:val="20"/>
          <w:szCs w:val="20"/>
          <w:lang w:eastAsia="en-GB"/>
        </w:rPr>
        <w:t>α</w:t>
      </w:r>
      <w:r w:rsidRPr="0049706B">
        <w:rPr>
          <w:rFonts w:ascii="Calibri" w:eastAsia="Times New Roman" w:hAnsi="Calibri" w:cs="Calibri"/>
          <w:color w:val="000000"/>
          <w:sz w:val="20"/>
          <w:szCs w:val="20"/>
          <w:vertAlign w:val="superscript"/>
          <w:lang w:eastAsia="en-GB"/>
        </w:rPr>
        <w:t>SFA</w:t>
      </w:r>
      <w:r w:rsidRPr="0049706B">
        <w:rPr>
          <w:rFonts w:ascii="Calibri" w:eastAsia="Times New Roman" w:hAnsi="Calibri" w:cs="Calibri"/>
          <w:color w:val="000000"/>
          <w:sz w:val="20"/>
          <w:szCs w:val="20"/>
          <w:lang w:eastAsia="en-GB"/>
        </w:rPr>
        <w:t>, α</w:t>
      </w:r>
      <w:r w:rsidRPr="0049706B">
        <w:rPr>
          <w:rFonts w:ascii="Calibri" w:eastAsia="Times New Roman" w:hAnsi="Calibri" w:cs="Calibri"/>
          <w:color w:val="000000"/>
          <w:sz w:val="20"/>
          <w:szCs w:val="20"/>
          <w:vertAlign w:val="superscript"/>
          <w:lang w:eastAsia="en-GB"/>
        </w:rPr>
        <w:t>MUFA</w:t>
      </w:r>
      <w:r w:rsidRPr="0049706B">
        <w:rPr>
          <w:rFonts w:ascii="Calibri" w:eastAsia="Times New Roman" w:hAnsi="Calibri" w:cs="Calibri"/>
          <w:color w:val="000000"/>
          <w:sz w:val="20"/>
          <w:szCs w:val="20"/>
          <w:lang w:eastAsia="en-GB"/>
        </w:rPr>
        <w:t xml:space="preserve"> and α</w:t>
      </w:r>
      <w:r w:rsidRPr="0049706B">
        <w:rPr>
          <w:rFonts w:ascii="Calibri" w:eastAsia="Times New Roman" w:hAnsi="Calibri" w:cs="Calibri"/>
          <w:color w:val="000000"/>
          <w:sz w:val="20"/>
          <w:szCs w:val="20"/>
          <w:vertAlign w:val="superscript"/>
          <w:lang w:eastAsia="en-GB"/>
        </w:rPr>
        <w:t>PUFA</w:t>
      </w:r>
      <w:r w:rsidRPr="0049706B">
        <w:rPr>
          <w:rFonts w:ascii="Calibri" w:eastAsia="Times New Roman" w:hAnsi="Calibri" w:cs="Calibri"/>
          <w:color w:val="000000"/>
          <w:sz w:val="20"/>
          <w:szCs w:val="20"/>
          <w:lang w:eastAsia="en-GB"/>
        </w:rPr>
        <w:t xml:space="preserve"> </w:t>
      </w:r>
      <w:r w:rsidRPr="0049706B">
        <w:t>take the values 0.003, -0.026 and 0.032 respectively. These changes in SFA, MUFA and PUFA have been demonstrated to be correlated to changes in consumers’ serum cholesterol levels [4] (and are used as exposure inputs for the health model published by [5]).</w:t>
      </w:r>
    </w:p>
    <w:p w14:paraId="6E03B549" w14:textId="77777777" w:rsidR="00E928F6" w:rsidRPr="0049706B" w:rsidRDefault="00E928F6" w:rsidP="00E928F6">
      <w:pPr>
        <w:spacing w:after="0" w:line="360" w:lineRule="auto"/>
        <w:jc w:val="both"/>
        <w:rPr>
          <w:b/>
        </w:rPr>
      </w:pPr>
    </w:p>
    <w:p w14:paraId="1F4EA07E" w14:textId="77777777" w:rsidR="00E928F6" w:rsidRPr="0049706B" w:rsidRDefault="00E928F6" w:rsidP="00E928F6">
      <w:pPr>
        <w:spacing w:after="0" w:line="360" w:lineRule="auto"/>
        <w:jc w:val="both"/>
        <w:rPr>
          <w:i/>
        </w:rPr>
      </w:pPr>
      <w:r w:rsidRPr="0049706B">
        <w:rPr>
          <w:i/>
        </w:rPr>
        <w:t xml:space="preserve">Health </w:t>
      </w:r>
    </w:p>
    <w:p w14:paraId="266FB5B3" w14:textId="67DDEE53" w:rsidR="00E928F6" w:rsidRPr="0049706B" w:rsidRDefault="00E928F6" w:rsidP="00E928F6">
      <w:pPr>
        <w:spacing w:after="0" w:line="360" w:lineRule="auto"/>
        <w:jc w:val="both"/>
      </w:pPr>
      <w:r w:rsidRPr="0049706B">
        <w:t xml:space="preserve">Our health model framework is primarily set up to model average serum cholesterol biomarker changes at the regional household level, however, by using individual-specific cholesterol level data this method was </w:t>
      </w:r>
      <w:r w:rsidR="000D42D7" w:rsidRPr="0049706B">
        <w:t>adjusted</w:t>
      </w:r>
      <w:r w:rsidRPr="0049706B">
        <w:t xml:space="preserve">, allowing the computation of intra-household biomarker distributions from which clinical health outcomes were refined. The method employed used household-specific average changes in biomarker levels, and then shifted intra-household distributions by the mean according to the formula: </w:t>
      </w:r>
    </w:p>
    <w:p w14:paraId="269A6926" w14:textId="77777777" w:rsidR="00E928F6" w:rsidRPr="0049706B" w:rsidRDefault="00E928F6" w:rsidP="00E928F6">
      <w:pPr>
        <w:spacing w:after="0" w:line="360" w:lineRule="auto"/>
        <w:jc w:val="both"/>
      </w:pPr>
    </w:p>
    <w:p w14:paraId="0CC09779" w14:textId="77777777" w:rsidR="00E928F6" w:rsidRPr="0049706B" w:rsidRDefault="00E928F6" w:rsidP="00E928F6">
      <w:pPr>
        <w:spacing w:after="0" w:line="360" w:lineRule="auto"/>
        <w:jc w:val="both"/>
      </w:pPr>
      <w:r w:rsidRPr="0049706B">
        <w:t xml:space="preserve"> </w:t>
      </w:r>
      <w:r w:rsidRPr="0049706B">
        <w:tab/>
        <w:t>C</w:t>
      </w:r>
      <w:r w:rsidRPr="0049706B">
        <w:rPr>
          <w:vertAlign w:val="superscript"/>
        </w:rPr>
        <w:t>strata</w:t>
      </w:r>
      <w:r w:rsidRPr="0049706B">
        <w:rPr>
          <w:vertAlign w:val="subscript"/>
        </w:rPr>
        <w:t>h,s,t</w:t>
      </w:r>
      <w:r w:rsidRPr="0049706B">
        <w:t xml:space="preserve"> = C</w:t>
      </w:r>
      <w:r w:rsidRPr="0049706B">
        <w:rPr>
          <w:vertAlign w:val="superscript"/>
        </w:rPr>
        <w:t>strata</w:t>
      </w:r>
      <w:r w:rsidRPr="0049706B">
        <w:rPr>
          <w:vertAlign w:val="subscript"/>
        </w:rPr>
        <w:t>h,s,t-1</w:t>
      </w:r>
      <w:r w:rsidRPr="0049706B">
        <w:t xml:space="preserve"> + </w:t>
      </w:r>
      <w:r w:rsidRPr="0049706B">
        <w:rPr>
          <w:lang w:val="el-GR"/>
        </w:rPr>
        <w:t>Δ</w:t>
      </w:r>
      <w:r w:rsidRPr="0049706B">
        <w:t>C</w:t>
      </w:r>
      <w:r w:rsidRPr="0049706B">
        <w:rPr>
          <w:vertAlign w:val="subscript"/>
        </w:rPr>
        <w:t>h,t</w:t>
      </w:r>
      <w:r w:rsidRPr="0049706B">
        <w:t xml:space="preserve">     </w:t>
      </w:r>
      <w:r w:rsidRPr="0049706B">
        <w:tab/>
      </w:r>
      <w:r w:rsidRPr="0049706B">
        <w:tab/>
      </w:r>
      <w:r w:rsidRPr="0049706B">
        <w:tab/>
      </w:r>
      <w:r w:rsidRPr="0049706B">
        <w:tab/>
        <w:t>h ε H, s ε STRATA, t ε T</w:t>
      </w:r>
    </w:p>
    <w:p w14:paraId="537FA711" w14:textId="77777777" w:rsidR="00E928F6" w:rsidRPr="0049706B" w:rsidRDefault="00E928F6" w:rsidP="00E928F6">
      <w:pPr>
        <w:spacing w:after="0" w:line="360" w:lineRule="auto"/>
        <w:jc w:val="both"/>
      </w:pPr>
    </w:p>
    <w:p w14:paraId="63391429" w14:textId="77777777" w:rsidR="00E928F6" w:rsidRPr="0049706B" w:rsidRDefault="00E928F6" w:rsidP="00E928F6">
      <w:pPr>
        <w:spacing w:after="0" w:line="360" w:lineRule="auto"/>
        <w:jc w:val="both"/>
      </w:pPr>
      <w:r w:rsidRPr="0049706B">
        <w:t>A set of 10 support points (STRATA) for each intra-household biomarker distribution were selected and 11 sets of lookup-tables for clinical health outcomes covering 10 intervals were stratified such that the 10 initial support points were midpoints of the clinical outcome intervals. Frequency distributions for the 10 intervals were produced from individual-level cholesterol data from the 2008-2009 Thailand National Health Examination Thai-HES Survey [6,7].</w:t>
      </w:r>
      <w:r w:rsidRPr="0049706B">
        <w:rPr>
          <w:rStyle w:val="FootnoteReference"/>
        </w:rPr>
        <w:footnoteReference w:id="2"/>
      </w:r>
    </w:p>
    <w:p w14:paraId="1FC752B2" w14:textId="77777777" w:rsidR="00E928F6" w:rsidRPr="0049706B" w:rsidRDefault="00E928F6" w:rsidP="00E928F6">
      <w:pPr>
        <w:spacing w:after="0" w:line="360" w:lineRule="auto"/>
        <w:jc w:val="both"/>
      </w:pPr>
      <w:r w:rsidRPr="0049706B">
        <w:t xml:space="preserve">Data from the 2008-2009 Thai-HES Survey [6] was used to simulate age- and gender-specific lookup tables for clinical outcomes. Random sampling of 10,000 simulated individuals from normal distributions with means and standard deviations derived from the Thai-HES survey, was complemented by calculation of relative hazards for key events including non-fatal MI, non-fatal stroke, fatal MI, fatal stroke using an established empirical methodology [8] and relying on previously established log relative risks [9]. Individual risk was, subsequently, calculated from simulated </w:t>
      </w:r>
      <w:r w:rsidRPr="0049706B">
        <w:rPr>
          <w:rFonts w:cs="Helvetica"/>
        </w:rPr>
        <w:t xml:space="preserve">alternative cause fatality rates, </w:t>
      </w:r>
      <w:r w:rsidRPr="0049706B">
        <w:t xml:space="preserve">based on a </w:t>
      </w:r>
      <w:r w:rsidRPr="0049706B">
        <w:rPr>
          <w:rFonts w:cs="Helvetica"/>
        </w:rPr>
        <w:t>competing risks algorithm [10], and from Global Burden of Disease data on rates of MI and stroke [11] and WHO data on all-cause mortality [12].</w:t>
      </w:r>
    </w:p>
    <w:p w14:paraId="3CBC3C6C" w14:textId="77777777" w:rsidR="00E928F6" w:rsidRPr="0049706B" w:rsidRDefault="00E928F6" w:rsidP="00E928F6">
      <w:pPr>
        <w:spacing w:after="0" w:line="360" w:lineRule="auto"/>
        <w:jc w:val="both"/>
      </w:pPr>
      <w:r w:rsidRPr="0049706B">
        <w:t>Relative hazards were stratified according to gender, rural/urban location, and 13 five-year age groups including 11 working age groups (15-64), and two retirement age groups ‘65-69’ and ‘70+’. Lookup tables were established for incidence and excess mortality of two illnesses, myocardial infarction (MI) and stroke, and the chosen biomarker support range ([2.0;7.0]) was chosen so as to encompass the full range of potential consumer-specific biomarker levels. Altogether, 11 sets of lookup tables were established, covering 10 equidistant intervals for the biomarker. Based on the simulated lookup tables, the clinical health outcome module was developed to encompass both a set of discontinuous spline-functions and a set of fitted 10</w:t>
      </w:r>
      <w:r w:rsidRPr="0049706B">
        <w:rPr>
          <w:vertAlign w:val="superscript"/>
        </w:rPr>
        <w:t>th</w:t>
      </w:r>
      <w:r w:rsidRPr="0049706B">
        <w:t xml:space="preserve"> degree polynomials – all gender, rural/urban, and age group-specific. For the current paper, the health module utilized fitted 10</w:t>
      </w:r>
      <w:r w:rsidRPr="0049706B">
        <w:rPr>
          <w:vertAlign w:val="superscript"/>
        </w:rPr>
        <w:t>th</w:t>
      </w:r>
      <w:r w:rsidRPr="0049706B">
        <w:t xml:space="preserve"> degree polynomials for calculation of gender, rural/urban, and age group-specific clinical health outcomes covering incidence and excess mortality rates for MI and stroke.</w:t>
      </w:r>
    </w:p>
    <w:p w14:paraId="1C66D932" w14:textId="77777777" w:rsidR="00E928F6" w:rsidRPr="0049706B" w:rsidRDefault="00E928F6" w:rsidP="00E928F6">
      <w:pPr>
        <w:spacing w:after="0" w:line="360" w:lineRule="auto"/>
        <w:jc w:val="both"/>
        <w:rPr>
          <w:b/>
        </w:rPr>
      </w:pPr>
    </w:p>
    <w:p w14:paraId="30A72476" w14:textId="77777777" w:rsidR="00E928F6" w:rsidRPr="0049706B" w:rsidRDefault="00E928F6" w:rsidP="00E928F6">
      <w:pPr>
        <w:spacing w:after="0" w:line="360" w:lineRule="auto"/>
        <w:jc w:val="both"/>
        <w:rPr>
          <w:i/>
        </w:rPr>
      </w:pPr>
      <w:r w:rsidRPr="0049706B">
        <w:rPr>
          <w:i/>
        </w:rPr>
        <w:t>Demographics</w:t>
      </w:r>
    </w:p>
    <w:p w14:paraId="172E9FC8" w14:textId="683C7930" w:rsidR="00E928F6" w:rsidRPr="0049706B" w:rsidRDefault="00E928F6" w:rsidP="00E928F6">
      <w:pPr>
        <w:spacing w:after="0" w:line="360" w:lineRule="auto"/>
        <w:jc w:val="both"/>
      </w:pPr>
      <w:r w:rsidRPr="0049706B">
        <w:t xml:space="preserve">The demographic module was designed to mirror the population stratification of the health and nutrition modules. A set of 2010-35 Thai regional population projections were obtained from the Office of the National Economic and Social Development Board [13,14]. The projections were age- and gender-specific (5 year age groups), and covered 8 regions which mapped one-to-one with our 5 region aggregation and allowed for rural/urban population splits of all regions excluding Bangkok. The aggregated data set was subsequently employed to calibrate our demographic model, encompassing a compact set of equations for calculating Deaths, Births, Migration, and Population levels. The demographic model is published in [15]. The 2010-35 population projection data set did not include information about underlying demographic parameter assumptions. Instead, age- and gender-specific parameters were obtained from the 2015 </w:t>
      </w:r>
      <w:r w:rsidR="000D42D7" w:rsidRPr="0049706B">
        <w:t>r</w:t>
      </w:r>
      <w:r w:rsidRPr="0049706B">
        <w:t>evision of UN population projections [16], and the demographic model calibration was completed through dynamic calibration of transition probabilities between 5 year age groups.</w:t>
      </w:r>
    </w:p>
    <w:p w14:paraId="72B4781F" w14:textId="77777777" w:rsidR="00E928F6" w:rsidRPr="0049706B" w:rsidRDefault="00E928F6" w:rsidP="00E928F6">
      <w:pPr>
        <w:spacing w:after="0" w:line="360" w:lineRule="auto"/>
        <w:jc w:val="both"/>
      </w:pPr>
    </w:p>
    <w:p w14:paraId="10712D82" w14:textId="748C697E" w:rsidR="00E928F6" w:rsidRPr="0049706B" w:rsidRDefault="00E928F6" w:rsidP="00E928F6">
      <w:pPr>
        <w:spacing w:after="0" w:line="360" w:lineRule="auto"/>
        <w:jc w:val="both"/>
      </w:pPr>
      <w:r w:rsidRPr="0049706B">
        <w:t xml:space="preserve">The clinical health outcome module, combined with the demographic module, produces numbers of MI and stroke incident cases and premature deaths. Patient incidence numbers are subsequently employed to calculate </w:t>
      </w:r>
      <w:r w:rsidRPr="0049706B">
        <w:rPr>
          <w:rFonts w:ascii="AdvOT46dcae81" w:hAnsi="AdvOT46dcae81" w:cs="AdvOT46dcae81"/>
          <w:sz w:val="21"/>
          <w:szCs w:val="21"/>
        </w:rPr>
        <w:t xml:space="preserve">Years Lost due to Disability (YLD) patient </w:t>
      </w:r>
      <w:r w:rsidRPr="0049706B">
        <w:t>morbidity impacts, informal caregiver time losses, and formal hospital costs, while the numbers of age-specific premature deaths are used to calculate patient-specific mortality-related changes to the workforce. Computation of YLD morbidity impacts for MI and stroke are based on YLD weights from the literature [17]</w:t>
      </w:r>
      <w:r w:rsidRPr="0049706B">
        <w:rPr>
          <w:rStyle w:val="FootnoteReference"/>
        </w:rPr>
        <w:footnoteReference w:id="3"/>
      </w:r>
      <w:r w:rsidRPr="0049706B">
        <w:t>, while calculations of caregiver time losses for stroke, including leisure and worktime losses, are based on Thai-specific average time loss estimates [18].</w:t>
      </w:r>
      <w:r w:rsidRPr="0049706B">
        <w:rPr>
          <w:rStyle w:val="FootnoteReference"/>
        </w:rPr>
        <w:footnoteReference w:id="4"/>
      </w:r>
      <w:r w:rsidRPr="0049706B">
        <w:t xml:space="preserve"> Thai-specific hospital unit costs were also derived from Thai-specific studies, including MI-related hospital unit costs [19] and stroke-related hospital unit costs [20], while workforce impacts were corrected for Thai-specific workforce participation rates [21].</w:t>
      </w:r>
      <w:r w:rsidR="00057A2A" w:rsidRPr="0049706B">
        <w:t xml:space="preserve"> </w:t>
      </w:r>
      <w:r w:rsidR="00E165A7" w:rsidRPr="0049706B">
        <w:t>2015 base year hospital unit costs were calculated from 2005 MI/2008 Stroke baseline hospital unit costs and general 2005-2015 Thai GDP inflation rates, while increases in hospital unit costs over our 2016-2035 time horizon were calculated from general price changes in our market for healthcare services.</w:t>
      </w:r>
    </w:p>
    <w:p w14:paraId="60EB8B99" w14:textId="77777777" w:rsidR="00E928F6" w:rsidRPr="0049706B" w:rsidRDefault="00E928F6" w:rsidP="00E928F6"/>
    <w:p w14:paraId="0178D495" w14:textId="77777777" w:rsidR="004337D1" w:rsidRPr="0049706B" w:rsidRDefault="004337D1">
      <w:pPr>
        <w:rPr>
          <w:b/>
        </w:rPr>
      </w:pPr>
      <w:r w:rsidRPr="0049706B">
        <w:rPr>
          <w:b/>
        </w:rPr>
        <w:br w:type="page"/>
      </w:r>
    </w:p>
    <w:p w14:paraId="47574F56" w14:textId="6AC778F9" w:rsidR="00E928F6" w:rsidRPr="0049706B" w:rsidRDefault="00E928F6" w:rsidP="00E928F6">
      <w:pPr>
        <w:rPr>
          <w:b/>
        </w:rPr>
      </w:pPr>
      <w:r w:rsidRPr="0049706B">
        <w:rPr>
          <w:b/>
        </w:rPr>
        <w:t>Appendix B: Additional Results</w:t>
      </w:r>
    </w:p>
    <w:p w14:paraId="344610DE" w14:textId="77777777" w:rsidR="00E928F6" w:rsidRPr="0049706B" w:rsidRDefault="00E928F6" w:rsidP="00E928F6">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E928F6" w:rsidRPr="0049706B" w14:paraId="4E1CFDEC" w14:textId="77777777" w:rsidTr="00AB3151">
        <w:tc>
          <w:tcPr>
            <w:tcW w:w="4513" w:type="dxa"/>
            <w:shd w:val="clear" w:color="auto" w:fill="auto"/>
          </w:tcPr>
          <w:p w14:paraId="03D734BF" w14:textId="77777777" w:rsidR="00E928F6" w:rsidRPr="0049706B" w:rsidRDefault="00E928F6" w:rsidP="00AB3151">
            <w:r w:rsidRPr="00E87A04">
              <w:rPr>
                <w:noProof/>
                <w:lang w:val="en-PH" w:eastAsia="en-PH"/>
              </w:rPr>
              <w:drawing>
                <wp:inline distT="0" distB="0" distL="0" distR="0" wp14:anchorId="03A32799" wp14:editId="2532D5F3">
                  <wp:extent cx="2880000" cy="3600000"/>
                  <wp:effectExtent l="0" t="0" r="15875" b="635"/>
                  <wp:docPr id="36" name="Chart 36">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51E3C41-9A81-4ED1-B46B-C155AA8E743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c>
          <w:tcPr>
            <w:tcW w:w="4513" w:type="dxa"/>
            <w:shd w:val="clear" w:color="auto" w:fill="auto"/>
          </w:tcPr>
          <w:p w14:paraId="720F4027" w14:textId="77777777" w:rsidR="00E928F6" w:rsidRPr="0049706B" w:rsidRDefault="00E928F6" w:rsidP="00AB3151">
            <w:pPr>
              <w:rPr>
                <w:noProof/>
                <w:lang w:eastAsia="en-GB"/>
              </w:rPr>
            </w:pPr>
            <w:r w:rsidRPr="00E87A04">
              <w:rPr>
                <w:noProof/>
                <w:lang w:val="en-PH" w:eastAsia="en-PH"/>
              </w:rPr>
              <w:drawing>
                <wp:inline distT="0" distB="0" distL="0" distR="0" wp14:anchorId="2A469C0D" wp14:editId="71DD7137">
                  <wp:extent cx="2880000" cy="3600000"/>
                  <wp:effectExtent l="0" t="0" r="15875" b="635"/>
                  <wp:docPr id="35" name="Chart 35">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E0A28EB-97EE-4426-811E-8F59D227586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bl>
    <w:p w14:paraId="494613FC" w14:textId="77777777" w:rsidR="00E928F6" w:rsidRDefault="00E928F6" w:rsidP="00E928F6"/>
    <w:p w14:paraId="20798ECE" w14:textId="32031390" w:rsidR="00E928F6" w:rsidRDefault="00E928F6" w:rsidP="00E928F6">
      <w:pPr>
        <w:jc w:val="center"/>
      </w:pPr>
      <w:r>
        <w:t xml:space="preserve">Figure </w:t>
      </w:r>
      <w:r w:rsidR="00DD416C">
        <w:t>S</w:t>
      </w:r>
      <w:r w:rsidR="00EC0E89">
        <w:t>1</w:t>
      </w:r>
      <w:r>
        <w:t>: Decomposition of Household Income and Household Consumption</w:t>
      </w:r>
    </w:p>
    <w:p w14:paraId="1248760C" w14:textId="77777777" w:rsidR="004337D1" w:rsidRDefault="004337D1" w:rsidP="00E928F6">
      <w:pPr>
        <w:rPr>
          <w:b/>
          <w:u w:val="single"/>
        </w:rPr>
      </w:pPr>
    </w:p>
    <w:p w14:paraId="7E4CFE5F" w14:textId="77777777" w:rsidR="004337D1" w:rsidRDefault="004337D1" w:rsidP="00E928F6">
      <w:pPr>
        <w:rPr>
          <w:b/>
          <w:u w:val="single"/>
        </w:rPr>
      </w:pPr>
    </w:p>
    <w:p w14:paraId="32EB03BE" w14:textId="77777777" w:rsidR="004337D1" w:rsidRDefault="004337D1">
      <w:pPr>
        <w:rPr>
          <w:b/>
          <w:u w:val="single"/>
        </w:rPr>
      </w:pPr>
      <w:r>
        <w:rPr>
          <w:b/>
          <w:u w:val="single"/>
        </w:rPr>
        <w:br w:type="page"/>
      </w:r>
    </w:p>
    <w:p w14:paraId="7402B5B7" w14:textId="13800FCE" w:rsidR="00E928F6" w:rsidRPr="00520EA5" w:rsidRDefault="00E928F6" w:rsidP="00E928F6">
      <w:pPr>
        <w:rPr>
          <w:b/>
          <w:u w:val="single"/>
        </w:rPr>
      </w:pPr>
      <w:r w:rsidRPr="00520EA5">
        <w:rPr>
          <w:b/>
          <w:u w:val="single"/>
        </w:rPr>
        <w:t>Additional Results for Nutrient Matching Scenario</w:t>
      </w:r>
    </w:p>
    <w:p w14:paraId="270228D0" w14:textId="7A51A943" w:rsidR="00E928F6" w:rsidRPr="00520EA5" w:rsidRDefault="00E928F6" w:rsidP="00E928F6">
      <w:pPr>
        <w:jc w:val="center"/>
        <w:rPr>
          <w:b/>
        </w:rPr>
      </w:pPr>
      <w:r w:rsidRPr="00520EA5">
        <w:rPr>
          <w:b/>
        </w:rPr>
        <w:t xml:space="preserve">Table </w:t>
      </w:r>
      <w:r w:rsidR="00DD416C">
        <w:rPr>
          <w:b/>
        </w:rPr>
        <w:t>S</w:t>
      </w:r>
      <w:r w:rsidRPr="00520EA5">
        <w:rPr>
          <w:b/>
        </w:rPr>
        <w:t>1: Nutrient Matching Economic Results Decomposition</w:t>
      </w:r>
    </w:p>
    <w:tbl>
      <w:tblPr>
        <w:tblW w:w="4920" w:type="dxa"/>
        <w:jc w:val="center"/>
        <w:tblLook w:val="04A0" w:firstRow="1" w:lastRow="0" w:firstColumn="1" w:lastColumn="0" w:noHBand="0" w:noVBand="1"/>
      </w:tblPr>
      <w:tblGrid>
        <w:gridCol w:w="2840"/>
        <w:gridCol w:w="960"/>
        <w:gridCol w:w="1120"/>
      </w:tblGrid>
      <w:tr w:rsidR="00E928F6" w:rsidRPr="00F3638A" w14:paraId="269EF4FE" w14:textId="77777777" w:rsidTr="00AB3151">
        <w:trPr>
          <w:trHeight w:val="315"/>
          <w:jc w:val="center"/>
        </w:trPr>
        <w:tc>
          <w:tcPr>
            <w:tcW w:w="2840" w:type="dxa"/>
            <w:tcBorders>
              <w:top w:val="nil"/>
              <w:left w:val="nil"/>
              <w:bottom w:val="nil"/>
              <w:right w:val="nil"/>
            </w:tcBorders>
            <w:shd w:val="clear" w:color="auto" w:fill="auto"/>
            <w:noWrap/>
            <w:vAlign w:val="bottom"/>
            <w:hideMark/>
          </w:tcPr>
          <w:p w14:paraId="18E48CCE" w14:textId="77777777" w:rsidR="00E928F6" w:rsidRPr="00F3638A" w:rsidRDefault="00E928F6" w:rsidP="00AB3151">
            <w:pPr>
              <w:spacing w:after="0" w:line="240" w:lineRule="auto"/>
              <w:rPr>
                <w:rFonts w:ascii="Calibri" w:eastAsia="Times New Roman" w:hAnsi="Calibri" w:cs="Times New Roman"/>
                <w:b/>
                <w:bCs/>
                <w:color w:val="000000"/>
                <w:sz w:val="24"/>
                <w:szCs w:val="24"/>
                <w:lang w:eastAsia="en-GB"/>
              </w:rPr>
            </w:pPr>
            <w:r w:rsidRPr="00F3638A">
              <w:rPr>
                <w:rFonts w:ascii="Calibri" w:eastAsia="Times New Roman" w:hAnsi="Calibri" w:cs="Times New Roman"/>
                <w:b/>
                <w:bCs/>
                <w:color w:val="000000"/>
                <w:sz w:val="24"/>
                <w:szCs w:val="24"/>
                <w:lang w:eastAsia="en-GB"/>
              </w:rPr>
              <w:t>economic</w:t>
            </w:r>
          </w:p>
        </w:tc>
        <w:tc>
          <w:tcPr>
            <w:tcW w:w="960" w:type="dxa"/>
            <w:tcBorders>
              <w:top w:val="nil"/>
              <w:left w:val="nil"/>
              <w:bottom w:val="nil"/>
              <w:right w:val="nil"/>
            </w:tcBorders>
            <w:shd w:val="clear" w:color="auto" w:fill="auto"/>
            <w:noWrap/>
            <w:vAlign w:val="bottom"/>
            <w:hideMark/>
          </w:tcPr>
          <w:p w14:paraId="12FA7B21" w14:textId="77777777" w:rsidR="00E928F6" w:rsidRPr="00F3638A" w:rsidRDefault="00E928F6" w:rsidP="00AB3151">
            <w:pPr>
              <w:spacing w:after="0" w:line="240" w:lineRule="auto"/>
              <w:rPr>
                <w:rFonts w:ascii="Calibri" w:eastAsia="Times New Roman" w:hAnsi="Calibri" w:cs="Times New Roman"/>
                <w:b/>
                <w:bCs/>
                <w:color w:val="000000"/>
                <w:sz w:val="24"/>
                <w:szCs w:val="24"/>
                <w:lang w:eastAsia="en-GB"/>
              </w:rPr>
            </w:pPr>
          </w:p>
        </w:tc>
        <w:tc>
          <w:tcPr>
            <w:tcW w:w="1120" w:type="dxa"/>
            <w:tcBorders>
              <w:top w:val="nil"/>
              <w:left w:val="nil"/>
              <w:bottom w:val="nil"/>
              <w:right w:val="nil"/>
            </w:tcBorders>
            <w:shd w:val="clear" w:color="auto" w:fill="auto"/>
            <w:noWrap/>
            <w:vAlign w:val="bottom"/>
            <w:hideMark/>
          </w:tcPr>
          <w:p w14:paraId="2E524E9F" w14:textId="77777777" w:rsidR="00E928F6" w:rsidRPr="00F3638A" w:rsidRDefault="00E928F6" w:rsidP="00AB3151">
            <w:pPr>
              <w:spacing w:after="0" w:line="240" w:lineRule="auto"/>
              <w:rPr>
                <w:rFonts w:ascii="Times New Roman" w:eastAsia="Times New Roman" w:hAnsi="Times New Roman" w:cs="Times New Roman"/>
                <w:sz w:val="20"/>
                <w:szCs w:val="20"/>
                <w:lang w:eastAsia="en-GB"/>
              </w:rPr>
            </w:pPr>
          </w:p>
        </w:tc>
      </w:tr>
      <w:tr w:rsidR="00E928F6" w:rsidRPr="00F3638A" w14:paraId="46552878" w14:textId="77777777" w:rsidTr="00AB3151">
        <w:trPr>
          <w:trHeight w:val="225"/>
          <w:jc w:val="center"/>
        </w:trPr>
        <w:tc>
          <w:tcPr>
            <w:tcW w:w="2840" w:type="dxa"/>
            <w:tcBorders>
              <w:top w:val="single" w:sz="4" w:space="0" w:color="auto"/>
              <w:left w:val="nil"/>
              <w:bottom w:val="nil"/>
              <w:right w:val="nil"/>
            </w:tcBorders>
            <w:shd w:val="clear" w:color="auto" w:fill="auto"/>
            <w:noWrap/>
            <w:vAlign w:val="bottom"/>
            <w:hideMark/>
          </w:tcPr>
          <w:p w14:paraId="3B2975D6" w14:textId="77777777" w:rsidR="00E928F6" w:rsidRPr="00F3638A" w:rsidRDefault="00E928F6" w:rsidP="00AB3151">
            <w:pPr>
              <w:spacing w:after="0" w:line="240" w:lineRule="auto"/>
              <w:rPr>
                <w:rFonts w:ascii="Calibri" w:eastAsia="Times New Roman" w:hAnsi="Calibri" w:cs="Times New Roman"/>
                <w:b/>
                <w:bCs/>
                <w:i/>
                <w:iCs/>
                <w:color w:val="000000"/>
                <w:sz w:val="16"/>
                <w:szCs w:val="16"/>
                <w:lang w:eastAsia="en-GB"/>
              </w:rPr>
            </w:pPr>
            <w:r w:rsidRPr="00F3638A">
              <w:rPr>
                <w:rFonts w:ascii="Calibri" w:eastAsia="Times New Roman" w:hAnsi="Calibri" w:cs="Times New Roman"/>
                <w:b/>
                <w:bCs/>
                <w:i/>
                <w:iCs/>
                <w:color w:val="000000"/>
                <w:sz w:val="16"/>
                <w:szCs w:val="16"/>
                <w:lang w:eastAsia="en-GB"/>
              </w:rPr>
              <w:t>Real GDP &amp; sales tax</w:t>
            </w:r>
          </w:p>
        </w:tc>
        <w:tc>
          <w:tcPr>
            <w:tcW w:w="960" w:type="dxa"/>
            <w:tcBorders>
              <w:top w:val="single" w:sz="4" w:space="0" w:color="auto"/>
              <w:left w:val="nil"/>
              <w:bottom w:val="nil"/>
              <w:right w:val="nil"/>
            </w:tcBorders>
            <w:shd w:val="clear" w:color="auto" w:fill="auto"/>
            <w:noWrap/>
            <w:vAlign w:val="bottom"/>
            <w:hideMark/>
          </w:tcPr>
          <w:p w14:paraId="409A6A1C" w14:textId="77777777" w:rsidR="00E928F6" w:rsidRPr="00F3638A" w:rsidRDefault="00E928F6" w:rsidP="00AB3151">
            <w:pPr>
              <w:spacing w:after="0" w:line="240" w:lineRule="auto"/>
              <w:rPr>
                <w:rFonts w:ascii="Calibri" w:eastAsia="Times New Roman" w:hAnsi="Calibri" w:cs="Times New Roman"/>
                <w:color w:val="000000"/>
                <w:sz w:val="16"/>
                <w:szCs w:val="16"/>
                <w:lang w:eastAsia="en-GB"/>
              </w:rPr>
            </w:pPr>
            <w:r w:rsidRPr="00F3638A">
              <w:rPr>
                <w:rFonts w:ascii="Calibri" w:eastAsia="Times New Roman" w:hAnsi="Calibri" w:cs="Times New Roman"/>
                <w:color w:val="000000"/>
                <w:sz w:val="16"/>
                <w:szCs w:val="16"/>
                <w:lang w:eastAsia="en-GB"/>
              </w:rPr>
              <w:t> </w:t>
            </w:r>
          </w:p>
        </w:tc>
        <w:tc>
          <w:tcPr>
            <w:tcW w:w="1120" w:type="dxa"/>
            <w:tcBorders>
              <w:top w:val="single" w:sz="4" w:space="0" w:color="auto"/>
              <w:left w:val="nil"/>
              <w:bottom w:val="nil"/>
              <w:right w:val="nil"/>
            </w:tcBorders>
            <w:shd w:val="clear" w:color="auto" w:fill="auto"/>
            <w:noWrap/>
            <w:vAlign w:val="bottom"/>
            <w:hideMark/>
          </w:tcPr>
          <w:p w14:paraId="7EE58611" w14:textId="77777777" w:rsidR="00E928F6" w:rsidRPr="00F3638A" w:rsidRDefault="00E928F6" w:rsidP="00AB3151">
            <w:pPr>
              <w:spacing w:after="0" w:line="240" w:lineRule="auto"/>
              <w:rPr>
                <w:rFonts w:ascii="Calibri" w:eastAsia="Times New Roman" w:hAnsi="Calibri" w:cs="Times New Roman"/>
                <w:color w:val="000000"/>
                <w:sz w:val="16"/>
                <w:szCs w:val="16"/>
                <w:lang w:eastAsia="en-GB"/>
              </w:rPr>
            </w:pPr>
            <w:r w:rsidRPr="00F3638A">
              <w:rPr>
                <w:rFonts w:ascii="Calibri" w:eastAsia="Times New Roman" w:hAnsi="Calibri" w:cs="Times New Roman"/>
                <w:color w:val="000000"/>
                <w:sz w:val="16"/>
                <w:szCs w:val="16"/>
                <w:lang w:eastAsia="en-GB"/>
              </w:rPr>
              <w:t> </w:t>
            </w:r>
          </w:p>
        </w:tc>
      </w:tr>
      <w:tr w:rsidR="00E928F6" w:rsidRPr="00F3638A" w14:paraId="3ADCEDC6" w14:textId="77777777" w:rsidTr="00AB3151">
        <w:trPr>
          <w:trHeight w:val="225"/>
          <w:jc w:val="center"/>
        </w:trPr>
        <w:tc>
          <w:tcPr>
            <w:tcW w:w="2840" w:type="dxa"/>
            <w:tcBorders>
              <w:top w:val="nil"/>
              <w:left w:val="nil"/>
              <w:bottom w:val="nil"/>
              <w:right w:val="nil"/>
            </w:tcBorders>
            <w:shd w:val="clear" w:color="auto" w:fill="auto"/>
            <w:noWrap/>
            <w:vAlign w:val="bottom"/>
            <w:hideMark/>
          </w:tcPr>
          <w:p w14:paraId="4BFE6BD2" w14:textId="77777777" w:rsidR="00E928F6" w:rsidRPr="00F3638A" w:rsidRDefault="00E928F6" w:rsidP="00AB3151">
            <w:pPr>
              <w:spacing w:after="0" w:line="240" w:lineRule="auto"/>
              <w:rPr>
                <w:rFonts w:ascii="Calibri" w:eastAsia="Times New Roman" w:hAnsi="Calibri" w:cs="Times New Roman"/>
                <w:color w:val="000000"/>
                <w:sz w:val="16"/>
                <w:szCs w:val="16"/>
                <w:lang w:eastAsia="en-GB"/>
              </w:rPr>
            </w:pPr>
          </w:p>
        </w:tc>
        <w:tc>
          <w:tcPr>
            <w:tcW w:w="960" w:type="dxa"/>
            <w:tcBorders>
              <w:top w:val="single" w:sz="4" w:space="0" w:color="auto"/>
              <w:left w:val="nil"/>
              <w:bottom w:val="nil"/>
              <w:right w:val="nil"/>
            </w:tcBorders>
            <w:shd w:val="clear" w:color="auto" w:fill="auto"/>
            <w:noWrap/>
            <w:vAlign w:val="center"/>
            <w:hideMark/>
          </w:tcPr>
          <w:p w14:paraId="7A7B242A" w14:textId="77777777" w:rsidR="00E928F6" w:rsidRPr="00F3638A" w:rsidRDefault="00E928F6" w:rsidP="00AB3151">
            <w:pPr>
              <w:spacing w:after="0" w:line="240" w:lineRule="auto"/>
              <w:rPr>
                <w:rFonts w:ascii="Calibri" w:eastAsia="Times New Roman" w:hAnsi="Calibri" w:cs="Times New Roman"/>
                <w:color w:val="000000"/>
                <w:sz w:val="16"/>
                <w:szCs w:val="16"/>
                <w:lang w:eastAsia="en-GB"/>
              </w:rPr>
            </w:pPr>
            <w:r>
              <w:rPr>
                <w:rFonts w:ascii="Calibri" w:hAnsi="Calibri"/>
                <w:color w:val="000000"/>
                <w:sz w:val="16"/>
                <w:szCs w:val="16"/>
              </w:rPr>
              <w:t>mn USD</w:t>
            </w:r>
          </w:p>
        </w:tc>
        <w:tc>
          <w:tcPr>
            <w:tcW w:w="1120" w:type="dxa"/>
            <w:tcBorders>
              <w:top w:val="single" w:sz="4" w:space="0" w:color="auto"/>
              <w:left w:val="nil"/>
              <w:bottom w:val="nil"/>
              <w:right w:val="nil"/>
            </w:tcBorders>
            <w:shd w:val="clear" w:color="auto" w:fill="auto"/>
            <w:noWrap/>
            <w:vAlign w:val="center"/>
            <w:hideMark/>
          </w:tcPr>
          <w:p w14:paraId="61274708" w14:textId="77777777" w:rsidR="00E928F6" w:rsidRPr="00F3638A" w:rsidRDefault="00E928F6" w:rsidP="00AB3151">
            <w:pPr>
              <w:spacing w:after="0" w:line="240" w:lineRule="auto"/>
              <w:rPr>
                <w:rFonts w:ascii="Calibri" w:eastAsia="Times New Roman" w:hAnsi="Calibri" w:cs="Times New Roman"/>
                <w:color w:val="000000"/>
                <w:sz w:val="16"/>
                <w:szCs w:val="16"/>
                <w:lang w:eastAsia="en-GB"/>
              </w:rPr>
            </w:pPr>
            <w:r>
              <w:rPr>
                <w:rFonts w:ascii="Calibri" w:hAnsi="Calibri"/>
                <w:color w:val="000000"/>
                <w:sz w:val="16"/>
                <w:szCs w:val="16"/>
              </w:rPr>
              <w:t>% of GDP</w:t>
            </w:r>
          </w:p>
        </w:tc>
      </w:tr>
      <w:tr w:rsidR="00E928F6" w:rsidRPr="00F3638A" w14:paraId="6585A144" w14:textId="77777777" w:rsidTr="00AB3151">
        <w:trPr>
          <w:trHeight w:val="225"/>
          <w:jc w:val="center"/>
        </w:trPr>
        <w:tc>
          <w:tcPr>
            <w:tcW w:w="2840" w:type="dxa"/>
            <w:tcBorders>
              <w:top w:val="nil"/>
              <w:left w:val="nil"/>
              <w:bottom w:val="nil"/>
              <w:right w:val="nil"/>
            </w:tcBorders>
            <w:shd w:val="clear" w:color="auto" w:fill="auto"/>
            <w:noWrap/>
            <w:vAlign w:val="bottom"/>
            <w:hideMark/>
          </w:tcPr>
          <w:p w14:paraId="489AA609" w14:textId="77777777" w:rsidR="00E928F6" w:rsidRPr="00F3638A" w:rsidRDefault="00E928F6" w:rsidP="00AB3151">
            <w:pPr>
              <w:spacing w:after="0" w:line="240" w:lineRule="auto"/>
              <w:rPr>
                <w:rFonts w:ascii="Calibri" w:eastAsia="Times New Roman" w:hAnsi="Calibri" w:cs="Times New Roman"/>
                <w:color w:val="000000"/>
                <w:sz w:val="16"/>
                <w:szCs w:val="16"/>
                <w:lang w:eastAsia="en-GB"/>
              </w:rPr>
            </w:pPr>
            <w:r w:rsidRPr="00F3638A">
              <w:rPr>
                <w:rFonts w:ascii="Calibri" w:eastAsia="Times New Roman" w:hAnsi="Calibri" w:cs="Times New Roman"/>
                <w:color w:val="000000"/>
                <w:sz w:val="16"/>
                <w:szCs w:val="16"/>
                <w:lang w:eastAsia="en-GB"/>
              </w:rPr>
              <w:t>Δreal GDP</w:t>
            </w:r>
          </w:p>
        </w:tc>
        <w:tc>
          <w:tcPr>
            <w:tcW w:w="960" w:type="dxa"/>
            <w:tcBorders>
              <w:top w:val="nil"/>
              <w:left w:val="nil"/>
              <w:bottom w:val="nil"/>
              <w:right w:val="nil"/>
            </w:tcBorders>
            <w:shd w:val="clear" w:color="auto" w:fill="auto"/>
            <w:noWrap/>
            <w:vAlign w:val="center"/>
            <w:hideMark/>
          </w:tcPr>
          <w:p w14:paraId="6FE090B1" w14:textId="77777777" w:rsidR="00E928F6" w:rsidRPr="00F3638A" w:rsidRDefault="00E928F6" w:rsidP="00AB3151">
            <w:pPr>
              <w:spacing w:after="0" w:line="240" w:lineRule="auto"/>
              <w:jc w:val="right"/>
              <w:rPr>
                <w:rFonts w:ascii="Calibri" w:eastAsia="Times New Roman" w:hAnsi="Calibri" w:cs="Times New Roman"/>
                <w:color w:val="000000"/>
                <w:sz w:val="16"/>
                <w:szCs w:val="16"/>
                <w:lang w:eastAsia="en-GB"/>
              </w:rPr>
            </w:pPr>
            <w:r>
              <w:rPr>
                <w:rFonts w:ascii="Calibri" w:hAnsi="Calibri"/>
                <w:color w:val="000000"/>
                <w:sz w:val="16"/>
                <w:szCs w:val="16"/>
              </w:rPr>
              <w:t>308</w:t>
            </w:r>
          </w:p>
        </w:tc>
        <w:tc>
          <w:tcPr>
            <w:tcW w:w="1120" w:type="dxa"/>
            <w:tcBorders>
              <w:top w:val="nil"/>
              <w:left w:val="nil"/>
              <w:bottom w:val="nil"/>
              <w:right w:val="nil"/>
            </w:tcBorders>
            <w:shd w:val="clear" w:color="auto" w:fill="auto"/>
            <w:noWrap/>
            <w:vAlign w:val="center"/>
            <w:hideMark/>
          </w:tcPr>
          <w:p w14:paraId="151BC5F2" w14:textId="77777777" w:rsidR="00E928F6" w:rsidRPr="00F3638A" w:rsidRDefault="00E928F6" w:rsidP="00AB3151">
            <w:pPr>
              <w:spacing w:after="0" w:line="240" w:lineRule="auto"/>
              <w:jc w:val="right"/>
              <w:rPr>
                <w:rFonts w:ascii="Calibri" w:eastAsia="Times New Roman" w:hAnsi="Calibri" w:cs="Times New Roman"/>
                <w:color w:val="000000"/>
                <w:sz w:val="16"/>
                <w:szCs w:val="16"/>
                <w:lang w:eastAsia="en-GB"/>
              </w:rPr>
            </w:pPr>
            <w:r>
              <w:rPr>
                <w:rFonts w:ascii="Calibri" w:hAnsi="Calibri"/>
                <w:color w:val="000000"/>
                <w:sz w:val="16"/>
                <w:szCs w:val="16"/>
              </w:rPr>
              <w:t>0.003%</w:t>
            </w:r>
          </w:p>
        </w:tc>
      </w:tr>
      <w:tr w:rsidR="00E928F6" w:rsidRPr="00F3638A" w14:paraId="735032D8" w14:textId="77777777" w:rsidTr="00AB3151">
        <w:trPr>
          <w:trHeight w:val="255"/>
          <w:jc w:val="center"/>
        </w:trPr>
        <w:tc>
          <w:tcPr>
            <w:tcW w:w="2840" w:type="dxa"/>
            <w:tcBorders>
              <w:top w:val="nil"/>
              <w:left w:val="nil"/>
              <w:bottom w:val="nil"/>
              <w:right w:val="nil"/>
            </w:tcBorders>
            <w:shd w:val="clear" w:color="auto" w:fill="auto"/>
            <w:noWrap/>
            <w:vAlign w:val="bottom"/>
          </w:tcPr>
          <w:p w14:paraId="52888B10" w14:textId="77777777" w:rsidR="00E928F6" w:rsidRPr="00F3638A" w:rsidRDefault="00E928F6" w:rsidP="00AB3151">
            <w:pPr>
              <w:spacing w:after="0" w:line="240" w:lineRule="auto"/>
              <w:jc w:val="right"/>
              <w:rPr>
                <w:rFonts w:ascii="Calibri" w:eastAsia="Times New Roman" w:hAnsi="Calibri" w:cs="Times New Roman"/>
                <w:color w:val="000000"/>
                <w:sz w:val="16"/>
                <w:szCs w:val="16"/>
                <w:lang w:eastAsia="en-GB"/>
              </w:rPr>
            </w:pPr>
          </w:p>
        </w:tc>
        <w:tc>
          <w:tcPr>
            <w:tcW w:w="960" w:type="dxa"/>
            <w:tcBorders>
              <w:top w:val="nil"/>
              <w:left w:val="nil"/>
              <w:bottom w:val="nil"/>
              <w:right w:val="nil"/>
            </w:tcBorders>
            <w:shd w:val="clear" w:color="auto" w:fill="auto"/>
            <w:noWrap/>
            <w:vAlign w:val="center"/>
          </w:tcPr>
          <w:p w14:paraId="5B4BCB17" w14:textId="77777777" w:rsidR="00E928F6" w:rsidRPr="00F3638A" w:rsidRDefault="00E928F6" w:rsidP="00AB3151">
            <w:pPr>
              <w:spacing w:after="0" w:line="240" w:lineRule="auto"/>
              <w:rPr>
                <w:rFonts w:ascii="Calibri" w:eastAsia="Times New Roman" w:hAnsi="Calibri" w:cs="Times New Roman"/>
                <w:color w:val="000000"/>
                <w:sz w:val="16"/>
                <w:szCs w:val="16"/>
                <w:lang w:eastAsia="en-GB"/>
              </w:rPr>
            </w:pPr>
          </w:p>
        </w:tc>
        <w:tc>
          <w:tcPr>
            <w:tcW w:w="1120" w:type="dxa"/>
            <w:tcBorders>
              <w:top w:val="nil"/>
              <w:left w:val="nil"/>
              <w:bottom w:val="nil"/>
              <w:right w:val="nil"/>
            </w:tcBorders>
            <w:shd w:val="clear" w:color="auto" w:fill="auto"/>
            <w:noWrap/>
            <w:vAlign w:val="bottom"/>
            <w:hideMark/>
          </w:tcPr>
          <w:p w14:paraId="05BB08E0" w14:textId="77777777" w:rsidR="00E928F6" w:rsidRPr="00F3638A" w:rsidRDefault="00E928F6" w:rsidP="00AB3151">
            <w:pPr>
              <w:spacing w:after="0" w:line="240" w:lineRule="auto"/>
              <w:rPr>
                <w:rFonts w:ascii="Calibri" w:eastAsia="Times New Roman" w:hAnsi="Calibri" w:cs="Times New Roman"/>
                <w:color w:val="000000"/>
                <w:sz w:val="16"/>
                <w:szCs w:val="16"/>
                <w:lang w:eastAsia="en-GB"/>
              </w:rPr>
            </w:pPr>
          </w:p>
        </w:tc>
      </w:tr>
      <w:tr w:rsidR="00E928F6" w:rsidRPr="00F3638A" w14:paraId="6DE4C3F9" w14:textId="77777777" w:rsidTr="00AB3151">
        <w:trPr>
          <w:trHeight w:val="255"/>
          <w:jc w:val="center"/>
        </w:trPr>
        <w:tc>
          <w:tcPr>
            <w:tcW w:w="2840" w:type="dxa"/>
            <w:tcBorders>
              <w:top w:val="nil"/>
              <w:left w:val="nil"/>
              <w:bottom w:val="nil"/>
              <w:right w:val="nil"/>
            </w:tcBorders>
            <w:shd w:val="clear" w:color="auto" w:fill="auto"/>
            <w:noWrap/>
            <w:vAlign w:val="bottom"/>
          </w:tcPr>
          <w:p w14:paraId="66BB6E85" w14:textId="77777777" w:rsidR="00E928F6" w:rsidRPr="00F3638A" w:rsidRDefault="00E928F6" w:rsidP="00AB3151">
            <w:pPr>
              <w:spacing w:after="0" w:line="240" w:lineRule="auto"/>
              <w:rPr>
                <w:rFonts w:ascii="Calibri" w:eastAsia="Times New Roman" w:hAnsi="Calibri" w:cs="Times New Roman"/>
                <w:color w:val="000000"/>
                <w:sz w:val="16"/>
                <w:szCs w:val="16"/>
                <w:lang w:eastAsia="en-GB"/>
              </w:rPr>
            </w:pPr>
          </w:p>
        </w:tc>
        <w:tc>
          <w:tcPr>
            <w:tcW w:w="960" w:type="dxa"/>
            <w:tcBorders>
              <w:top w:val="nil"/>
              <w:left w:val="nil"/>
              <w:bottom w:val="nil"/>
              <w:right w:val="nil"/>
            </w:tcBorders>
            <w:shd w:val="clear" w:color="auto" w:fill="auto"/>
            <w:noWrap/>
            <w:vAlign w:val="center"/>
          </w:tcPr>
          <w:p w14:paraId="3F8BCD71" w14:textId="77777777" w:rsidR="00E928F6" w:rsidRPr="00F3638A" w:rsidRDefault="00E928F6" w:rsidP="00AB3151">
            <w:pPr>
              <w:spacing w:after="0" w:line="240" w:lineRule="auto"/>
              <w:jc w:val="right"/>
              <w:rPr>
                <w:rFonts w:ascii="Calibri" w:eastAsia="Times New Roman" w:hAnsi="Calibri" w:cs="Times New Roman"/>
                <w:color w:val="000000"/>
                <w:sz w:val="16"/>
                <w:szCs w:val="16"/>
                <w:lang w:eastAsia="en-GB"/>
              </w:rPr>
            </w:pPr>
          </w:p>
        </w:tc>
        <w:tc>
          <w:tcPr>
            <w:tcW w:w="1120" w:type="dxa"/>
            <w:tcBorders>
              <w:top w:val="nil"/>
              <w:left w:val="nil"/>
              <w:bottom w:val="nil"/>
              <w:right w:val="nil"/>
            </w:tcBorders>
            <w:shd w:val="clear" w:color="auto" w:fill="auto"/>
            <w:noWrap/>
            <w:vAlign w:val="bottom"/>
            <w:hideMark/>
          </w:tcPr>
          <w:p w14:paraId="71553BD1" w14:textId="77777777" w:rsidR="00E928F6" w:rsidRPr="00F3638A" w:rsidRDefault="00E928F6" w:rsidP="00AB3151">
            <w:pPr>
              <w:spacing w:after="0" w:line="240" w:lineRule="auto"/>
              <w:jc w:val="right"/>
              <w:rPr>
                <w:rFonts w:ascii="Calibri" w:eastAsia="Times New Roman" w:hAnsi="Calibri" w:cs="Times New Roman"/>
                <w:color w:val="000000"/>
                <w:sz w:val="16"/>
                <w:szCs w:val="16"/>
                <w:lang w:eastAsia="en-GB"/>
              </w:rPr>
            </w:pPr>
          </w:p>
        </w:tc>
      </w:tr>
      <w:tr w:rsidR="00E928F6" w:rsidRPr="00F3638A" w14:paraId="1BDFD3A1" w14:textId="77777777" w:rsidTr="00AB3151">
        <w:trPr>
          <w:trHeight w:val="255"/>
          <w:jc w:val="center"/>
        </w:trPr>
        <w:tc>
          <w:tcPr>
            <w:tcW w:w="2840" w:type="dxa"/>
            <w:tcBorders>
              <w:top w:val="single" w:sz="4" w:space="0" w:color="auto"/>
              <w:left w:val="nil"/>
              <w:bottom w:val="nil"/>
              <w:right w:val="nil"/>
            </w:tcBorders>
            <w:shd w:val="clear" w:color="auto" w:fill="auto"/>
            <w:noWrap/>
            <w:vAlign w:val="bottom"/>
            <w:hideMark/>
          </w:tcPr>
          <w:p w14:paraId="7C3F1BD1" w14:textId="77777777" w:rsidR="00E928F6" w:rsidRPr="00F3638A" w:rsidRDefault="00E928F6" w:rsidP="00AB3151">
            <w:pPr>
              <w:spacing w:after="0" w:line="240" w:lineRule="auto"/>
              <w:rPr>
                <w:rFonts w:ascii="Calibri" w:eastAsia="Times New Roman" w:hAnsi="Calibri" w:cs="Times New Roman"/>
                <w:b/>
                <w:bCs/>
                <w:i/>
                <w:iCs/>
                <w:color w:val="000000"/>
                <w:sz w:val="16"/>
                <w:szCs w:val="16"/>
                <w:lang w:eastAsia="en-GB"/>
              </w:rPr>
            </w:pPr>
            <w:r w:rsidRPr="00F3638A">
              <w:rPr>
                <w:rFonts w:ascii="Calibri" w:eastAsia="Times New Roman" w:hAnsi="Calibri" w:cs="Times New Roman"/>
                <w:b/>
                <w:bCs/>
                <w:i/>
                <w:iCs/>
                <w:color w:val="000000"/>
                <w:sz w:val="16"/>
                <w:szCs w:val="16"/>
                <w:lang w:eastAsia="en-GB"/>
              </w:rPr>
              <w:t>Real Consumption/welfare</w:t>
            </w:r>
          </w:p>
        </w:tc>
        <w:tc>
          <w:tcPr>
            <w:tcW w:w="960" w:type="dxa"/>
            <w:tcBorders>
              <w:top w:val="single" w:sz="4" w:space="0" w:color="auto"/>
              <w:left w:val="nil"/>
              <w:bottom w:val="nil"/>
              <w:right w:val="nil"/>
            </w:tcBorders>
            <w:shd w:val="clear" w:color="auto" w:fill="auto"/>
            <w:noWrap/>
            <w:vAlign w:val="center"/>
            <w:hideMark/>
          </w:tcPr>
          <w:p w14:paraId="1C1B2494" w14:textId="77777777" w:rsidR="00E928F6" w:rsidRPr="00F3638A" w:rsidRDefault="00E928F6" w:rsidP="00AB3151">
            <w:pPr>
              <w:spacing w:after="0" w:line="240" w:lineRule="auto"/>
              <w:rPr>
                <w:rFonts w:ascii="Calibri" w:eastAsia="Times New Roman" w:hAnsi="Calibri" w:cs="Times New Roman"/>
                <w:color w:val="000000"/>
                <w:sz w:val="16"/>
                <w:szCs w:val="16"/>
                <w:lang w:eastAsia="en-GB"/>
              </w:rPr>
            </w:pPr>
            <w:r>
              <w:rPr>
                <w:rFonts w:ascii="Calibri" w:hAnsi="Calibri"/>
                <w:color w:val="000000"/>
                <w:sz w:val="16"/>
                <w:szCs w:val="16"/>
              </w:rPr>
              <w:t> </w:t>
            </w:r>
          </w:p>
        </w:tc>
        <w:tc>
          <w:tcPr>
            <w:tcW w:w="1120" w:type="dxa"/>
            <w:tcBorders>
              <w:top w:val="single" w:sz="4" w:space="0" w:color="auto"/>
              <w:left w:val="nil"/>
              <w:bottom w:val="nil"/>
              <w:right w:val="nil"/>
            </w:tcBorders>
            <w:shd w:val="clear" w:color="auto" w:fill="auto"/>
            <w:noWrap/>
            <w:vAlign w:val="center"/>
            <w:hideMark/>
          </w:tcPr>
          <w:p w14:paraId="5856FAC9" w14:textId="77777777" w:rsidR="00E928F6" w:rsidRPr="00F3638A" w:rsidRDefault="00E928F6" w:rsidP="00AB3151">
            <w:pPr>
              <w:spacing w:after="0" w:line="240" w:lineRule="auto"/>
              <w:rPr>
                <w:rFonts w:ascii="Calibri" w:eastAsia="Times New Roman" w:hAnsi="Calibri" w:cs="Times New Roman"/>
                <w:color w:val="000000"/>
                <w:sz w:val="16"/>
                <w:szCs w:val="16"/>
                <w:lang w:eastAsia="en-GB"/>
              </w:rPr>
            </w:pPr>
            <w:r>
              <w:rPr>
                <w:rFonts w:ascii="Calibri" w:hAnsi="Calibri"/>
                <w:color w:val="000000"/>
                <w:sz w:val="16"/>
                <w:szCs w:val="16"/>
              </w:rPr>
              <w:t> </w:t>
            </w:r>
          </w:p>
        </w:tc>
      </w:tr>
      <w:tr w:rsidR="00E928F6" w:rsidRPr="00F3638A" w14:paraId="5DAF9E4B" w14:textId="77777777" w:rsidTr="00AB3151">
        <w:trPr>
          <w:trHeight w:val="255"/>
          <w:jc w:val="center"/>
        </w:trPr>
        <w:tc>
          <w:tcPr>
            <w:tcW w:w="2840" w:type="dxa"/>
            <w:tcBorders>
              <w:top w:val="nil"/>
              <w:left w:val="nil"/>
              <w:bottom w:val="nil"/>
              <w:right w:val="nil"/>
            </w:tcBorders>
            <w:shd w:val="clear" w:color="auto" w:fill="auto"/>
            <w:noWrap/>
            <w:vAlign w:val="bottom"/>
            <w:hideMark/>
          </w:tcPr>
          <w:p w14:paraId="74C67C76" w14:textId="77777777" w:rsidR="00E928F6" w:rsidRPr="00F3638A" w:rsidRDefault="00E928F6" w:rsidP="00AB3151">
            <w:pPr>
              <w:spacing w:after="0" w:line="240" w:lineRule="auto"/>
              <w:rPr>
                <w:rFonts w:ascii="Calibri" w:eastAsia="Times New Roman" w:hAnsi="Calibri" w:cs="Times New Roman"/>
                <w:color w:val="000000"/>
                <w:sz w:val="16"/>
                <w:szCs w:val="16"/>
                <w:lang w:eastAsia="en-GB"/>
              </w:rPr>
            </w:pPr>
          </w:p>
        </w:tc>
        <w:tc>
          <w:tcPr>
            <w:tcW w:w="960" w:type="dxa"/>
            <w:tcBorders>
              <w:top w:val="single" w:sz="4" w:space="0" w:color="auto"/>
              <w:left w:val="nil"/>
              <w:bottom w:val="nil"/>
              <w:right w:val="nil"/>
            </w:tcBorders>
            <w:shd w:val="clear" w:color="auto" w:fill="auto"/>
            <w:noWrap/>
            <w:vAlign w:val="center"/>
            <w:hideMark/>
          </w:tcPr>
          <w:p w14:paraId="7DA1A4D0" w14:textId="77777777" w:rsidR="00E928F6" w:rsidRPr="00F3638A" w:rsidRDefault="00E928F6" w:rsidP="00AB3151">
            <w:pPr>
              <w:spacing w:after="0" w:line="240" w:lineRule="auto"/>
              <w:rPr>
                <w:rFonts w:ascii="Calibri" w:eastAsia="Times New Roman" w:hAnsi="Calibri" w:cs="Times New Roman"/>
                <w:color w:val="000000"/>
                <w:sz w:val="16"/>
                <w:szCs w:val="16"/>
                <w:lang w:eastAsia="en-GB"/>
              </w:rPr>
            </w:pPr>
            <w:r>
              <w:rPr>
                <w:rFonts w:ascii="Calibri" w:hAnsi="Calibri"/>
                <w:color w:val="000000"/>
                <w:sz w:val="16"/>
                <w:szCs w:val="16"/>
              </w:rPr>
              <w:t>mn USD</w:t>
            </w:r>
          </w:p>
        </w:tc>
        <w:tc>
          <w:tcPr>
            <w:tcW w:w="1120" w:type="dxa"/>
            <w:tcBorders>
              <w:top w:val="single" w:sz="4" w:space="0" w:color="auto"/>
              <w:left w:val="nil"/>
              <w:bottom w:val="nil"/>
              <w:right w:val="nil"/>
            </w:tcBorders>
            <w:shd w:val="clear" w:color="auto" w:fill="auto"/>
            <w:noWrap/>
            <w:vAlign w:val="center"/>
            <w:hideMark/>
          </w:tcPr>
          <w:p w14:paraId="3D3CB9C5" w14:textId="77777777" w:rsidR="00E928F6" w:rsidRPr="00F3638A" w:rsidRDefault="00E928F6" w:rsidP="00AB3151">
            <w:pPr>
              <w:spacing w:after="0" w:line="240" w:lineRule="auto"/>
              <w:rPr>
                <w:rFonts w:ascii="Calibri" w:eastAsia="Times New Roman" w:hAnsi="Calibri" w:cs="Times New Roman"/>
                <w:color w:val="000000"/>
                <w:sz w:val="16"/>
                <w:szCs w:val="16"/>
                <w:lang w:eastAsia="en-GB"/>
              </w:rPr>
            </w:pPr>
            <w:r>
              <w:rPr>
                <w:rFonts w:ascii="Calibri" w:hAnsi="Calibri"/>
                <w:color w:val="000000"/>
                <w:sz w:val="16"/>
                <w:szCs w:val="16"/>
              </w:rPr>
              <w:t>% of rHC</w:t>
            </w:r>
          </w:p>
        </w:tc>
      </w:tr>
      <w:tr w:rsidR="00E928F6" w:rsidRPr="00F3638A" w14:paraId="2D515C50" w14:textId="77777777" w:rsidTr="00AB3151">
        <w:trPr>
          <w:trHeight w:val="255"/>
          <w:jc w:val="center"/>
        </w:trPr>
        <w:tc>
          <w:tcPr>
            <w:tcW w:w="2840" w:type="dxa"/>
            <w:tcBorders>
              <w:top w:val="nil"/>
              <w:left w:val="nil"/>
              <w:bottom w:val="nil"/>
              <w:right w:val="nil"/>
            </w:tcBorders>
            <w:shd w:val="clear" w:color="auto" w:fill="auto"/>
            <w:noWrap/>
            <w:vAlign w:val="bottom"/>
            <w:hideMark/>
          </w:tcPr>
          <w:p w14:paraId="35589A62" w14:textId="77777777" w:rsidR="00E928F6" w:rsidRPr="00F3638A" w:rsidRDefault="00E928F6" w:rsidP="00AB3151">
            <w:pPr>
              <w:spacing w:after="0" w:line="240" w:lineRule="auto"/>
              <w:rPr>
                <w:rFonts w:ascii="Calibri" w:eastAsia="Times New Roman" w:hAnsi="Calibri" w:cs="Times New Roman"/>
                <w:color w:val="000000"/>
                <w:sz w:val="16"/>
                <w:szCs w:val="16"/>
                <w:lang w:eastAsia="en-GB"/>
              </w:rPr>
            </w:pPr>
            <w:r w:rsidRPr="00F3638A">
              <w:rPr>
                <w:rFonts w:ascii="Calibri" w:eastAsia="Times New Roman" w:hAnsi="Calibri" w:cs="Times New Roman"/>
                <w:color w:val="000000"/>
                <w:sz w:val="16"/>
                <w:szCs w:val="16"/>
                <w:lang w:eastAsia="en-GB"/>
              </w:rPr>
              <w:t>Δreal Household Consumption (rHC)</w:t>
            </w:r>
          </w:p>
        </w:tc>
        <w:tc>
          <w:tcPr>
            <w:tcW w:w="960" w:type="dxa"/>
            <w:tcBorders>
              <w:top w:val="nil"/>
              <w:left w:val="nil"/>
              <w:bottom w:val="nil"/>
              <w:right w:val="nil"/>
            </w:tcBorders>
            <w:shd w:val="clear" w:color="auto" w:fill="auto"/>
            <w:noWrap/>
            <w:vAlign w:val="center"/>
            <w:hideMark/>
          </w:tcPr>
          <w:p w14:paraId="2327741A" w14:textId="77777777" w:rsidR="00E928F6" w:rsidRPr="00F3638A" w:rsidRDefault="00E928F6" w:rsidP="00AB3151">
            <w:pPr>
              <w:spacing w:after="0" w:line="240" w:lineRule="auto"/>
              <w:jc w:val="right"/>
              <w:rPr>
                <w:rFonts w:ascii="Calibri" w:eastAsia="Times New Roman" w:hAnsi="Calibri" w:cs="Times New Roman"/>
                <w:color w:val="000000"/>
                <w:sz w:val="16"/>
                <w:szCs w:val="16"/>
                <w:lang w:eastAsia="en-GB"/>
              </w:rPr>
            </w:pPr>
            <w:r>
              <w:rPr>
                <w:rFonts w:ascii="Calibri" w:hAnsi="Calibri"/>
                <w:color w:val="000000"/>
                <w:sz w:val="16"/>
                <w:szCs w:val="16"/>
              </w:rPr>
              <w:t>152</w:t>
            </w:r>
          </w:p>
        </w:tc>
        <w:tc>
          <w:tcPr>
            <w:tcW w:w="1120" w:type="dxa"/>
            <w:tcBorders>
              <w:top w:val="nil"/>
              <w:left w:val="nil"/>
              <w:bottom w:val="nil"/>
              <w:right w:val="nil"/>
            </w:tcBorders>
            <w:shd w:val="clear" w:color="auto" w:fill="auto"/>
            <w:noWrap/>
            <w:vAlign w:val="center"/>
            <w:hideMark/>
          </w:tcPr>
          <w:p w14:paraId="3B9DBC66" w14:textId="77777777" w:rsidR="00E928F6" w:rsidRPr="00F3638A" w:rsidRDefault="00E928F6" w:rsidP="00AB3151">
            <w:pPr>
              <w:spacing w:after="0" w:line="240" w:lineRule="auto"/>
              <w:jc w:val="right"/>
              <w:rPr>
                <w:rFonts w:ascii="Calibri" w:eastAsia="Times New Roman" w:hAnsi="Calibri" w:cs="Times New Roman"/>
                <w:color w:val="000000"/>
                <w:sz w:val="16"/>
                <w:szCs w:val="16"/>
                <w:lang w:eastAsia="en-GB"/>
              </w:rPr>
            </w:pPr>
            <w:r>
              <w:rPr>
                <w:rFonts w:ascii="Calibri" w:hAnsi="Calibri"/>
                <w:color w:val="000000"/>
                <w:sz w:val="16"/>
                <w:szCs w:val="16"/>
              </w:rPr>
              <w:t>0.0028%</w:t>
            </w:r>
          </w:p>
        </w:tc>
      </w:tr>
      <w:tr w:rsidR="00E928F6" w:rsidRPr="00F3638A" w14:paraId="3EBD5725" w14:textId="77777777" w:rsidTr="00AB3151">
        <w:trPr>
          <w:trHeight w:val="255"/>
          <w:jc w:val="center"/>
        </w:trPr>
        <w:tc>
          <w:tcPr>
            <w:tcW w:w="2840" w:type="dxa"/>
            <w:tcBorders>
              <w:top w:val="nil"/>
              <w:left w:val="nil"/>
              <w:bottom w:val="nil"/>
              <w:right w:val="nil"/>
            </w:tcBorders>
            <w:shd w:val="clear" w:color="auto" w:fill="auto"/>
            <w:noWrap/>
            <w:vAlign w:val="bottom"/>
            <w:hideMark/>
          </w:tcPr>
          <w:p w14:paraId="254F38F0" w14:textId="77777777" w:rsidR="00E928F6" w:rsidRPr="00F3638A" w:rsidRDefault="00E928F6" w:rsidP="00AB3151">
            <w:pPr>
              <w:spacing w:after="0" w:line="240" w:lineRule="auto"/>
              <w:rPr>
                <w:rFonts w:ascii="Calibri" w:eastAsia="Times New Roman" w:hAnsi="Calibri" w:cs="Times New Roman"/>
                <w:color w:val="000000"/>
                <w:sz w:val="16"/>
                <w:szCs w:val="16"/>
                <w:lang w:eastAsia="en-GB"/>
              </w:rPr>
            </w:pPr>
            <w:r w:rsidRPr="00F3638A">
              <w:rPr>
                <w:rFonts w:ascii="Calibri" w:eastAsia="Times New Roman" w:hAnsi="Calibri" w:cs="Times New Roman"/>
                <w:color w:val="000000"/>
                <w:sz w:val="16"/>
                <w:szCs w:val="16"/>
                <w:lang w:eastAsia="en-GB"/>
              </w:rPr>
              <w:t xml:space="preserve">      - Bangkok</w:t>
            </w:r>
          </w:p>
        </w:tc>
        <w:tc>
          <w:tcPr>
            <w:tcW w:w="960" w:type="dxa"/>
            <w:tcBorders>
              <w:top w:val="nil"/>
              <w:left w:val="nil"/>
              <w:bottom w:val="nil"/>
              <w:right w:val="nil"/>
            </w:tcBorders>
            <w:shd w:val="clear" w:color="auto" w:fill="auto"/>
            <w:noWrap/>
            <w:vAlign w:val="center"/>
            <w:hideMark/>
          </w:tcPr>
          <w:p w14:paraId="6B481ACA" w14:textId="77777777" w:rsidR="00E928F6" w:rsidRPr="00F3638A" w:rsidRDefault="00E928F6" w:rsidP="00AB3151">
            <w:pPr>
              <w:spacing w:after="0" w:line="240" w:lineRule="auto"/>
              <w:jc w:val="right"/>
              <w:rPr>
                <w:rFonts w:ascii="Calibri" w:eastAsia="Times New Roman" w:hAnsi="Calibri" w:cs="Times New Roman"/>
                <w:color w:val="000000"/>
                <w:sz w:val="16"/>
                <w:szCs w:val="16"/>
                <w:lang w:eastAsia="en-GB"/>
              </w:rPr>
            </w:pPr>
            <w:r>
              <w:rPr>
                <w:rFonts w:ascii="Calibri" w:hAnsi="Calibri"/>
                <w:color w:val="000000"/>
                <w:sz w:val="16"/>
                <w:szCs w:val="16"/>
              </w:rPr>
              <w:t>34</w:t>
            </w:r>
          </w:p>
        </w:tc>
        <w:tc>
          <w:tcPr>
            <w:tcW w:w="1120" w:type="dxa"/>
            <w:tcBorders>
              <w:top w:val="nil"/>
              <w:left w:val="nil"/>
              <w:bottom w:val="nil"/>
              <w:right w:val="nil"/>
            </w:tcBorders>
            <w:shd w:val="clear" w:color="auto" w:fill="auto"/>
            <w:noWrap/>
            <w:vAlign w:val="center"/>
            <w:hideMark/>
          </w:tcPr>
          <w:p w14:paraId="48389BC9" w14:textId="77777777" w:rsidR="00E928F6" w:rsidRPr="00F3638A" w:rsidRDefault="00E928F6" w:rsidP="00AB3151">
            <w:pPr>
              <w:spacing w:after="0" w:line="240" w:lineRule="auto"/>
              <w:jc w:val="right"/>
              <w:rPr>
                <w:rFonts w:ascii="Calibri" w:eastAsia="Times New Roman" w:hAnsi="Calibri" w:cs="Times New Roman"/>
                <w:color w:val="000000"/>
                <w:sz w:val="16"/>
                <w:szCs w:val="16"/>
                <w:lang w:eastAsia="en-GB"/>
              </w:rPr>
            </w:pPr>
            <w:r>
              <w:rPr>
                <w:rFonts w:ascii="Calibri" w:hAnsi="Calibri"/>
                <w:color w:val="000000"/>
                <w:sz w:val="16"/>
                <w:szCs w:val="16"/>
              </w:rPr>
              <w:t>0.0033%</w:t>
            </w:r>
          </w:p>
        </w:tc>
      </w:tr>
      <w:tr w:rsidR="00E928F6" w:rsidRPr="00F3638A" w14:paraId="52712815" w14:textId="77777777" w:rsidTr="00AB3151">
        <w:trPr>
          <w:trHeight w:val="255"/>
          <w:jc w:val="center"/>
        </w:trPr>
        <w:tc>
          <w:tcPr>
            <w:tcW w:w="2840" w:type="dxa"/>
            <w:tcBorders>
              <w:top w:val="nil"/>
              <w:left w:val="nil"/>
              <w:bottom w:val="nil"/>
              <w:right w:val="nil"/>
            </w:tcBorders>
            <w:shd w:val="clear" w:color="auto" w:fill="auto"/>
            <w:noWrap/>
            <w:vAlign w:val="bottom"/>
            <w:hideMark/>
          </w:tcPr>
          <w:p w14:paraId="00C4FA37" w14:textId="77777777" w:rsidR="00E928F6" w:rsidRPr="00F3638A" w:rsidRDefault="00E928F6" w:rsidP="00AB3151">
            <w:pPr>
              <w:spacing w:after="0" w:line="240" w:lineRule="auto"/>
              <w:rPr>
                <w:rFonts w:ascii="Calibri" w:eastAsia="Times New Roman" w:hAnsi="Calibri" w:cs="Times New Roman"/>
                <w:color w:val="000000"/>
                <w:sz w:val="16"/>
                <w:szCs w:val="16"/>
                <w:lang w:eastAsia="en-GB"/>
              </w:rPr>
            </w:pPr>
            <w:r w:rsidRPr="00F3638A">
              <w:rPr>
                <w:rFonts w:ascii="Calibri" w:eastAsia="Times New Roman" w:hAnsi="Calibri" w:cs="Times New Roman"/>
                <w:color w:val="000000"/>
                <w:sz w:val="16"/>
                <w:szCs w:val="16"/>
                <w:lang w:eastAsia="en-GB"/>
              </w:rPr>
              <w:t xml:space="preserve">      - Central region (exc Bangkok)</w:t>
            </w:r>
          </w:p>
        </w:tc>
        <w:tc>
          <w:tcPr>
            <w:tcW w:w="960" w:type="dxa"/>
            <w:tcBorders>
              <w:top w:val="nil"/>
              <w:left w:val="nil"/>
              <w:bottom w:val="nil"/>
              <w:right w:val="nil"/>
            </w:tcBorders>
            <w:shd w:val="clear" w:color="auto" w:fill="auto"/>
            <w:noWrap/>
            <w:vAlign w:val="center"/>
            <w:hideMark/>
          </w:tcPr>
          <w:p w14:paraId="1FBFC64E" w14:textId="77777777" w:rsidR="00E928F6" w:rsidRPr="00F3638A" w:rsidRDefault="00E928F6" w:rsidP="00AB3151">
            <w:pPr>
              <w:spacing w:after="0" w:line="240" w:lineRule="auto"/>
              <w:jc w:val="right"/>
              <w:rPr>
                <w:rFonts w:ascii="Calibri" w:eastAsia="Times New Roman" w:hAnsi="Calibri" w:cs="Times New Roman"/>
                <w:color w:val="000000"/>
                <w:sz w:val="16"/>
                <w:szCs w:val="16"/>
                <w:lang w:eastAsia="en-GB"/>
              </w:rPr>
            </w:pPr>
            <w:r>
              <w:rPr>
                <w:rFonts w:ascii="Calibri" w:hAnsi="Calibri"/>
                <w:color w:val="000000"/>
                <w:sz w:val="16"/>
                <w:szCs w:val="16"/>
              </w:rPr>
              <w:t>30</w:t>
            </w:r>
          </w:p>
        </w:tc>
        <w:tc>
          <w:tcPr>
            <w:tcW w:w="1120" w:type="dxa"/>
            <w:tcBorders>
              <w:top w:val="nil"/>
              <w:left w:val="nil"/>
              <w:bottom w:val="nil"/>
              <w:right w:val="nil"/>
            </w:tcBorders>
            <w:shd w:val="clear" w:color="auto" w:fill="auto"/>
            <w:noWrap/>
            <w:vAlign w:val="center"/>
            <w:hideMark/>
          </w:tcPr>
          <w:p w14:paraId="1B276C44" w14:textId="77777777" w:rsidR="00E928F6" w:rsidRPr="00F3638A" w:rsidRDefault="00E928F6" w:rsidP="00AB3151">
            <w:pPr>
              <w:spacing w:after="0" w:line="240" w:lineRule="auto"/>
              <w:jc w:val="right"/>
              <w:rPr>
                <w:rFonts w:ascii="Calibri" w:eastAsia="Times New Roman" w:hAnsi="Calibri" w:cs="Times New Roman"/>
                <w:color w:val="000000"/>
                <w:sz w:val="16"/>
                <w:szCs w:val="16"/>
                <w:lang w:eastAsia="en-GB"/>
              </w:rPr>
            </w:pPr>
            <w:r>
              <w:rPr>
                <w:rFonts w:ascii="Calibri" w:hAnsi="Calibri"/>
                <w:color w:val="000000"/>
                <w:sz w:val="16"/>
                <w:szCs w:val="16"/>
              </w:rPr>
              <w:t>0.0019%</w:t>
            </w:r>
          </w:p>
        </w:tc>
      </w:tr>
      <w:tr w:rsidR="00E928F6" w:rsidRPr="00F3638A" w14:paraId="6387A2CF" w14:textId="77777777" w:rsidTr="00AB3151">
        <w:trPr>
          <w:trHeight w:val="225"/>
          <w:jc w:val="center"/>
        </w:trPr>
        <w:tc>
          <w:tcPr>
            <w:tcW w:w="2840" w:type="dxa"/>
            <w:tcBorders>
              <w:top w:val="nil"/>
              <w:left w:val="nil"/>
              <w:bottom w:val="nil"/>
              <w:right w:val="nil"/>
            </w:tcBorders>
            <w:shd w:val="clear" w:color="auto" w:fill="auto"/>
            <w:noWrap/>
            <w:vAlign w:val="bottom"/>
            <w:hideMark/>
          </w:tcPr>
          <w:p w14:paraId="5A1B98BD" w14:textId="77777777" w:rsidR="00E928F6" w:rsidRPr="00F3638A" w:rsidRDefault="00E928F6" w:rsidP="00AB3151">
            <w:pPr>
              <w:spacing w:after="0" w:line="240" w:lineRule="auto"/>
              <w:rPr>
                <w:rFonts w:ascii="Calibri" w:eastAsia="Times New Roman" w:hAnsi="Calibri" w:cs="Times New Roman"/>
                <w:color w:val="000000"/>
                <w:sz w:val="16"/>
                <w:szCs w:val="16"/>
                <w:lang w:eastAsia="en-GB"/>
              </w:rPr>
            </w:pPr>
            <w:r w:rsidRPr="00F3638A">
              <w:rPr>
                <w:rFonts w:ascii="Calibri" w:eastAsia="Times New Roman" w:hAnsi="Calibri" w:cs="Times New Roman"/>
                <w:color w:val="000000"/>
                <w:sz w:val="16"/>
                <w:szCs w:val="16"/>
                <w:lang w:eastAsia="en-GB"/>
              </w:rPr>
              <w:t xml:space="preserve">      - North region</w:t>
            </w:r>
          </w:p>
        </w:tc>
        <w:tc>
          <w:tcPr>
            <w:tcW w:w="960" w:type="dxa"/>
            <w:tcBorders>
              <w:top w:val="nil"/>
              <w:left w:val="nil"/>
              <w:bottom w:val="nil"/>
              <w:right w:val="nil"/>
            </w:tcBorders>
            <w:shd w:val="clear" w:color="auto" w:fill="auto"/>
            <w:noWrap/>
            <w:vAlign w:val="center"/>
            <w:hideMark/>
          </w:tcPr>
          <w:p w14:paraId="6FBF6A6A" w14:textId="77777777" w:rsidR="00E928F6" w:rsidRPr="00F3638A" w:rsidRDefault="00E928F6" w:rsidP="00AB3151">
            <w:pPr>
              <w:spacing w:after="0" w:line="240" w:lineRule="auto"/>
              <w:jc w:val="right"/>
              <w:rPr>
                <w:rFonts w:ascii="Calibri" w:eastAsia="Times New Roman" w:hAnsi="Calibri" w:cs="Times New Roman"/>
                <w:color w:val="000000"/>
                <w:sz w:val="16"/>
                <w:szCs w:val="16"/>
                <w:lang w:eastAsia="en-GB"/>
              </w:rPr>
            </w:pPr>
            <w:r>
              <w:rPr>
                <w:rFonts w:ascii="Calibri" w:hAnsi="Calibri"/>
                <w:color w:val="000000"/>
                <w:sz w:val="16"/>
                <w:szCs w:val="16"/>
              </w:rPr>
              <w:t>34</w:t>
            </w:r>
          </w:p>
        </w:tc>
        <w:tc>
          <w:tcPr>
            <w:tcW w:w="1120" w:type="dxa"/>
            <w:tcBorders>
              <w:top w:val="nil"/>
              <w:left w:val="nil"/>
              <w:bottom w:val="nil"/>
              <w:right w:val="nil"/>
            </w:tcBorders>
            <w:shd w:val="clear" w:color="auto" w:fill="auto"/>
            <w:noWrap/>
            <w:vAlign w:val="center"/>
            <w:hideMark/>
          </w:tcPr>
          <w:p w14:paraId="1D6269F5" w14:textId="77777777" w:rsidR="00E928F6" w:rsidRPr="00F3638A" w:rsidRDefault="00E928F6" w:rsidP="00AB3151">
            <w:pPr>
              <w:spacing w:after="0" w:line="240" w:lineRule="auto"/>
              <w:jc w:val="right"/>
              <w:rPr>
                <w:rFonts w:ascii="Calibri" w:eastAsia="Times New Roman" w:hAnsi="Calibri" w:cs="Times New Roman"/>
                <w:color w:val="000000"/>
                <w:sz w:val="16"/>
                <w:szCs w:val="16"/>
                <w:lang w:eastAsia="en-GB"/>
              </w:rPr>
            </w:pPr>
            <w:r>
              <w:rPr>
                <w:rFonts w:ascii="Calibri" w:hAnsi="Calibri"/>
                <w:color w:val="000000"/>
                <w:sz w:val="16"/>
                <w:szCs w:val="16"/>
              </w:rPr>
              <w:t>0.0043%</w:t>
            </w:r>
          </w:p>
        </w:tc>
      </w:tr>
      <w:tr w:rsidR="00E928F6" w:rsidRPr="00F3638A" w14:paraId="4FB3FC51" w14:textId="77777777" w:rsidTr="00AB3151">
        <w:trPr>
          <w:trHeight w:val="225"/>
          <w:jc w:val="center"/>
        </w:trPr>
        <w:tc>
          <w:tcPr>
            <w:tcW w:w="2840" w:type="dxa"/>
            <w:tcBorders>
              <w:top w:val="nil"/>
              <w:left w:val="nil"/>
              <w:bottom w:val="nil"/>
              <w:right w:val="nil"/>
            </w:tcBorders>
            <w:shd w:val="clear" w:color="auto" w:fill="auto"/>
            <w:noWrap/>
            <w:vAlign w:val="bottom"/>
            <w:hideMark/>
          </w:tcPr>
          <w:p w14:paraId="657DD1FD" w14:textId="77777777" w:rsidR="00E928F6" w:rsidRPr="00F3638A" w:rsidRDefault="00E928F6" w:rsidP="00AB3151">
            <w:pPr>
              <w:spacing w:after="0" w:line="240" w:lineRule="auto"/>
              <w:rPr>
                <w:rFonts w:ascii="Calibri" w:eastAsia="Times New Roman" w:hAnsi="Calibri" w:cs="Times New Roman"/>
                <w:color w:val="000000"/>
                <w:sz w:val="16"/>
                <w:szCs w:val="16"/>
                <w:lang w:eastAsia="en-GB"/>
              </w:rPr>
            </w:pPr>
            <w:r w:rsidRPr="00F3638A">
              <w:rPr>
                <w:rFonts w:ascii="Calibri" w:eastAsia="Times New Roman" w:hAnsi="Calibri" w:cs="Times New Roman"/>
                <w:color w:val="000000"/>
                <w:sz w:val="16"/>
                <w:szCs w:val="16"/>
                <w:lang w:eastAsia="en-GB"/>
              </w:rPr>
              <w:t xml:space="preserve">      - Northeast region</w:t>
            </w:r>
          </w:p>
        </w:tc>
        <w:tc>
          <w:tcPr>
            <w:tcW w:w="960" w:type="dxa"/>
            <w:tcBorders>
              <w:top w:val="nil"/>
              <w:left w:val="nil"/>
              <w:bottom w:val="nil"/>
              <w:right w:val="nil"/>
            </w:tcBorders>
            <w:shd w:val="clear" w:color="auto" w:fill="auto"/>
            <w:noWrap/>
            <w:vAlign w:val="center"/>
            <w:hideMark/>
          </w:tcPr>
          <w:p w14:paraId="26EDBB3E" w14:textId="77777777" w:rsidR="00E928F6" w:rsidRPr="00F3638A" w:rsidRDefault="00E928F6" w:rsidP="00AB3151">
            <w:pPr>
              <w:spacing w:after="0" w:line="240" w:lineRule="auto"/>
              <w:jc w:val="right"/>
              <w:rPr>
                <w:rFonts w:ascii="Calibri" w:eastAsia="Times New Roman" w:hAnsi="Calibri" w:cs="Times New Roman"/>
                <w:color w:val="000000"/>
                <w:sz w:val="16"/>
                <w:szCs w:val="16"/>
                <w:lang w:eastAsia="en-GB"/>
              </w:rPr>
            </w:pPr>
            <w:r>
              <w:rPr>
                <w:rFonts w:ascii="Calibri" w:hAnsi="Calibri"/>
                <w:color w:val="000000"/>
                <w:sz w:val="16"/>
                <w:szCs w:val="16"/>
              </w:rPr>
              <w:t>23</w:t>
            </w:r>
          </w:p>
        </w:tc>
        <w:tc>
          <w:tcPr>
            <w:tcW w:w="1120" w:type="dxa"/>
            <w:tcBorders>
              <w:top w:val="nil"/>
              <w:left w:val="nil"/>
              <w:bottom w:val="nil"/>
              <w:right w:val="nil"/>
            </w:tcBorders>
            <w:shd w:val="clear" w:color="auto" w:fill="auto"/>
            <w:noWrap/>
            <w:vAlign w:val="center"/>
            <w:hideMark/>
          </w:tcPr>
          <w:p w14:paraId="0934F552" w14:textId="77777777" w:rsidR="00E928F6" w:rsidRPr="00F3638A" w:rsidRDefault="00E928F6" w:rsidP="00AB3151">
            <w:pPr>
              <w:spacing w:after="0" w:line="240" w:lineRule="auto"/>
              <w:jc w:val="right"/>
              <w:rPr>
                <w:rFonts w:ascii="Calibri" w:eastAsia="Times New Roman" w:hAnsi="Calibri" w:cs="Times New Roman"/>
                <w:color w:val="000000"/>
                <w:sz w:val="16"/>
                <w:szCs w:val="16"/>
                <w:lang w:eastAsia="en-GB"/>
              </w:rPr>
            </w:pPr>
            <w:r>
              <w:rPr>
                <w:rFonts w:ascii="Calibri" w:hAnsi="Calibri"/>
                <w:color w:val="000000"/>
                <w:sz w:val="16"/>
                <w:szCs w:val="16"/>
              </w:rPr>
              <w:t>0.0018%</w:t>
            </w:r>
          </w:p>
        </w:tc>
      </w:tr>
      <w:tr w:rsidR="00E928F6" w:rsidRPr="00F3638A" w14:paraId="3BBE609F" w14:textId="77777777" w:rsidTr="00AB3151">
        <w:trPr>
          <w:trHeight w:val="255"/>
          <w:jc w:val="center"/>
        </w:trPr>
        <w:tc>
          <w:tcPr>
            <w:tcW w:w="2840" w:type="dxa"/>
            <w:tcBorders>
              <w:top w:val="nil"/>
              <w:left w:val="nil"/>
              <w:bottom w:val="nil"/>
              <w:right w:val="nil"/>
            </w:tcBorders>
            <w:shd w:val="clear" w:color="auto" w:fill="auto"/>
            <w:noWrap/>
            <w:vAlign w:val="bottom"/>
            <w:hideMark/>
          </w:tcPr>
          <w:p w14:paraId="46E38BBD" w14:textId="77777777" w:rsidR="00E928F6" w:rsidRPr="00F3638A" w:rsidRDefault="00E928F6" w:rsidP="00AB3151">
            <w:pPr>
              <w:spacing w:after="0" w:line="240" w:lineRule="auto"/>
              <w:rPr>
                <w:rFonts w:ascii="Calibri" w:eastAsia="Times New Roman" w:hAnsi="Calibri" w:cs="Times New Roman"/>
                <w:color w:val="000000"/>
                <w:sz w:val="16"/>
                <w:szCs w:val="16"/>
                <w:lang w:eastAsia="en-GB"/>
              </w:rPr>
            </w:pPr>
            <w:r w:rsidRPr="00F3638A">
              <w:rPr>
                <w:rFonts w:ascii="Calibri" w:eastAsia="Times New Roman" w:hAnsi="Calibri" w:cs="Times New Roman"/>
                <w:color w:val="000000"/>
                <w:sz w:val="16"/>
                <w:szCs w:val="16"/>
                <w:lang w:eastAsia="en-GB"/>
              </w:rPr>
              <w:t xml:space="preserve">      - South region</w:t>
            </w:r>
          </w:p>
        </w:tc>
        <w:tc>
          <w:tcPr>
            <w:tcW w:w="960" w:type="dxa"/>
            <w:tcBorders>
              <w:top w:val="nil"/>
              <w:left w:val="nil"/>
              <w:bottom w:val="nil"/>
              <w:right w:val="nil"/>
            </w:tcBorders>
            <w:shd w:val="clear" w:color="auto" w:fill="auto"/>
            <w:noWrap/>
            <w:vAlign w:val="center"/>
            <w:hideMark/>
          </w:tcPr>
          <w:p w14:paraId="2274A31C" w14:textId="77777777" w:rsidR="00E928F6" w:rsidRPr="00F3638A" w:rsidRDefault="00E928F6" w:rsidP="00AB3151">
            <w:pPr>
              <w:spacing w:after="0" w:line="240" w:lineRule="auto"/>
              <w:jc w:val="right"/>
              <w:rPr>
                <w:rFonts w:ascii="Calibri" w:eastAsia="Times New Roman" w:hAnsi="Calibri" w:cs="Times New Roman"/>
                <w:color w:val="000000"/>
                <w:sz w:val="16"/>
                <w:szCs w:val="16"/>
                <w:lang w:eastAsia="en-GB"/>
              </w:rPr>
            </w:pPr>
            <w:r>
              <w:rPr>
                <w:rFonts w:ascii="Calibri" w:hAnsi="Calibri"/>
                <w:color w:val="000000"/>
                <w:sz w:val="16"/>
                <w:szCs w:val="16"/>
              </w:rPr>
              <w:t>31</w:t>
            </w:r>
          </w:p>
        </w:tc>
        <w:tc>
          <w:tcPr>
            <w:tcW w:w="1120" w:type="dxa"/>
            <w:tcBorders>
              <w:top w:val="nil"/>
              <w:left w:val="nil"/>
              <w:bottom w:val="nil"/>
              <w:right w:val="nil"/>
            </w:tcBorders>
            <w:shd w:val="clear" w:color="auto" w:fill="auto"/>
            <w:noWrap/>
            <w:vAlign w:val="center"/>
            <w:hideMark/>
          </w:tcPr>
          <w:p w14:paraId="6FA22DA7" w14:textId="77777777" w:rsidR="00E928F6" w:rsidRPr="00F3638A" w:rsidRDefault="00E928F6" w:rsidP="00AB3151">
            <w:pPr>
              <w:spacing w:after="0" w:line="240" w:lineRule="auto"/>
              <w:jc w:val="right"/>
              <w:rPr>
                <w:rFonts w:ascii="Calibri" w:eastAsia="Times New Roman" w:hAnsi="Calibri" w:cs="Times New Roman"/>
                <w:color w:val="000000"/>
                <w:sz w:val="16"/>
                <w:szCs w:val="16"/>
                <w:lang w:eastAsia="en-GB"/>
              </w:rPr>
            </w:pPr>
            <w:r>
              <w:rPr>
                <w:rFonts w:ascii="Calibri" w:hAnsi="Calibri"/>
                <w:color w:val="000000"/>
                <w:sz w:val="16"/>
                <w:szCs w:val="16"/>
              </w:rPr>
              <w:t>0.0035%</w:t>
            </w:r>
          </w:p>
        </w:tc>
      </w:tr>
      <w:tr w:rsidR="00E928F6" w:rsidRPr="00F3638A" w14:paraId="184806BA" w14:textId="77777777" w:rsidTr="00AB3151">
        <w:trPr>
          <w:trHeight w:val="255"/>
          <w:jc w:val="center"/>
        </w:trPr>
        <w:tc>
          <w:tcPr>
            <w:tcW w:w="2840" w:type="dxa"/>
            <w:tcBorders>
              <w:top w:val="single" w:sz="4" w:space="0" w:color="auto"/>
              <w:left w:val="nil"/>
              <w:bottom w:val="nil"/>
              <w:right w:val="nil"/>
            </w:tcBorders>
            <w:shd w:val="clear" w:color="auto" w:fill="auto"/>
            <w:noWrap/>
            <w:vAlign w:val="bottom"/>
            <w:hideMark/>
          </w:tcPr>
          <w:p w14:paraId="118D7E78" w14:textId="77777777" w:rsidR="00E928F6" w:rsidRPr="00F3638A" w:rsidRDefault="00E928F6" w:rsidP="00AB3151">
            <w:pPr>
              <w:spacing w:after="0" w:line="240" w:lineRule="auto"/>
              <w:rPr>
                <w:rFonts w:ascii="Calibri" w:eastAsia="Times New Roman" w:hAnsi="Calibri" w:cs="Times New Roman"/>
                <w:b/>
                <w:bCs/>
                <w:i/>
                <w:iCs/>
                <w:color w:val="000000"/>
                <w:sz w:val="16"/>
                <w:szCs w:val="16"/>
                <w:lang w:eastAsia="en-GB"/>
              </w:rPr>
            </w:pPr>
            <w:r w:rsidRPr="00F3638A">
              <w:rPr>
                <w:rFonts w:ascii="Calibri" w:eastAsia="Times New Roman" w:hAnsi="Calibri" w:cs="Times New Roman"/>
                <w:b/>
                <w:bCs/>
                <w:i/>
                <w:iCs/>
                <w:color w:val="000000"/>
                <w:sz w:val="16"/>
                <w:szCs w:val="16"/>
                <w:lang w:eastAsia="en-GB"/>
              </w:rPr>
              <w:t>Health system costs</w:t>
            </w:r>
          </w:p>
        </w:tc>
        <w:tc>
          <w:tcPr>
            <w:tcW w:w="960" w:type="dxa"/>
            <w:tcBorders>
              <w:top w:val="single" w:sz="4" w:space="0" w:color="auto"/>
              <w:left w:val="nil"/>
              <w:bottom w:val="nil"/>
              <w:right w:val="nil"/>
            </w:tcBorders>
            <w:shd w:val="clear" w:color="auto" w:fill="auto"/>
            <w:noWrap/>
            <w:vAlign w:val="center"/>
            <w:hideMark/>
          </w:tcPr>
          <w:p w14:paraId="7C3978BD" w14:textId="77777777" w:rsidR="00E928F6" w:rsidRPr="00F3638A" w:rsidRDefault="00E928F6" w:rsidP="00AB3151">
            <w:pPr>
              <w:spacing w:after="0" w:line="240" w:lineRule="auto"/>
              <w:rPr>
                <w:rFonts w:ascii="Calibri" w:eastAsia="Times New Roman" w:hAnsi="Calibri" w:cs="Times New Roman"/>
                <w:color w:val="000000"/>
                <w:sz w:val="16"/>
                <w:szCs w:val="16"/>
                <w:lang w:eastAsia="en-GB"/>
              </w:rPr>
            </w:pPr>
            <w:r>
              <w:rPr>
                <w:rFonts w:ascii="Calibri" w:hAnsi="Calibri"/>
                <w:color w:val="000000"/>
                <w:sz w:val="16"/>
                <w:szCs w:val="16"/>
              </w:rPr>
              <w:t> </w:t>
            </w:r>
          </w:p>
        </w:tc>
        <w:tc>
          <w:tcPr>
            <w:tcW w:w="1120" w:type="dxa"/>
            <w:tcBorders>
              <w:top w:val="single" w:sz="4" w:space="0" w:color="auto"/>
              <w:left w:val="nil"/>
              <w:bottom w:val="nil"/>
              <w:right w:val="nil"/>
            </w:tcBorders>
            <w:shd w:val="clear" w:color="auto" w:fill="auto"/>
            <w:noWrap/>
            <w:vAlign w:val="center"/>
            <w:hideMark/>
          </w:tcPr>
          <w:p w14:paraId="43D9DEE0" w14:textId="77777777" w:rsidR="00E928F6" w:rsidRPr="00F3638A" w:rsidRDefault="00E928F6" w:rsidP="00AB3151">
            <w:pPr>
              <w:spacing w:after="0" w:line="240" w:lineRule="auto"/>
              <w:rPr>
                <w:rFonts w:ascii="Calibri" w:eastAsia="Times New Roman" w:hAnsi="Calibri" w:cs="Times New Roman"/>
                <w:color w:val="000000"/>
                <w:sz w:val="16"/>
                <w:szCs w:val="16"/>
                <w:lang w:eastAsia="en-GB"/>
              </w:rPr>
            </w:pPr>
            <w:r>
              <w:rPr>
                <w:rFonts w:ascii="Calibri" w:hAnsi="Calibri"/>
                <w:color w:val="000000"/>
                <w:sz w:val="16"/>
                <w:szCs w:val="16"/>
              </w:rPr>
              <w:t> </w:t>
            </w:r>
          </w:p>
        </w:tc>
      </w:tr>
      <w:tr w:rsidR="00E928F6" w:rsidRPr="00F3638A" w14:paraId="3C81B5F1" w14:textId="77777777" w:rsidTr="00AB3151">
        <w:trPr>
          <w:trHeight w:val="255"/>
          <w:jc w:val="center"/>
        </w:trPr>
        <w:tc>
          <w:tcPr>
            <w:tcW w:w="2840" w:type="dxa"/>
            <w:tcBorders>
              <w:top w:val="nil"/>
              <w:left w:val="nil"/>
              <w:bottom w:val="nil"/>
              <w:right w:val="nil"/>
            </w:tcBorders>
            <w:shd w:val="clear" w:color="auto" w:fill="auto"/>
            <w:noWrap/>
            <w:vAlign w:val="bottom"/>
            <w:hideMark/>
          </w:tcPr>
          <w:p w14:paraId="1E36CEC3" w14:textId="77777777" w:rsidR="00E928F6" w:rsidRPr="00F3638A" w:rsidRDefault="00E928F6" w:rsidP="00AB3151">
            <w:pPr>
              <w:spacing w:after="0" w:line="240" w:lineRule="auto"/>
              <w:rPr>
                <w:rFonts w:ascii="Calibri" w:eastAsia="Times New Roman" w:hAnsi="Calibri" w:cs="Times New Roman"/>
                <w:color w:val="000000"/>
                <w:sz w:val="16"/>
                <w:szCs w:val="16"/>
                <w:lang w:eastAsia="en-GB"/>
              </w:rPr>
            </w:pPr>
          </w:p>
        </w:tc>
        <w:tc>
          <w:tcPr>
            <w:tcW w:w="960" w:type="dxa"/>
            <w:tcBorders>
              <w:top w:val="single" w:sz="4" w:space="0" w:color="auto"/>
              <w:left w:val="nil"/>
              <w:bottom w:val="nil"/>
              <w:right w:val="nil"/>
            </w:tcBorders>
            <w:shd w:val="clear" w:color="auto" w:fill="auto"/>
            <w:noWrap/>
            <w:vAlign w:val="center"/>
            <w:hideMark/>
          </w:tcPr>
          <w:p w14:paraId="37A6C35E" w14:textId="77777777" w:rsidR="00E928F6" w:rsidRPr="00F3638A" w:rsidRDefault="00E928F6" w:rsidP="00AB3151">
            <w:pPr>
              <w:spacing w:after="0" w:line="240" w:lineRule="auto"/>
              <w:rPr>
                <w:rFonts w:ascii="Calibri" w:eastAsia="Times New Roman" w:hAnsi="Calibri" w:cs="Times New Roman"/>
                <w:color w:val="000000"/>
                <w:sz w:val="16"/>
                <w:szCs w:val="16"/>
                <w:lang w:eastAsia="en-GB"/>
              </w:rPr>
            </w:pPr>
            <w:r>
              <w:rPr>
                <w:rFonts w:ascii="Calibri" w:hAnsi="Calibri"/>
                <w:color w:val="000000"/>
                <w:sz w:val="16"/>
                <w:szCs w:val="16"/>
              </w:rPr>
              <w:t>mn USD</w:t>
            </w:r>
          </w:p>
        </w:tc>
        <w:tc>
          <w:tcPr>
            <w:tcW w:w="1120" w:type="dxa"/>
            <w:tcBorders>
              <w:top w:val="single" w:sz="4" w:space="0" w:color="auto"/>
              <w:left w:val="nil"/>
              <w:bottom w:val="nil"/>
              <w:right w:val="nil"/>
            </w:tcBorders>
            <w:shd w:val="clear" w:color="auto" w:fill="auto"/>
            <w:noWrap/>
            <w:vAlign w:val="center"/>
            <w:hideMark/>
          </w:tcPr>
          <w:p w14:paraId="13A1AD4A" w14:textId="77777777" w:rsidR="00E928F6" w:rsidRPr="00F3638A" w:rsidRDefault="00E928F6" w:rsidP="00AB3151">
            <w:pPr>
              <w:spacing w:after="0" w:line="240" w:lineRule="auto"/>
              <w:rPr>
                <w:rFonts w:ascii="Calibri" w:eastAsia="Times New Roman" w:hAnsi="Calibri" w:cs="Times New Roman"/>
                <w:color w:val="000000"/>
                <w:sz w:val="16"/>
                <w:szCs w:val="16"/>
                <w:lang w:eastAsia="en-GB"/>
              </w:rPr>
            </w:pPr>
            <w:r>
              <w:rPr>
                <w:rFonts w:ascii="Calibri" w:hAnsi="Calibri"/>
                <w:color w:val="000000"/>
                <w:sz w:val="16"/>
                <w:szCs w:val="16"/>
              </w:rPr>
              <w:t>% of GDP</w:t>
            </w:r>
          </w:p>
        </w:tc>
      </w:tr>
      <w:tr w:rsidR="00E928F6" w:rsidRPr="00F3638A" w14:paraId="54355451" w14:textId="77777777" w:rsidTr="00AB3151">
        <w:trPr>
          <w:trHeight w:val="255"/>
          <w:jc w:val="center"/>
        </w:trPr>
        <w:tc>
          <w:tcPr>
            <w:tcW w:w="2840" w:type="dxa"/>
            <w:tcBorders>
              <w:top w:val="nil"/>
              <w:left w:val="nil"/>
              <w:bottom w:val="nil"/>
              <w:right w:val="nil"/>
            </w:tcBorders>
            <w:shd w:val="clear" w:color="auto" w:fill="auto"/>
            <w:noWrap/>
            <w:vAlign w:val="bottom"/>
            <w:hideMark/>
          </w:tcPr>
          <w:p w14:paraId="572DB205" w14:textId="77777777" w:rsidR="00E928F6" w:rsidRPr="00F3638A" w:rsidRDefault="00E928F6" w:rsidP="00AB3151">
            <w:pPr>
              <w:spacing w:after="0" w:line="240" w:lineRule="auto"/>
              <w:rPr>
                <w:rFonts w:ascii="Calibri" w:eastAsia="Times New Roman" w:hAnsi="Calibri" w:cs="Times New Roman"/>
                <w:color w:val="000000"/>
                <w:sz w:val="16"/>
                <w:szCs w:val="16"/>
                <w:lang w:eastAsia="en-GB"/>
              </w:rPr>
            </w:pPr>
            <w:r w:rsidRPr="00F3638A">
              <w:rPr>
                <w:rFonts w:ascii="Calibri" w:eastAsia="Times New Roman" w:hAnsi="Calibri" w:cs="Times New Roman"/>
                <w:color w:val="000000"/>
                <w:sz w:val="16"/>
                <w:szCs w:val="16"/>
                <w:lang w:eastAsia="en-GB"/>
              </w:rPr>
              <w:t>Δreal Health System Expenses</w:t>
            </w:r>
          </w:p>
        </w:tc>
        <w:tc>
          <w:tcPr>
            <w:tcW w:w="960" w:type="dxa"/>
            <w:tcBorders>
              <w:top w:val="nil"/>
              <w:left w:val="nil"/>
              <w:bottom w:val="nil"/>
              <w:right w:val="nil"/>
            </w:tcBorders>
            <w:shd w:val="clear" w:color="auto" w:fill="auto"/>
            <w:noWrap/>
            <w:vAlign w:val="bottom"/>
            <w:hideMark/>
          </w:tcPr>
          <w:p w14:paraId="0F1350FF" w14:textId="77777777" w:rsidR="00E928F6" w:rsidRPr="00F3638A" w:rsidRDefault="00E928F6" w:rsidP="00AB3151">
            <w:pPr>
              <w:spacing w:after="0" w:line="240" w:lineRule="auto"/>
              <w:rPr>
                <w:rFonts w:ascii="Calibri" w:eastAsia="Times New Roman" w:hAnsi="Calibri" w:cs="Times New Roman"/>
                <w:color w:val="000000"/>
                <w:sz w:val="16"/>
                <w:szCs w:val="16"/>
                <w:lang w:eastAsia="en-GB"/>
              </w:rPr>
            </w:pPr>
          </w:p>
        </w:tc>
        <w:tc>
          <w:tcPr>
            <w:tcW w:w="1120" w:type="dxa"/>
            <w:tcBorders>
              <w:top w:val="nil"/>
              <w:left w:val="nil"/>
              <w:bottom w:val="nil"/>
              <w:right w:val="nil"/>
            </w:tcBorders>
            <w:shd w:val="clear" w:color="auto" w:fill="auto"/>
            <w:noWrap/>
            <w:vAlign w:val="bottom"/>
            <w:hideMark/>
          </w:tcPr>
          <w:p w14:paraId="7316FEAE" w14:textId="77777777" w:rsidR="00E928F6" w:rsidRPr="00F3638A" w:rsidRDefault="00E928F6" w:rsidP="00AB3151">
            <w:pPr>
              <w:spacing w:after="0" w:line="240" w:lineRule="auto"/>
              <w:rPr>
                <w:rFonts w:ascii="Times New Roman" w:eastAsia="Times New Roman" w:hAnsi="Times New Roman" w:cs="Times New Roman"/>
                <w:sz w:val="20"/>
                <w:szCs w:val="20"/>
                <w:lang w:eastAsia="en-GB"/>
              </w:rPr>
            </w:pPr>
          </w:p>
        </w:tc>
      </w:tr>
      <w:tr w:rsidR="00E928F6" w:rsidRPr="00F3638A" w14:paraId="69AF0F59" w14:textId="77777777" w:rsidTr="00AB3151">
        <w:trPr>
          <w:trHeight w:val="255"/>
          <w:jc w:val="center"/>
        </w:trPr>
        <w:tc>
          <w:tcPr>
            <w:tcW w:w="2840" w:type="dxa"/>
            <w:tcBorders>
              <w:top w:val="nil"/>
              <w:left w:val="nil"/>
              <w:bottom w:val="nil"/>
              <w:right w:val="nil"/>
            </w:tcBorders>
            <w:shd w:val="clear" w:color="auto" w:fill="auto"/>
            <w:noWrap/>
            <w:vAlign w:val="bottom"/>
            <w:hideMark/>
          </w:tcPr>
          <w:p w14:paraId="1CF0920D" w14:textId="77777777" w:rsidR="00E928F6" w:rsidRPr="00F3638A" w:rsidRDefault="00E928F6" w:rsidP="00AB3151">
            <w:pPr>
              <w:spacing w:after="0" w:line="240" w:lineRule="auto"/>
              <w:rPr>
                <w:rFonts w:ascii="Calibri" w:eastAsia="Times New Roman" w:hAnsi="Calibri" w:cs="Times New Roman"/>
                <w:color w:val="000000"/>
                <w:sz w:val="16"/>
                <w:szCs w:val="16"/>
                <w:lang w:eastAsia="en-GB"/>
              </w:rPr>
            </w:pPr>
            <w:r w:rsidRPr="00F3638A">
              <w:rPr>
                <w:rFonts w:ascii="Calibri" w:eastAsia="Times New Roman" w:hAnsi="Calibri" w:cs="Times New Roman"/>
                <w:color w:val="000000"/>
                <w:sz w:val="16"/>
                <w:szCs w:val="16"/>
                <w:lang w:eastAsia="en-GB"/>
              </w:rPr>
              <w:t xml:space="preserve">   - formal hospital</w:t>
            </w:r>
          </w:p>
        </w:tc>
        <w:tc>
          <w:tcPr>
            <w:tcW w:w="960" w:type="dxa"/>
            <w:tcBorders>
              <w:top w:val="nil"/>
              <w:left w:val="nil"/>
              <w:bottom w:val="nil"/>
              <w:right w:val="nil"/>
            </w:tcBorders>
            <w:shd w:val="clear" w:color="auto" w:fill="auto"/>
            <w:noWrap/>
            <w:vAlign w:val="center"/>
            <w:hideMark/>
          </w:tcPr>
          <w:p w14:paraId="541FC268" w14:textId="77777777" w:rsidR="00E928F6" w:rsidRPr="00F3638A" w:rsidRDefault="00E928F6" w:rsidP="00AB3151">
            <w:pPr>
              <w:spacing w:after="0" w:line="240" w:lineRule="auto"/>
              <w:jc w:val="right"/>
              <w:rPr>
                <w:rFonts w:ascii="Calibri" w:eastAsia="Times New Roman" w:hAnsi="Calibri" w:cs="Times New Roman"/>
                <w:color w:val="000000"/>
                <w:sz w:val="16"/>
                <w:szCs w:val="16"/>
                <w:lang w:eastAsia="en-GB"/>
              </w:rPr>
            </w:pPr>
            <w:r>
              <w:rPr>
                <w:rFonts w:ascii="Calibri" w:hAnsi="Calibri"/>
                <w:color w:val="000000"/>
                <w:sz w:val="16"/>
                <w:szCs w:val="16"/>
              </w:rPr>
              <w:t>-147</w:t>
            </w:r>
          </w:p>
        </w:tc>
        <w:tc>
          <w:tcPr>
            <w:tcW w:w="1120" w:type="dxa"/>
            <w:tcBorders>
              <w:top w:val="nil"/>
              <w:left w:val="nil"/>
              <w:bottom w:val="nil"/>
              <w:right w:val="nil"/>
            </w:tcBorders>
            <w:shd w:val="clear" w:color="auto" w:fill="auto"/>
            <w:noWrap/>
            <w:vAlign w:val="center"/>
            <w:hideMark/>
          </w:tcPr>
          <w:p w14:paraId="6171E6C5" w14:textId="77777777" w:rsidR="00E928F6" w:rsidRPr="00F3638A" w:rsidRDefault="00E928F6" w:rsidP="00AB3151">
            <w:pPr>
              <w:spacing w:after="0" w:line="240" w:lineRule="auto"/>
              <w:jc w:val="right"/>
              <w:rPr>
                <w:rFonts w:ascii="Calibri" w:eastAsia="Times New Roman" w:hAnsi="Calibri" w:cs="Times New Roman"/>
                <w:color w:val="000000"/>
                <w:sz w:val="16"/>
                <w:szCs w:val="16"/>
                <w:lang w:eastAsia="en-GB"/>
              </w:rPr>
            </w:pPr>
            <w:r>
              <w:rPr>
                <w:rFonts w:ascii="Calibri" w:hAnsi="Calibri"/>
                <w:color w:val="000000"/>
                <w:sz w:val="16"/>
                <w:szCs w:val="16"/>
              </w:rPr>
              <w:t>-0.45%</w:t>
            </w:r>
          </w:p>
        </w:tc>
      </w:tr>
      <w:tr w:rsidR="00E928F6" w:rsidRPr="00F3638A" w14:paraId="254BD281" w14:textId="77777777" w:rsidTr="00AB3151">
        <w:trPr>
          <w:trHeight w:val="255"/>
          <w:jc w:val="center"/>
        </w:trPr>
        <w:tc>
          <w:tcPr>
            <w:tcW w:w="2840" w:type="dxa"/>
            <w:tcBorders>
              <w:top w:val="nil"/>
              <w:left w:val="nil"/>
              <w:bottom w:val="nil"/>
              <w:right w:val="nil"/>
            </w:tcBorders>
            <w:shd w:val="clear" w:color="auto" w:fill="auto"/>
            <w:noWrap/>
            <w:vAlign w:val="bottom"/>
            <w:hideMark/>
          </w:tcPr>
          <w:p w14:paraId="7BECA5DD" w14:textId="77777777" w:rsidR="00E928F6" w:rsidRPr="00F3638A" w:rsidRDefault="00E928F6" w:rsidP="00AB3151">
            <w:pPr>
              <w:spacing w:after="0" w:line="240" w:lineRule="auto"/>
              <w:rPr>
                <w:rFonts w:ascii="Calibri" w:eastAsia="Times New Roman" w:hAnsi="Calibri" w:cs="Times New Roman"/>
                <w:color w:val="000000"/>
                <w:sz w:val="16"/>
                <w:szCs w:val="16"/>
                <w:lang w:eastAsia="en-GB"/>
              </w:rPr>
            </w:pPr>
            <w:r w:rsidRPr="00F3638A">
              <w:rPr>
                <w:rFonts w:ascii="Calibri" w:eastAsia="Times New Roman" w:hAnsi="Calibri" w:cs="Times New Roman"/>
                <w:color w:val="000000"/>
                <w:sz w:val="16"/>
                <w:szCs w:val="16"/>
                <w:lang w:eastAsia="en-GB"/>
              </w:rPr>
              <w:t xml:space="preserve">      - myocardial infarction</w:t>
            </w:r>
          </w:p>
        </w:tc>
        <w:tc>
          <w:tcPr>
            <w:tcW w:w="960" w:type="dxa"/>
            <w:tcBorders>
              <w:top w:val="nil"/>
              <w:left w:val="nil"/>
              <w:bottom w:val="nil"/>
              <w:right w:val="nil"/>
            </w:tcBorders>
            <w:shd w:val="clear" w:color="auto" w:fill="auto"/>
            <w:noWrap/>
            <w:vAlign w:val="center"/>
            <w:hideMark/>
          </w:tcPr>
          <w:p w14:paraId="40A41C00" w14:textId="77777777" w:rsidR="00E928F6" w:rsidRPr="00F3638A" w:rsidRDefault="00E928F6" w:rsidP="00AB3151">
            <w:pPr>
              <w:spacing w:after="0" w:line="240" w:lineRule="auto"/>
              <w:jc w:val="right"/>
              <w:rPr>
                <w:rFonts w:ascii="Calibri" w:eastAsia="Times New Roman" w:hAnsi="Calibri" w:cs="Times New Roman"/>
                <w:color w:val="000000"/>
                <w:sz w:val="16"/>
                <w:szCs w:val="16"/>
                <w:lang w:eastAsia="en-GB"/>
              </w:rPr>
            </w:pPr>
            <w:r>
              <w:rPr>
                <w:rFonts w:ascii="Calibri" w:hAnsi="Calibri"/>
                <w:color w:val="000000"/>
                <w:sz w:val="16"/>
                <w:szCs w:val="16"/>
              </w:rPr>
              <w:t>-145</w:t>
            </w:r>
          </w:p>
        </w:tc>
        <w:tc>
          <w:tcPr>
            <w:tcW w:w="1120" w:type="dxa"/>
            <w:tcBorders>
              <w:top w:val="nil"/>
              <w:left w:val="nil"/>
              <w:bottom w:val="nil"/>
              <w:right w:val="nil"/>
            </w:tcBorders>
            <w:shd w:val="clear" w:color="auto" w:fill="auto"/>
            <w:noWrap/>
            <w:vAlign w:val="center"/>
            <w:hideMark/>
          </w:tcPr>
          <w:p w14:paraId="72D30AA2" w14:textId="77777777" w:rsidR="00E928F6" w:rsidRPr="00F3638A" w:rsidRDefault="00E928F6" w:rsidP="00AB3151">
            <w:pPr>
              <w:spacing w:after="0" w:line="240" w:lineRule="auto"/>
              <w:jc w:val="right"/>
              <w:rPr>
                <w:rFonts w:ascii="Calibri" w:eastAsia="Times New Roman" w:hAnsi="Calibri" w:cs="Times New Roman"/>
                <w:color w:val="000000"/>
                <w:sz w:val="16"/>
                <w:szCs w:val="16"/>
                <w:lang w:eastAsia="en-GB"/>
              </w:rPr>
            </w:pPr>
            <w:r>
              <w:rPr>
                <w:rFonts w:ascii="Calibri" w:hAnsi="Calibri"/>
                <w:color w:val="000000"/>
                <w:sz w:val="16"/>
                <w:szCs w:val="16"/>
              </w:rPr>
              <w:t>-0.47%</w:t>
            </w:r>
          </w:p>
        </w:tc>
      </w:tr>
      <w:tr w:rsidR="00E928F6" w:rsidRPr="00F3638A" w14:paraId="524D9B77" w14:textId="77777777" w:rsidTr="00AB3151">
        <w:trPr>
          <w:trHeight w:val="255"/>
          <w:jc w:val="center"/>
        </w:trPr>
        <w:tc>
          <w:tcPr>
            <w:tcW w:w="2840" w:type="dxa"/>
            <w:tcBorders>
              <w:top w:val="nil"/>
              <w:left w:val="nil"/>
              <w:bottom w:val="nil"/>
              <w:right w:val="nil"/>
            </w:tcBorders>
            <w:shd w:val="clear" w:color="auto" w:fill="auto"/>
            <w:noWrap/>
            <w:vAlign w:val="bottom"/>
            <w:hideMark/>
          </w:tcPr>
          <w:p w14:paraId="68D756D5" w14:textId="77777777" w:rsidR="00E928F6" w:rsidRPr="00F3638A" w:rsidRDefault="00E928F6" w:rsidP="00AB3151">
            <w:pPr>
              <w:spacing w:after="0" w:line="240" w:lineRule="auto"/>
              <w:rPr>
                <w:rFonts w:ascii="Calibri" w:eastAsia="Times New Roman" w:hAnsi="Calibri" w:cs="Times New Roman"/>
                <w:color w:val="000000"/>
                <w:sz w:val="16"/>
                <w:szCs w:val="16"/>
                <w:lang w:eastAsia="en-GB"/>
              </w:rPr>
            </w:pPr>
            <w:r w:rsidRPr="00F3638A">
              <w:rPr>
                <w:rFonts w:ascii="Calibri" w:eastAsia="Times New Roman" w:hAnsi="Calibri" w:cs="Times New Roman"/>
                <w:color w:val="000000"/>
                <w:sz w:val="16"/>
                <w:szCs w:val="16"/>
                <w:lang w:eastAsia="en-GB"/>
              </w:rPr>
              <w:t xml:space="preserve">      - stroke</w:t>
            </w:r>
          </w:p>
        </w:tc>
        <w:tc>
          <w:tcPr>
            <w:tcW w:w="960" w:type="dxa"/>
            <w:tcBorders>
              <w:top w:val="nil"/>
              <w:left w:val="nil"/>
              <w:bottom w:val="nil"/>
              <w:right w:val="nil"/>
            </w:tcBorders>
            <w:shd w:val="clear" w:color="auto" w:fill="auto"/>
            <w:noWrap/>
            <w:vAlign w:val="center"/>
            <w:hideMark/>
          </w:tcPr>
          <w:p w14:paraId="282B1D85" w14:textId="77777777" w:rsidR="00E928F6" w:rsidRPr="00F3638A" w:rsidRDefault="00E928F6" w:rsidP="00AB3151">
            <w:pPr>
              <w:spacing w:after="0" w:line="240" w:lineRule="auto"/>
              <w:jc w:val="right"/>
              <w:rPr>
                <w:rFonts w:ascii="Calibri" w:eastAsia="Times New Roman" w:hAnsi="Calibri" w:cs="Times New Roman"/>
                <w:color w:val="000000"/>
                <w:sz w:val="16"/>
                <w:szCs w:val="16"/>
                <w:lang w:eastAsia="en-GB"/>
              </w:rPr>
            </w:pPr>
            <w:r>
              <w:rPr>
                <w:rFonts w:ascii="Calibri" w:hAnsi="Calibri"/>
                <w:color w:val="000000"/>
                <w:sz w:val="16"/>
                <w:szCs w:val="16"/>
              </w:rPr>
              <w:t>-3</w:t>
            </w:r>
          </w:p>
        </w:tc>
        <w:tc>
          <w:tcPr>
            <w:tcW w:w="1120" w:type="dxa"/>
            <w:tcBorders>
              <w:top w:val="nil"/>
              <w:left w:val="nil"/>
              <w:bottom w:val="nil"/>
              <w:right w:val="nil"/>
            </w:tcBorders>
            <w:shd w:val="clear" w:color="auto" w:fill="auto"/>
            <w:noWrap/>
            <w:vAlign w:val="center"/>
            <w:hideMark/>
          </w:tcPr>
          <w:p w14:paraId="19183FA0" w14:textId="77777777" w:rsidR="00E928F6" w:rsidRPr="00F3638A" w:rsidRDefault="00E928F6" w:rsidP="00AB3151">
            <w:pPr>
              <w:spacing w:after="0" w:line="240" w:lineRule="auto"/>
              <w:jc w:val="right"/>
              <w:rPr>
                <w:rFonts w:ascii="Calibri" w:eastAsia="Times New Roman" w:hAnsi="Calibri" w:cs="Times New Roman"/>
                <w:color w:val="000000"/>
                <w:sz w:val="16"/>
                <w:szCs w:val="16"/>
                <w:lang w:eastAsia="en-GB"/>
              </w:rPr>
            </w:pPr>
            <w:r>
              <w:rPr>
                <w:rFonts w:ascii="Calibri" w:hAnsi="Calibri"/>
                <w:color w:val="000000"/>
                <w:sz w:val="16"/>
                <w:szCs w:val="16"/>
              </w:rPr>
              <w:t>-0.13%</w:t>
            </w:r>
          </w:p>
        </w:tc>
      </w:tr>
    </w:tbl>
    <w:p w14:paraId="065202DE" w14:textId="77777777" w:rsidR="00E928F6" w:rsidRDefault="00E928F6" w:rsidP="00E928F6"/>
    <w:p w14:paraId="1344C1F0" w14:textId="45A8DE3B" w:rsidR="00E928F6" w:rsidRPr="00520EA5" w:rsidRDefault="00E928F6" w:rsidP="00E928F6">
      <w:pPr>
        <w:jc w:val="center"/>
        <w:rPr>
          <w:b/>
        </w:rPr>
      </w:pPr>
      <w:r w:rsidRPr="00520EA5">
        <w:rPr>
          <w:b/>
        </w:rPr>
        <w:t xml:space="preserve">Table </w:t>
      </w:r>
      <w:r w:rsidR="00DD416C">
        <w:rPr>
          <w:b/>
        </w:rPr>
        <w:t>S</w:t>
      </w:r>
      <w:r>
        <w:rPr>
          <w:b/>
        </w:rPr>
        <w:t>2</w:t>
      </w:r>
      <w:r w:rsidRPr="00520EA5">
        <w:rPr>
          <w:b/>
        </w:rPr>
        <w:t xml:space="preserve">: Nutrient Matching </w:t>
      </w:r>
      <w:r>
        <w:rPr>
          <w:b/>
        </w:rPr>
        <w:t xml:space="preserve">Nutrition, Biomarker and Health </w:t>
      </w:r>
      <w:r w:rsidRPr="00520EA5">
        <w:rPr>
          <w:b/>
        </w:rPr>
        <w:t>Results Decomposition</w:t>
      </w:r>
    </w:p>
    <w:tbl>
      <w:tblPr>
        <w:tblW w:w="5836" w:type="dxa"/>
        <w:jc w:val="center"/>
        <w:tblLook w:val="04A0" w:firstRow="1" w:lastRow="0" w:firstColumn="1" w:lastColumn="0" w:noHBand="0" w:noVBand="1"/>
      </w:tblPr>
      <w:tblGrid>
        <w:gridCol w:w="3400"/>
        <w:gridCol w:w="1175"/>
        <w:gridCol w:w="1261"/>
      </w:tblGrid>
      <w:tr w:rsidR="00E928F6" w:rsidRPr="00F3638A" w14:paraId="49A61DAE" w14:textId="77777777" w:rsidTr="00AB3151">
        <w:trPr>
          <w:trHeight w:val="315"/>
          <w:jc w:val="center"/>
        </w:trPr>
        <w:tc>
          <w:tcPr>
            <w:tcW w:w="3400" w:type="dxa"/>
            <w:tcBorders>
              <w:top w:val="nil"/>
              <w:left w:val="nil"/>
              <w:bottom w:val="nil"/>
              <w:right w:val="nil"/>
            </w:tcBorders>
            <w:shd w:val="clear" w:color="auto" w:fill="auto"/>
            <w:noWrap/>
            <w:vAlign w:val="bottom"/>
            <w:hideMark/>
          </w:tcPr>
          <w:p w14:paraId="4FD0CC02" w14:textId="77777777" w:rsidR="00E928F6" w:rsidRPr="00F3638A" w:rsidRDefault="00E928F6" w:rsidP="00AB3151">
            <w:pPr>
              <w:spacing w:after="0" w:line="240" w:lineRule="auto"/>
              <w:rPr>
                <w:rFonts w:ascii="Calibri" w:eastAsia="Times New Roman" w:hAnsi="Calibri" w:cs="Times New Roman"/>
                <w:b/>
                <w:bCs/>
                <w:color w:val="000000"/>
                <w:sz w:val="24"/>
                <w:szCs w:val="24"/>
                <w:lang w:eastAsia="en-GB"/>
              </w:rPr>
            </w:pPr>
            <w:r w:rsidRPr="00F3638A">
              <w:rPr>
                <w:rFonts w:ascii="Calibri" w:eastAsia="Times New Roman" w:hAnsi="Calibri" w:cs="Times New Roman"/>
                <w:b/>
                <w:bCs/>
                <w:color w:val="000000"/>
                <w:sz w:val="24"/>
                <w:szCs w:val="24"/>
                <w:lang w:eastAsia="en-GB"/>
              </w:rPr>
              <w:t>nutrition, biomarker, health</w:t>
            </w:r>
          </w:p>
        </w:tc>
        <w:tc>
          <w:tcPr>
            <w:tcW w:w="1175" w:type="dxa"/>
            <w:tcBorders>
              <w:top w:val="nil"/>
              <w:left w:val="nil"/>
              <w:bottom w:val="nil"/>
              <w:right w:val="nil"/>
            </w:tcBorders>
            <w:shd w:val="clear" w:color="auto" w:fill="auto"/>
            <w:noWrap/>
            <w:vAlign w:val="bottom"/>
            <w:hideMark/>
          </w:tcPr>
          <w:p w14:paraId="182F4EEE" w14:textId="77777777" w:rsidR="00E928F6" w:rsidRPr="00F3638A" w:rsidRDefault="00E928F6" w:rsidP="00AB3151">
            <w:pPr>
              <w:spacing w:after="0" w:line="240" w:lineRule="auto"/>
              <w:rPr>
                <w:rFonts w:ascii="Calibri" w:eastAsia="Times New Roman" w:hAnsi="Calibri" w:cs="Times New Roman"/>
                <w:b/>
                <w:bCs/>
                <w:color w:val="000000"/>
                <w:sz w:val="24"/>
                <w:szCs w:val="24"/>
                <w:lang w:eastAsia="en-GB"/>
              </w:rPr>
            </w:pPr>
          </w:p>
        </w:tc>
        <w:tc>
          <w:tcPr>
            <w:tcW w:w="1261" w:type="dxa"/>
            <w:tcBorders>
              <w:top w:val="nil"/>
              <w:left w:val="nil"/>
              <w:bottom w:val="nil"/>
              <w:right w:val="nil"/>
            </w:tcBorders>
            <w:shd w:val="clear" w:color="auto" w:fill="auto"/>
            <w:noWrap/>
            <w:vAlign w:val="bottom"/>
            <w:hideMark/>
          </w:tcPr>
          <w:p w14:paraId="69F3D102" w14:textId="77777777" w:rsidR="00E928F6" w:rsidRPr="00F3638A" w:rsidRDefault="00E928F6" w:rsidP="00AB3151">
            <w:pPr>
              <w:spacing w:after="0" w:line="240" w:lineRule="auto"/>
              <w:rPr>
                <w:rFonts w:ascii="Times New Roman" w:eastAsia="Times New Roman" w:hAnsi="Times New Roman" w:cs="Times New Roman"/>
                <w:sz w:val="20"/>
                <w:szCs w:val="20"/>
                <w:lang w:eastAsia="en-GB"/>
              </w:rPr>
            </w:pPr>
          </w:p>
        </w:tc>
      </w:tr>
      <w:tr w:rsidR="00E928F6" w:rsidRPr="00F3638A" w14:paraId="643B31E4" w14:textId="77777777" w:rsidTr="00AB3151">
        <w:trPr>
          <w:trHeight w:val="225"/>
          <w:jc w:val="center"/>
        </w:trPr>
        <w:tc>
          <w:tcPr>
            <w:tcW w:w="3400" w:type="dxa"/>
            <w:tcBorders>
              <w:top w:val="single" w:sz="4" w:space="0" w:color="auto"/>
              <w:left w:val="nil"/>
              <w:bottom w:val="nil"/>
              <w:right w:val="nil"/>
            </w:tcBorders>
            <w:shd w:val="clear" w:color="auto" w:fill="auto"/>
            <w:noWrap/>
            <w:vAlign w:val="bottom"/>
            <w:hideMark/>
          </w:tcPr>
          <w:p w14:paraId="04CD81E4" w14:textId="77777777" w:rsidR="00E928F6" w:rsidRPr="00F3638A" w:rsidRDefault="00E928F6" w:rsidP="00AB3151">
            <w:pPr>
              <w:spacing w:after="0" w:line="240" w:lineRule="auto"/>
              <w:rPr>
                <w:rFonts w:ascii="Calibri" w:eastAsia="Times New Roman" w:hAnsi="Calibri" w:cs="Times New Roman"/>
                <w:b/>
                <w:bCs/>
                <w:i/>
                <w:iCs/>
                <w:color w:val="000000"/>
                <w:sz w:val="16"/>
                <w:szCs w:val="16"/>
                <w:lang w:eastAsia="en-GB"/>
              </w:rPr>
            </w:pPr>
            <w:r w:rsidRPr="00F3638A">
              <w:rPr>
                <w:rFonts w:ascii="Calibri" w:eastAsia="Times New Roman" w:hAnsi="Calibri" w:cs="Times New Roman"/>
                <w:b/>
                <w:bCs/>
                <w:i/>
                <w:iCs/>
                <w:color w:val="000000"/>
                <w:sz w:val="16"/>
                <w:szCs w:val="16"/>
                <w:lang w:eastAsia="en-GB"/>
              </w:rPr>
              <w:t>Nutrition (long run indicators)</w:t>
            </w:r>
          </w:p>
        </w:tc>
        <w:tc>
          <w:tcPr>
            <w:tcW w:w="1175" w:type="dxa"/>
            <w:tcBorders>
              <w:top w:val="single" w:sz="4" w:space="0" w:color="auto"/>
              <w:left w:val="nil"/>
              <w:bottom w:val="nil"/>
              <w:right w:val="nil"/>
            </w:tcBorders>
            <w:shd w:val="clear" w:color="auto" w:fill="auto"/>
            <w:noWrap/>
            <w:vAlign w:val="bottom"/>
            <w:hideMark/>
          </w:tcPr>
          <w:p w14:paraId="5AFCCDF6" w14:textId="77777777" w:rsidR="00E928F6" w:rsidRPr="00F3638A" w:rsidRDefault="00E928F6" w:rsidP="00AB3151">
            <w:pPr>
              <w:spacing w:after="0" w:line="240" w:lineRule="auto"/>
              <w:rPr>
                <w:rFonts w:ascii="Calibri" w:eastAsia="Times New Roman" w:hAnsi="Calibri" w:cs="Times New Roman"/>
                <w:color w:val="000000"/>
                <w:sz w:val="16"/>
                <w:szCs w:val="16"/>
                <w:lang w:eastAsia="en-GB"/>
              </w:rPr>
            </w:pPr>
            <w:r w:rsidRPr="00F3638A">
              <w:rPr>
                <w:rFonts w:ascii="Calibri" w:eastAsia="Times New Roman" w:hAnsi="Calibri" w:cs="Times New Roman"/>
                <w:color w:val="000000"/>
                <w:sz w:val="16"/>
                <w:szCs w:val="16"/>
                <w:lang w:eastAsia="en-GB"/>
              </w:rPr>
              <w:t> </w:t>
            </w:r>
          </w:p>
        </w:tc>
        <w:tc>
          <w:tcPr>
            <w:tcW w:w="1261" w:type="dxa"/>
            <w:tcBorders>
              <w:top w:val="single" w:sz="4" w:space="0" w:color="auto"/>
              <w:left w:val="nil"/>
              <w:bottom w:val="nil"/>
              <w:right w:val="nil"/>
            </w:tcBorders>
            <w:shd w:val="clear" w:color="auto" w:fill="auto"/>
            <w:noWrap/>
            <w:vAlign w:val="bottom"/>
            <w:hideMark/>
          </w:tcPr>
          <w:p w14:paraId="2F7630CF" w14:textId="77777777" w:rsidR="00E928F6" w:rsidRPr="00F3638A" w:rsidRDefault="00E928F6" w:rsidP="00AB3151">
            <w:pPr>
              <w:spacing w:after="0" w:line="240" w:lineRule="auto"/>
              <w:rPr>
                <w:rFonts w:ascii="Calibri" w:eastAsia="Times New Roman" w:hAnsi="Calibri" w:cs="Times New Roman"/>
                <w:color w:val="000000"/>
                <w:sz w:val="16"/>
                <w:szCs w:val="16"/>
                <w:lang w:eastAsia="en-GB"/>
              </w:rPr>
            </w:pPr>
            <w:r w:rsidRPr="00F3638A">
              <w:rPr>
                <w:rFonts w:ascii="Calibri" w:eastAsia="Times New Roman" w:hAnsi="Calibri" w:cs="Times New Roman"/>
                <w:color w:val="000000"/>
                <w:sz w:val="16"/>
                <w:szCs w:val="16"/>
                <w:lang w:eastAsia="en-GB"/>
              </w:rPr>
              <w:t> </w:t>
            </w:r>
          </w:p>
        </w:tc>
      </w:tr>
      <w:tr w:rsidR="00E928F6" w:rsidRPr="00F3638A" w14:paraId="15659967" w14:textId="77777777" w:rsidTr="00AB3151">
        <w:trPr>
          <w:trHeight w:val="225"/>
          <w:jc w:val="center"/>
        </w:trPr>
        <w:tc>
          <w:tcPr>
            <w:tcW w:w="3400" w:type="dxa"/>
            <w:tcBorders>
              <w:top w:val="nil"/>
              <w:left w:val="nil"/>
              <w:bottom w:val="nil"/>
              <w:right w:val="nil"/>
            </w:tcBorders>
            <w:shd w:val="clear" w:color="auto" w:fill="auto"/>
            <w:noWrap/>
            <w:vAlign w:val="bottom"/>
            <w:hideMark/>
          </w:tcPr>
          <w:p w14:paraId="4DF5D69D" w14:textId="77777777" w:rsidR="00E928F6" w:rsidRPr="00F3638A" w:rsidRDefault="00E928F6" w:rsidP="00AB3151">
            <w:pPr>
              <w:spacing w:after="0" w:line="240" w:lineRule="auto"/>
              <w:rPr>
                <w:rFonts w:ascii="Calibri" w:eastAsia="Times New Roman" w:hAnsi="Calibri" w:cs="Times New Roman"/>
                <w:color w:val="000000"/>
                <w:sz w:val="16"/>
                <w:szCs w:val="16"/>
                <w:lang w:eastAsia="en-GB"/>
              </w:rPr>
            </w:pPr>
          </w:p>
        </w:tc>
        <w:tc>
          <w:tcPr>
            <w:tcW w:w="1175" w:type="dxa"/>
            <w:tcBorders>
              <w:top w:val="single" w:sz="4" w:space="0" w:color="auto"/>
              <w:left w:val="nil"/>
              <w:bottom w:val="nil"/>
              <w:right w:val="nil"/>
            </w:tcBorders>
            <w:shd w:val="clear" w:color="auto" w:fill="auto"/>
            <w:noWrap/>
            <w:vAlign w:val="bottom"/>
            <w:hideMark/>
          </w:tcPr>
          <w:p w14:paraId="6B371641" w14:textId="77777777" w:rsidR="00E928F6" w:rsidRPr="00F3638A" w:rsidRDefault="00E928F6" w:rsidP="00AB3151">
            <w:pPr>
              <w:spacing w:after="0" w:line="240" w:lineRule="auto"/>
              <w:rPr>
                <w:rFonts w:ascii="Calibri" w:eastAsia="Times New Roman" w:hAnsi="Calibri" w:cs="Times New Roman"/>
                <w:color w:val="000000"/>
                <w:sz w:val="16"/>
                <w:szCs w:val="16"/>
                <w:lang w:eastAsia="en-GB"/>
              </w:rPr>
            </w:pPr>
            <w:r w:rsidRPr="00F3638A">
              <w:rPr>
                <w:rFonts w:ascii="Calibri" w:eastAsia="Times New Roman" w:hAnsi="Calibri" w:cs="Times New Roman"/>
                <w:color w:val="000000"/>
                <w:sz w:val="16"/>
                <w:szCs w:val="16"/>
                <w:lang w:eastAsia="en-GB"/>
              </w:rPr>
              <w:t>%-points</w:t>
            </w:r>
          </w:p>
        </w:tc>
        <w:tc>
          <w:tcPr>
            <w:tcW w:w="1261" w:type="dxa"/>
            <w:tcBorders>
              <w:top w:val="single" w:sz="4" w:space="0" w:color="auto"/>
              <w:left w:val="nil"/>
              <w:bottom w:val="nil"/>
              <w:right w:val="nil"/>
            </w:tcBorders>
            <w:shd w:val="clear" w:color="auto" w:fill="auto"/>
            <w:noWrap/>
            <w:vAlign w:val="bottom"/>
            <w:hideMark/>
          </w:tcPr>
          <w:p w14:paraId="3B5DB7EC" w14:textId="77777777" w:rsidR="00E928F6" w:rsidRPr="00F3638A" w:rsidRDefault="00E928F6" w:rsidP="00AB3151">
            <w:pPr>
              <w:spacing w:after="0" w:line="240" w:lineRule="auto"/>
              <w:rPr>
                <w:rFonts w:ascii="Calibri" w:eastAsia="Times New Roman" w:hAnsi="Calibri" w:cs="Times New Roman"/>
                <w:color w:val="000000"/>
                <w:sz w:val="16"/>
                <w:szCs w:val="16"/>
                <w:lang w:eastAsia="en-GB"/>
              </w:rPr>
            </w:pPr>
            <w:r w:rsidRPr="00F3638A">
              <w:rPr>
                <w:rFonts w:ascii="Calibri" w:eastAsia="Times New Roman" w:hAnsi="Calibri" w:cs="Times New Roman"/>
                <w:color w:val="000000"/>
                <w:sz w:val="16"/>
                <w:szCs w:val="16"/>
                <w:lang w:eastAsia="en-GB"/>
              </w:rPr>
              <w:t>% of share</w:t>
            </w:r>
          </w:p>
        </w:tc>
      </w:tr>
      <w:tr w:rsidR="00E928F6" w:rsidRPr="00F3638A" w14:paraId="33FC7199" w14:textId="77777777" w:rsidTr="00AB3151">
        <w:trPr>
          <w:trHeight w:val="225"/>
          <w:jc w:val="center"/>
        </w:trPr>
        <w:tc>
          <w:tcPr>
            <w:tcW w:w="3400" w:type="dxa"/>
            <w:tcBorders>
              <w:top w:val="nil"/>
              <w:left w:val="nil"/>
              <w:bottom w:val="nil"/>
              <w:right w:val="nil"/>
            </w:tcBorders>
            <w:shd w:val="clear" w:color="auto" w:fill="auto"/>
            <w:noWrap/>
            <w:vAlign w:val="bottom"/>
            <w:hideMark/>
          </w:tcPr>
          <w:p w14:paraId="75BAAE86" w14:textId="77777777" w:rsidR="00E928F6" w:rsidRPr="00F3638A" w:rsidRDefault="00E928F6" w:rsidP="00AB3151">
            <w:pPr>
              <w:spacing w:after="0" w:line="240" w:lineRule="auto"/>
              <w:rPr>
                <w:rFonts w:ascii="Calibri" w:eastAsia="Times New Roman" w:hAnsi="Calibri" w:cs="Times New Roman"/>
                <w:color w:val="000000"/>
                <w:sz w:val="16"/>
                <w:szCs w:val="16"/>
                <w:lang w:eastAsia="en-GB"/>
              </w:rPr>
            </w:pPr>
            <w:r w:rsidRPr="00F3638A">
              <w:rPr>
                <w:rFonts w:ascii="Calibri" w:eastAsia="Times New Roman" w:hAnsi="Calibri" w:cs="Times New Roman"/>
                <w:color w:val="000000"/>
                <w:sz w:val="16"/>
                <w:szCs w:val="16"/>
                <w:lang w:eastAsia="en-GB"/>
              </w:rPr>
              <w:t>ΔSFA energy intake share (long run, 2035)</w:t>
            </w:r>
          </w:p>
        </w:tc>
        <w:tc>
          <w:tcPr>
            <w:tcW w:w="1175" w:type="dxa"/>
            <w:tcBorders>
              <w:top w:val="nil"/>
              <w:left w:val="nil"/>
              <w:bottom w:val="nil"/>
              <w:right w:val="nil"/>
            </w:tcBorders>
            <w:shd w:val="clear" w:color="auto" w:fill="auto"/>
            <w:noWrap/>
            <w:vAlign w:val="center"/>
            <w:hideMark/>
          </w:tcPr>
          <w:p w14:paraId="15C64E08" w14:textId="77777777" w:rsidR="00E928F6" w:rsidRPr="00F3638A" w:rsidRDefault="00E928F6" w:rsidP="00AB3151">
            <w:pPr>
              <w:spacing w:after="0" w:line="240" w:lineRule="auto"/>
              <w:jc w:val="right"/>
              <w:rPr>
                <w:rFonts w:ascii="Calibri" w:eastAsia="Times New Roman" w:hAnsi="Calibri" w:cs="Times New Roman"/>
                <w:color w:val="000000"/>
                <w:sz w:val="16"/>
                <w:szCs w:val="16"/>
                <w:lang w:eastAsia="en-GB"/>
              </w:rPr>
            </w:pPr>
            <w:r>
              <w:rPr>
                <w:rFonts w:ascii="Calibri" w:hAnsi="Calibri"/>
                <w:color w:val="000000"/>
                <w:sz w:val="16"/>
                <w:szCs w:val="16"/>
              </w:rPr>
              <w:t>-0.618%</w:t>
            </w:r>
          </w:p>
        </w:tc>
        <w:tc>
          <w:tcPr>
            <w:tcW w:w="1261" w:type="dxa"/>
            <w:tcBorders>
              <w:top w:val="nil"/>
              <w:left w:val="nil"/>
              <w:bottom w:val="nil"/>
              <w:right w:val="nil"/>
            </w:tcBorders>
            <w:shd w:val="clear" w:color="auto" w:fill="auto"/>
            <w:noWrap/>
            <w:vAlign w:val="center"/>
            <w:hideMark/>
          </w:tcPr>
          <w:p w14:paraId="73AC4C6A" w14:textId="77777777" w:rsidR="00E928F6" w:rsidRPr="00F3638A" w:rsidRDefault="00E928F6" w:rsidP="00AB3151">
            <w:pPr>
              <w:spacing w:after="0" w:line="240" w:lineRule="auto"/>
              <w:jc w:val="right"/>
              <w:rPr>
                <w:rFonts w:ascii="Calibri" w:eastAsia="Times New Roman" w:hAnsi="Calibri" w:cs="Times New Roman"/>
                <w:color w:val="000000"/>
                <w:sz w:val="16"/>
                <w:szCs w:val="16"/>
                <w:lang w:eastAsia="en-GB"/>
              </w:rPr>
            </w:pPr>
            <w:r>
              <w:rPr>
                <w:rFonts w:ascii="Calibri" w:hAnsi="Calibri"/>
                <w:color w:val="000000"/>
                <w:sz w:val="16"/>
                <w:szCs w:val="16"/>
              </w:rPr>
              <w:t>-6.494%</w:t>
            </w:r>
          </w:p>
        </w:tc>
      </w:tr>
      <w:tr w:rsidR="00E928F6" w:rsidRPr="00F3638A" w14:paraId="62458173" w14:textId="77777777" w:rsidTr="00AB3151">
        <w:trPr>
          <w:trHeight w:val="255"/>
          <w:jc w:val="center"/>
        </w:trPr>
        <w:tc>
          <w:tcPr>
            <w:tcW w:w="3400" w:type="dxa"/>
            <w:tcBorders>
              <w:top w:val="nil"/>
              <w:left w:val="nil"/>
              <w:bottom w:val="nil"/>
              <w:right w:val="nil"/>
            </w:tcBorders>
            <w:shd w:val="clear" w:color="auto" w:fill="auto"/>
            <w:noWrap/>
            <w:vAlign w:val="bottom"/>
            <w:hideMark/>
          </w:tcPr>
          <w:p w14:paraId="769ED46B" w14:textId="77777777" w:rsidR="00E928F6" w:rsidRPr="00F3638A" w:rsidRDefault="00E928F6" w:rsidP="00AB3151">
            <w:pPr>
              <w:spacing w:after="0" w:line="240" w:lineRule="auto"/>
              <w:rPr>
                <w:rFonts w:ascii="Calibri" w:eastAsia="Times New Roman" w:hAnsi="Calibri" w:cs="Times New Roman"/>
                <w:color w:val="000000"/>
                <w:sz w:val="16"/>
                <w:szCs w:val="16"/>
                <w:lang w:eastAsia="en-GB"/>
              </w:rPr>
            </w:pPr>
            <w:r w:rsidRPr="00F3638A">
              <w:rPr>
                <w:rFonts w:ascii="Calibri" w:eastAsia="Times New Roman" w:hAnsi="Calibri" w:cs="Times New Roman"/>
                <w:color w:val="000000"/>
                <w:sz w:val="16"/>
                <w:szCs w:val="16"/>
                <w:lang w:eastAsia="en-GB"/>
              </w:rPr>
              <w:t>ΔMUFA energy intake share (long run, 2035)</w:t>
            </w:r>
          </w:p>
        </w:tc>
        <w:tc>
          <w:tcPr>
            <w:tcW w:w="1175" w:type="dxa"/>
            <w:tcBorders>
              <w:top w:val="nil"/>
              <w:left w:val="nil"/>
              <w:bottom w:val="nil"/>
              <w:right w:val="nil"/>
            </w:tcBorders>
            <w:shd w:val="clear" w:color="auto" w:fill="auto"/>
            <w:noWrap/>
            <w:vAlign w:val="center"/>
            <w:hideMark/>
          </w:tcPr>
          <w:p w14:paraId="464804E8" w14:textId="77777777" w:rsidR="00E928F6" w:rsidRPr="00F3638A" w:rsidRDefault="00E928F6" w:rsidP="00AB3151">
            <w:pPr>
              <w:spacing w:after="0" w:line="240" w:lineRule="auto"/>
              <w:jc w:val="right"/>
              <w:rPr>
                <w:rFonts w:ascii="Calibri" w:eastAsia="Times New Roman" w:hAnsi="Calibri" w:cs="Times New Roman"/>
                <w:color w:val="000000"/>
                <w:sz w:val="16"/>
                <w:szCs w:val="16"/>
                <w:lang w:eastAsia="en-GB"/>
              </w:rPr>
            </w:pPr>
            <w:r>
              <w:rPr>
                <w:rFonts w:ascii="Calibri" w:hAnsi="Calibri"/>
                <w:color w:val="000000"/>
                <w:sz w:val="16"/>
                <w:szCs w:val="16"/>
              </w:rPr>
              <w:t>-0.228%</w:t>
            </w:r>
          </w:p>
        </w:tc>
        <w:tc>
          <w:tcPr>
            <w:tcW w:w="1261" w:type="dxa"/>
            <w:tcBorders>
              <w:top w:val="nil"/>
              <w:left w:val="nil"/>
              <w:bottom w:val="nil"/>
              <w:right w:val="nil"/>
            </w:tcBorders>
            <w:shd w:val="clear" w:color="auto" w:fill="auto"/>
            <w:noWrap/>
            <w:vAlign w:val="center"/>
            <w:hideMark/>
          </w:tcPr>
          <w:p w14:paraId="53F111D2" w14:textId="77777777" w:rsidR="00E928F6" w:rsidRPr="00F3638A" w:rsidRDefault="00E928F6" w:rsidP="00AB3151">
            <w:pPr>
              <w:spacing w:after="0" w:line="240" w:lineRule="auto"/>
              <w:jc w:val="right"/>
              <w:rPr>
                <w:rFonts w:ascii="Calibri" w:eastAsia="Times New Roman" w:hAnsi="Calibri" w:cs="Times New Roman"/>
                <w:color w:val="000000"/>
                <w:sz w:val="16"/>
                <w:szCs w:val="16"/>
                <w:lang w:eastAsia="en-GB"/>
              </w:rPr>
            </w:pPr>
            <w:r>
              <w:rPr>
                <w:rFonts w:ascii="Calibri" w:hAnsi="Calibri"/>
                <w:color w:val="000000"/>
                <w:sz w:val="16"/>
                <w:szCs w:val="16"/>
              </w:rPr>
              <w:t>-2.997%</w:t>
            </w:r>
          </w:p>
        </w:tc>
      </w:tr>
      <w:tr w:rsidR="00E928F6" w:rsidRPr="00F3638A" w14:paraId="2B517414" w14:textId="77777777" w:rsidTr="00AB3151">
        <w:trPr>
          <w:trHeight w:val="255"/>
          <w:jc w:val="center"/>
        </w:trPr>
        <w:tc>
          <w:tcPr>
            <w:tcW w:w="3400" w:type="dxa"/>
            <w:tcBorders>
              <w:top w:val="nil"/>
              <w:left w:val="nil"/>
              <w:bottom w:val="nil"/>
              <w:right w:val="nil"/>
            </w:tcBorders>
            <w:shd w:val="clear" w:color="auto" w:fill="auto"/>
            <w:noWrap/>
            <w:vAlign w:val="bottom"/>
            <w:hideMark/>
          </w:tcPr>
          <w:p w14:paraId="1F8402A7" w14:textId="77777777" w:rsidR="00E928F6" w:rsidRPr="00F3638A" w:rsidRDefault="00E928F6" w:rsidP="00AB3151">
            <w:pPr>
              <w:spacing w:after="0" w:line="240" w:lineRule="auto"/>
              <w:rPr>
                <w:rFonts w:ascii="Calibri" w:eastAsia="Times New Roman" w:hAnsi="Calibri" w:cs="Times New Roman"/>
                <w:color w:val="000000"/>
                <w:sz w:val="16"/>
                <w:szCs w:val="16"/>
                <w:lang w:eastAsia="en-GB"/>
              </w:rPr>
            </w:pPr>
            <w:r w:rsidRPr="00F3638A">
              <w:rPr>
                <w:rFonts w:ascii="Calibri" w:eastAsia="Times New Roman" w:hAnsi="Calibri" w:cs="Times New Roman"/>
                <w:color w:val="000000"/>
                <w:sz w:val="16"/>
                <w:szCs w:val="16"/>
                <w:lang w:eastAsia="en-GB"/>
              </w:rPr>
              <w:t>ΔPUFA energy intake share (long run, 2035)</w:t>
            </w:r>
          </w:p>
        </w:tc>
        <w:tc>
          <w:tcPr>
            <w:tcW w:w="1175" w:type="dxa"/>
            <w:tcBorders>
              <w:top w:val="nil"/>
              <w:left w:val="nil"/>
              <w:bottom w:val="nil"/>
              <w:right w:val="nil"/>
            </w:tcBorders>
            <w:shd w:val="clear" w:color="auto" w:fill="auto"/>
            <w:noWrap/>
            <w:vAlign w:val="center"/>
            <w:hideMark/>
          </w:tcPr>
          <w:p w14:paraId="26668D65" w14:textId="77777777" w:rsidR="00E928F6" w:rsidRPr="00F3638A" w:rsidRDefault="00E928F6" w:rsidP="00AB3151">
            <w:pPr>
              <w:spacing w:after="0" w:line="240" w:lineRule="auto"/>
              <w:jc w:val="right"/>
              <w:rPr>
                <w:rFonts w:ascii="Calibri" w:eastAsia="Times New Roman" w:hAnsi="Calibri" w:cs="Times New Roman"/>
                <w:color w:val="000000"/>
                <w:sz w:val="16"/>
                <w:szCs w:val="16"/>
                <w:lang w:eastAsia="en-GB"/>
              </w:rPr>
            </w:pPr>
            <w:r>
              <w:rPr>
                <w:rFonts w:ascii="Calibri" w:hAnsi="Calibri"/>
                <w:color w:val="000000"/>
                <w:sz w:val="16"/>
                <w:szCs w:val="16"/>
              </w:rPr>
              <w:t>0.742%</w:t>
            </w:r>
          </w:p>
        </w:tc>
        <w:tc>
          <w:tcPr>
            <w:tcW w:w="1261" w:type="dxa"/>
            <w:tcBorders>
              <w:top w:val="nil"/>
              <w:left w:val="nil"/>
              <w:bottom w:val="nil"/>
              <w:right w:val="nil"/>
            </w:tcBorders>
            <w:shd w:val="clear" w:color="auto" w:fill="auto"/>
            <w:noWrap/>
            <w:vAlign w:val="center"/>
            <w:hideMark/>
          </w:tcPr>
          <w:p w14:paraId="474B3588" w14:textId="77777777" w:rsidR="00E928F6" w:rsidRPr="00F3638A" w:rsidRDefault="00E928F6" w:rsidP="00AB3151">
            <w:pPr>
              <w:spacing w:after="0" w:line="240" w:lineRule="auto"/>
              <w:jc w:val="right"/>
              <w:rPr>
                <w:rFonts w:ascii="Calibri" w:eastAsia="Times New Roman" w:hAnsi="Calibri" w:cs="Times New Roman"/>
                <w:color w:val="000000"/>
                <w:sz w:val="16"/>
                <w:szCs w:val="16"/>
                <w:lang w:eastAsia="en-GB"/>
              </w:rPr>
            </w:pPr>
            <w:r>
              <w:rPr>
                <w:rFonts w:ascii="Calibri" w:hAnsi="Calibri"/>
                <w:color w:val="000000"/>
                <w:sz w:val="16"/>
                <w:szCs w:val="16"/>
              </w:rPr>
              <w:t>13.670%</w:t>
            </w:r>
          </w:p>
        </w:tc>
      </w:tr>
      <w:tr w:rsidR="00E928F6" w:rsidRPr="00F3638A" w14:paraId="03BC63FD" w14:textId="77777777" w:rsidTr="00AB3151">
        <w:trPr>
          <w:trHeight w:val="255"/>
          <w:jc w:val="center"/>
        </w:trPr>
        <w:tc>
          <w:tcPr>
            <w:tcW w:w="3400" w:type="dxa"/>
            <w:tcBorders>
              <w:top w:val="single" w:sz="4" w:space="0" w:color="auto"/>
              <w:left w:val="nil"/>
              <w:bottom w:val="nil"/>
              <w:right w:val="nil"/>
            </w:tcBorders>
            <w:shd w:val="clear" w:color="auto" w:fill="auto"/>
            <w:noWrap/>
            <w:vAlign w:val="bottom"/>
            <w:hideMark/>
          </w:tcPr>
          <w:p w14:paraId="6EDEFCA7" w14:textId="77777777" w:rsidR="00E928F6" w:rsidRPr="00F3638A" w:rsidRDefault="00E928F6" w:rsidP="00AB3151">
            <w:pPr>
              <w:spacing w:after="0" w:line="240" w:lineRule="auto"/>
              <w:rPr>
                <w:rFonts w:ascii="Calibri" w:eastAsia="Times New Roman" w:hAnsi="Calibri" w:cs="Times New Roman"/>
                <w:b/>
                <w:bCs/>
                <w:i/>
                <w:iCs/>
                <w:color w:val="000000"/>
                <w:sz w:val="16"/>
                <w:szCs w:val="16"/>
                <w:lang w:eastAsia="en-GB"/>
              </w:rPr>
            </w:pPr>
            <w:r w:rsidRPr="00F3638A">
              <w:rPr>
                <w:rFonts w:ascii="Calibri" w:eastAsia="Times New Roman" w:hAnsi="Calibri" w:cs="Times New Roman"/>
                <w:b/>
                <w:bCs/>
                <w:i/>
                <w:iCs/>
                <w:color w:val="000000"/>
                <w:sz w:val="16"/>
                <w:szCs w:val="16"/>
                <w:lang w:eastAsia="en-GB"/>
              </w:rPr>
              <w:t>Biomarker (cumulative indicators)</w:t>
            </w:r>
          </w:p>
        </w:tc>
        <w:tc>
          <w:tcPr>
            <w:tcW w:w="1175" w:type="dxa"/>
            <w:tcBorders>
              <w:top w:val="single" w:sz="4" w:space="0" w:color="auto"/>
              <w:left w:val="nil"/>
              <w:bottom w:val="nil"/>
              <w:right w:val="nil"/>
            </w:tcBorders>
            <w:shd w:val="clear" w:color="auto" w:fill="auto"/>
            <w:noWrap/>
            <w:vAlign w:val="bottom"/>
            <w:hideMark/>
          </w:tcPr>
          <w:p w14:paraId="7B8F8741" w14:textId="77777777" w:rsidR="00E928F6" w:rsidRPr="00F3638A" w:rsidRDefault="00E928F6" w:rsidP="00AB3151">
            <w:pPr>
              <w:spacing w:after="0" w:line="240" w:lineRule="auto"/>
              <w:rPr>
                <w:rFonts w:ascii="Calibri" w:eastAsia="Times New Roman" w:hAnsi="Calibri" w:cs="Times New Roman"/>
                <w:color w:val="000000"/>
                <w:sz w:val="16"/>
                <w:szCs w:val="16"/>
                <w:lang w:eastAsia="en-GB"/>
              </w:rPr>
            </w:pPr>
            <w:r>
              <w:rPr>
                <w:rFonts w:ascii="Calibri" w:hAnsi="Calibri"/>
                <w:color w:val="000000"/>
                <w:sz w:val="16"/>
                <w:szCs w:val="16"/>
              </w:rPr>
              <w:t> </w:t>
            </w:r>
          </w:p>
        </w:tc>
        <w:tc>
          <w:tcPr>
            <w:tcW w:w="1261" w:type="dxa"/>
            <w:tcBorders>
              <w:top w:val="single" w:sz="4" w:space="0" w:color="auto"/>
              <w:left w:val="nil"/>
              <w:bottom w:val="nil"/>
              <w:right w:val="nil"/>
            </w:tcBorders>
            <w:shd w:val="clear" w:color="auto" w:fill="auto"/>
            <w:noWrap/>
            <w:vAlign w:val="bottom"/>
            <w:hideMark/>
          </w:tcPr>
          <w:p w14:paraId="4C44BABB" w14:textId="77777777" w:rsidR="00E928F6" w:rsidRPr="00F3638A" w:rsidRDefault="00E928F6" w:rsidP="00AB3151">
            <w:pPr>
              <w:spacing w:after="0" w:line="240" w:lineRule="auto"/>
              <w:rPr>
                <w:rFonts w:ascii="Calibri" w:eastAsia="Times New Roman" w:hAnsi="Calibri" w:cs="Times New Roman"/>
                <w:color w:val="000000"/>
                <w:sz w:val="16"/>
                <w:szCs w:val="16"/>
                <w:lang w:eastAsia="en-GB"/>
              </w:rPr>
            </w:pPr>
            <w:r>
              <w:rPr>
                <w:rFonts w:ascii="Calibri" w:hAnsi="Calibri"/>
                <w:color w:val="000000"/>
                <w:sz w:val="16"/>
                <w:szCs w:val="16"/>
              </w:rPr>
              <w:t> </w:t>
            </w:r>
          </w:p>
        </w:tc>
      </w:tr>
      <w:tr w:rsidR="00E928F6" w:rsidRPr="00F3638A" w14:paraId="671BEF52" w14:textId="77777777" w:rsidTr="00AB3151">
        <w:trPr>
          <w:trHeight w:val="255"/>
          <w:jc w:val="center"/>
        </w:trPr>
        <w:tc>
          <w:tcPr>
            <w:tcW w:w="3400" w:type="dxa"/>
            <w:tcBorders>
              <w:top w:val="nil"/>
              <w:left w:val="nil"/>
              <w:bottom w:val="nil"/>
              <w:right w:val="nil"/>
            </w:tcBorders>
            <w:shd w:val="clear" w:color="auto" w:fill="auto"/>
            <w:noWrap/>
            <w:vAlign w:val="bottom"/>
            <w:hideMark/>
          </w:tcPr>
          <w:p w14:paraId="6D54A265" w14:textId="77777777" w:rsidR="00E928F6" w:rsidRPr="00F3638A" w:rsidRDefault="00E928F6" w:rsidP="00AB3151">
            <w:pPr>
              <w:spacing w:after="0" w:line="240" w:lineRule="auto"/>
              <w:rPr>
                <w:rFonts w:ascii="Calibri" w:eastAsia="Times New Roman" w:hAnsi="Calibri" w:cs="Times New Roman"/>
                <w:color w:val="000000"/>
                <w:sz w:val="16"/>
                <w:szCs w:val="16"/>
                <w:lang w:eastAsia="en-GB"/>
              </w:rPr>
            </w:pPr>
          </w:p>
        </w:tc>
        <w:tc>
          <w:tcPr>
            <w:tcW w:w="1175" w:type="dxa"/>
            <w:tcBorders>
              <w:top w:val="single" w:sz="4" w:space="0" w:color="auto"/>
              <w:left w:val="nil"/>
              <w:bottom w:val="nil"/>
              <w:right w:val="nil"/>
            </w:tcBorders>
            <w:shd w:val="clear" w:color="auto" w:fill="auto"/>
            <w:noWrap/>
            <w:vAlign w:val="bottom"/>
            <w:hideMark/>
          </w:tcPr>
          <w:p w14:paraId="62E6F373" w14:textId="77777777" w:rsidR="00E928F6" w:rsidRPr="00F3638A" w:rsidRDefault="00E928F6" w:rsidP="00AB3151">
            <w:pPr>
              <w:spacing w:after="0" w:line="240" w:lineRule="auto"/>
              <w:rPr>
                <w:rFonts w:ascii="Calibri" w:eastAsia="Times New Roman" w:hAnsi="Calibri" w:cs="Times New Roman"/>
                <w:color w:val="000000"/>
                <w:sz w:val="16"/>
                <w:szCs w:val="16"/>
                <w:lang w:eastAsia="en-GB"/>
              </w:rPr>
            </w:pPr>
            <w:r>
              <w:rPr>
                <w:rFonts w:ascii="Calibri" w:hAnsi="Calibri"/>
                <w:color w:val="000000"/>
                <w:sz w:val="16"/>
                <w:szCs w:val="16"/>
              </w:rPr>
              <w:t>cum. chg.</w:t>
            </w:r>
          </w:p>
        </w:tc>
        <w:tc>
          <w:tcPr>
            <w:tcW w:w="1261" w:type="dxa"/>
            <w:tcBorders>
              <w:top w:val="single" w:sz="4" w:space="0" w:color="auto"/>
              <w:left w:val="nil"/>
              <w:bottom w:val="nil"/>
              <w:right w:val="nil"/>
            </w:tcBorders>
            <w:shd w:val="clear" w:color="auto" w:fill="auto"/>
            <w:noWrap/>
            <w:vAlign w:val="bottom"/>
            <w:hideMark/>
          </w:tcPr>
          <w:p w14:paraId="51167F3C" w14:textId="77777777" w:rsidR="00E928F6" w:rsidRPr="00F3638A" w:rsidRDefault="00E928F6" w:rsidP="00AB3151">
            <w:pPr>
              <w:spacing w:after="0" w:line="240" w:lineRule="auto"/>
              <w:rPr>
                <w:rFonts w:ascii="Calibri" w:eastAsia="Times New Roman" w:hAnsi="Calibri" w:cs="Times New Roman"/>
                <w:color w:val="000000"/>
                <w:sz w:val="16"/>
                <w:szCs w:val="16"/>
                <w:lang w:eastAsia="en-GB"/>
              </w:rPr>
            </w:pPr>
            <w:r>
              <w:rPr>
                <w:rFonts w:ascii="Calibri" w:hAnsi="Calibri"/>
                <w:color w:val="000000"/>
                <w:sz w:val="16"/>
                <w:szCs w:val="16"/>
              </w:rPr>
              <w:t>% of total</w:t>
            </w:r>
          </w:p>
        </w:tc>
      </w:tr>
      <w:tr w:rsidR="00E928F6" w:rsidRPr="00F3638A" w14:paraId="15047A0E" w14:textId="77777777" w:rsidTr="00AB3151">
        <w:trPr>
          <w:trHeight w:val="255"/>
          <w:jc w:val="center"/>
        </w:trPr>
        <w:tc>
          <w:tcPr>
            <w:tcW w:w="3400" w:type="dxa"/>
            <w:tcBorders>
              <w:top w:val="nil"/>
              <w:left w:val="nil"/>
              <w:bottom w:val="nil"/>
              <w:right w:val="nil"/>
            </w:tcBorders>
            <w:shd w:val="clear" w:color="auto" w:fill="auto"/>
            <w:noWrap/>
            <w:vAlign w:val="bottom"/>
            <w:hideMark/>
          </w:tcPr>
          <w:p w14:paraId="35B9046A" w14:textId="77777777" w:rsidR="00E928F6" w:rsidRPr="00F3638A" w:rsidRDefault="00E928F6" w:rsidP="00AB3151">
            <w:pPr>
              <w:spacing w:after="0" w:line="240" w:lineRule="auto"/>
              <w:rPr>
                <w:rFonts w:ascii="Calibri" w:eastAsia="Times New Roman" w:hAnsi="Calibri" w:cs="Times New Roman"/>
                <w:color w:val="000000"/>
                <w:sz w:val="16"/>
                <w:szCs w:val="16"/>
                <w:lang w:eastAsia="en-GB"/>
              </w:rPr>
            </w:pPr>
            <w:r w:rsidRPr="00F3638A">
              <w:rPr>
                <w:rFonts w:ascii="Calibri" w:eastAsia="Times New Roman" w:hAnsi="Calibri" w:cs="Times New Roman"/>
                <w:color w:val="000000"/>
                <w:sz w:val="16"/>
                <w:szCs w:val="16"/>
                <w:lang w:eastAsia="en-GB"/>
              </w:rPr>
              <w:t>ΔTotal-to-HDL cholesterol ratio</w:t>
            </w:r>
          </w:p>
        </w:tc>
        <w:tc>
          <w:tcPr>
            <w:tcW w:w="1175" w:type="dxa"/>
            <w:tcBorders>
              <w:top w:val="nil"/>
              <w:left w:val="nil"/>
              <w:bottom w:val="nil"/>
              <w:right w:val="nil"/>
            </w:tcBorders>
            <w:shd w:val="clear" w:color="auto" w:fill="auto"/>
            <w:noWrap/>
            <w:vAlign w:val="center"/>
            <w:hideMark/>
          </w:tcPr>
          <w:p w14:paraId="15EB385E" w14:textId="77777777" w:rsidR="00E928F6" w:rsidRPr="00F3638A" w:rsidRDefault="00E928F6" w:rsidP="00AB3151">
            <w:pPr>
              <w:spacing w:after="0" w:line="240" w:lineRule="auto"/>
              <w:jc w:val="right"/>
              <w:rPr>
                <w:rFonts w:ascii="Calibri" w:eastAsia="Times New Roman" w:hAnsi="Calibri" w:cs="Times New Roman"/>
                <w:color w:val="000000"/>
                <w:sz w:val="16"/>
                <w:szCs w:val="16"/>
                <w:lang w:eastAsia="en-GB"/>
              </w:rPr>
            </w:pPr>
            <w:r>
              <w:rPr>
                <w:rFonts w:ascii="Calibri" w:hAnsi="Calibri"/>
                <w:color w:val="000000"/>
                <w:sz w:val="16"/>
                <w:szCs w:val="16"/>
              </w:rPr>
              <w:t>-0.080</w:t>
            </w:r>
          </w:p>
        </w:tc>
        <w:tc>
          <w:tcPr>
            <w:tcW w:w="1261" w:type="dxa"/>
            <w:tcBorders>
              <w:top w:val="nil"/>
              <w:left w:val="nil"/>
              <w:bottom w:val="nil"/>
              <w:right w:val="nil"/>
            </w:tcBorders>
            <w:shd w:val="clear" w:color="auto" w:fill="auto"/>
            <w:noWrap/>
            <w:vAlign w:val="center"/>
            <w:hideMark/>
          </w:tcPr>
          <w:p w14:paraId="7BDE2A2A" w14:textId="77777777" w:rsidR="00E928F6" w:rsidRPr="00F3638A" w:rsidRDefault="00E928F6" w:rsidP="00AB3151">
            <w:pPr>
              <w:spacing w:after="0" w:line="240" w:lineRule="auto"/>
              <w:jc w:val="right"/>
              <w:rPr>
                <w:rFonts w:ascii="Calibri" w:eastAsia="Times New Roman" w:hAnsi="Calibri" w:cs="Times New Roman"/>
                <w:color w:val="000000"/>
                <w:sz w:val="16"/>
                <w:szCs w:val="16"/>
                <w:lang w:eastAsia="en-GB"/>
              </w:rPr>
            </w:pPr>
            <w:r w:rsidRPr="00A40499">
              <w:rPr>
                <w:rFonts w:ascii="Calibri" w:hAnsi="Calibri"/>
                <w:color w:val="000000"/>
                <w:sz w:val="16"/>
                <w:szCs w:val="16"/>
              </w:rPr>
              <w:t>-1</w:t>
            </w:r>
            <w:r>
              <w:rPr>
                <w:rFonts w:ascii="Calibri" w:hAnsi="Calibri"/>
                <w:color w:val="000000"/>
                <w:sz w:val="16"/>
                <w:szCs w:val="16"/>
              </w:rPr>
              <w:t>.</w:t>
            </w:r>
            <w:r w:rsidRPr="00A40499">
              <w:rPr>
                <w:rFonts w:ascii="Calibri" w:hAnsi="Calibri"/>
                <w:color w:val="000000"/>
                <w:sz w:val="16"/>
                <w:szCs w:val="16"/>
              </w:rPr>
              <w:t>74%</w:t>
            </w:r>
          </w:p>
        </w:tc>
      </w:tr>
      <w:tr w:rsidR="00E928F6" w:rsidRPr="00F3638A" w14:paraId="62FC6189" w14:textId="77777777" w:rsidTr="00AB3151">
        <w:trPr>
          <w:trHeight w:val="255"/>
          <w:jc w:val="center"/>
        </w:trPr>
        <w:tc>
          <w:tcPr>
            <w:tcW w:w="3400" w:type="dxa"/>
            <w:tcBorders>
              <w:top w:val="single" w:sz="4" w:space="0" w:color="auto"/>
              <w:left w:val="nil"/>
              <w:bottom w:val="nil"/>
              <w:right w:val="nil"/>
            </w:tcBorders>
            <w:shd w:val="clear" w:color="auto" w:fill="auto"/>
            <w:noWrap/>
            <w:vAlign w:val="bottom"/>
            <w:hideMark/>
          </w:tcPr>
          <w:p w14:paraId="67CB3B08" w14:textId="77777777" w:rsidR="00E928F6" w:rsidRPr="00F3638A" w:rsidRDefault="00E928F6" w:rsidP="00AB3151">
            <w:pPr>
              <w:spacing w:after="0" w:line="240" w:lineRule="auto"/>
              <w:rPr>
                <w:rFonts w:ascii="Calibri" w:eastAsia="Times New Roman" w:hAnsi="Calibri" w:cs="Times New Roman"/>
                <w:b/>
                <w:bCs/>
                <w:i/>
                <w:iCs/>
                <w:color w:val="000000"/>
                <w:sz w:val="16"/>
                <w:szCs w:val="16"/>
                <w:lang w:eastAsia="en-GB"/>
              </w:rPr>
            </w:pPr>
            <w:r w:rsidRPr="00F3638A">
              <w:rPr>
                <w:rFonts w:ascii="Calibri" w:eastAsia="Times New Roman" w:hAnsi="Calibri" w:cs="Times New Roman"/>
                <w:b/>
                <w:bCs/>
                <w:i/>
                <w:iCs/>
                <w:color w:val="000000"/>
                <w:sz w:val="16"/>
                <w:szCs w:val="16"/>
                <w:lang w:eastAsia="en-GB"/>
              </w:rPr>
              <w:t>Health (cumulative indicators)</w:t>
            </w:r>
          </w:p>
        </w:tc>
        <w:tc>
          <w:tcPr>
            <w:tcW w:w="1175" w:type="dxa"/>
            <w:tcBorders>
              <w:top w:val="single" w:sz="4" w:space="0" w:color="auto"/>
              <w:left w:val="nil"/>
              <w:bottom w:val="nil"/>
              <w:right w:val="nil"/>
            </w:tcBorders>
            <w:shd w:val="clear" w:color="auto" w:fill="auto"/>
            <w:noWrap/>
            <w:vAlign w:val="bottom"/>
            <w:hideMark/>
          </w:tcPr>
          <w:p w14:paraId="7AA49AD6" w14:textId="77777777" w:rsidR="00E928F6" w:rsidRPr="00F3638A" w:rsidRDefault="00E928F6" w:rsidP="00AB3151">
            <w:pPr>
              <w:spacing w:after="0" w:line="240" w:lineRule="auto"/>
              <w:rPr>
                <w:rFonts w:ascii="Calibri" w:eastAsia="Times New Roman" w:hAnsi="Calibri" w:cs="Times New Roman"/>
                <w:color w:val="000000"/>
                <w:sz w:val="16"/>
                <w:szCs w:val="16"/>
                <w:lang w:eastAsia="en-GB"/>
              </w:rPr>
            </w:pPr>
            <w:r>
              <w:rPr>
                <w:rFonts w:ascii="Calibri" w:hAnsi="Calibri"/>
                <w:color w:val="000000"/>
                <w:sz w:val="16"/>
                <w:szCs w:val="16"/>
              </w:rPr>
              <w:t> </w:t>
            </w:r>
          </w:p>
        </w:tc>
        <w:tc>
          <w:tcPr>
            <w:tcW w:w="1261" w:type="dxa"/>
            <w:tcBorders>
              <w:top w:val="single" w:sz="4" w:space="0" w:color="auto"/>
              <w:left w:val="nil"/>
              <w:bottom w:val="nil"/>
              <w:right w:val="nil"/>
            </w:tcBorders>
            <w:shd w:val="clear" w:color="auto" w:fill="auto"/>
            <w:noWrap/>
            <w:vAlign w:val="bottom"/>
            <w:hideMark/>
          </w:tcPr>
          <w:p w14:paraId="17D50A64" w14:textId="77777777" w:rsidR="00E928F6" w:rsidRPr="00F3638A" w:rsidRDefault="00E928F6" w:rsidP="00AB3151">
            <w:pPr>
              <w:spacing w:after="0" w:line="240" w:lineRule="auto"/>
              <w:rPr>
                <w:rFonts w:ascii="Calibri" w:eastAsia="Times New Roman" w:hAnsi="Calibri" w:cs="Times New Roman"/>
                <w:color w:val="000000"/>
                <w:sz w:val="16"/>
                <w:szCs w:val="16"/>
                <w:lang w:eastAsia="en-GB"/>
              </w:rPr>
            </w:pPr>
            <w:r>
              <w:rPr>
                <w:rFonts w:ascii="Calibri" w:hAnsi="Calibri"/>
                <w:color w:val="000000"/>
                <w:sz w:val="16"/>
                <w:szCs w:val="16"/>
              </w:rPr>
              <w:t> </w:t>
            </w:r>
          </w:p>
        </w:tc>
      </w:tr>
      <w:tr w:rsidR="00E928F6" w:rsidRPr="00F3638A" w14:paraId="55EDA55E" w14:textId="77777777" w:rsidTr="00AB3151">
        <w:trPr>
          <w:trHeight w:val="255"/>
          <w:jc w:val="center"/>
        </w:trPr>
        <w:tc>
          <w:tcPr>
            <w:tcW w:w="3400" w:type="dxa"/>
            <w:tcBorders>
              <w:top w:val="nil"/>
              <w:left w:val="nil"/>
              <w:bottom w:val="nil"/>
              <w:right w:val="nil"/>
            </w:tcBorders>
            <w:shd w:val="clear" w:color="auto" w:fill="auto"/>
            <w:noWrap/>
            <w:vAlign w:val="bottom"/>
            <w:hideMark/>
          </w:tcPr>
          <w:p w14:paraId="0736C25A" w14:textId="77777777" w:rsidR="00E928F6" w:rsidRPr="00F3638A" w:rsidRDefault="00E928F6" w:rsidP="00AB3151">
            <w:pPr>
              <w:spacing w:after="0" w:line="240" w:lineRule="auto"/>
              <w:rPr>
                <w:rFonts w:ascii="Calibri" w:eastAsia="Times New Roman" w:hAnsi="Calibri" w:cs="Times New Roman"/>
                <w:color w:val="000000"/>
                <w:sz w:val="16"/>
                <w:szCs w:val="16"/>
                <w:lang w:eastAsia="en-GB"/>
              </w:rPr>
            </w:pPr>
          </w:p>
        </w:tc>
        <w:tc>
          <w:tcPr>
            <w:tcW w:w="1175" w:type="dxa"/>
            <w:tcBorders>
              <w:top w:val="single" w:sz="4" w:space="0" w:color="auto"/>
              <w:left w:val="nil"/>
              <w:bottom w:val="nil"/>
              <w:right w:val="nil"/>
            </w:tcBorders>
            <w:shd w:val="clear" w:color="auto" w:fill="auto"/>
            <w:noWrap/>
            <w:vAlign w:val="bottom"/>
            <w:hideMark/>
          </w:tcPr>
          <w:p w14:paraId="5ACABAA7" w14:textId="77777777" w:rsidR="00E928F6" w:rsidRPr="00F3638A" w:rsidRDefault="00E928F6" w:rsidP="00AB3151">
            <w:pPr>
              <w:spacing w:after="0" w:line="240" w:lineRule="auto"/>
              <w:rPr>
                <w:rFonts w:ascii="Calibri" w:eastAsia="Times New Roman" w:hAnsi="Calibri" w:cs="Times New Roman"/>
                <w:color w:val="000000"/>
                <w:sz w:val="16"/>
                <w:szCs w:val="16"/>
                <w:lang w:eastAsia="en-GB"/>
              </w:rPr>
            </w:pPr>
            <w:r>
              <w:rPr>
                <w:rFonts w:ascii="Calibri" w:hAnsi="Calibri"/>
                <w:color w:val="000000"/>
                <w:sz w:val="16"/>
                <w:szCs w:val="16"/>
              </w:rPr>
              <w:t>cases</w:t>
            </w:r>
          </w:p>
        </w:tc>
        <w:tc>
          <w:tcPr>
            <w:tcW w:w="1261" w:type="dxa"/>
            <w:tcBorders>
              <w:top w:val="single" w:sz="4" w:space="0" w:color="auto"/>
              <w:left w:val="nil"/>
              <w:bottom w:val="nil"/>
              <w:right w:val="nil"/>
            </w:tcBorders>
            <w:shd w:val="clear" w:color="auto" w:fill="auto"/>
            <w:noWrap/>
            <w:vAlign w:val="bottom"/>
            <w:hideMark/>
          </w:tcPr>
          <w:p w14:paraId="2E678F35" w14:textId="77777777" w:rsidR="00E928F6" w:rsidRPr="00F3638A" w:rsidRDefault="00E928F6" w:rsidP="00AB3151">
            <w:pPr>
              <w:spacing w:after="0" w:line="240" w:lineRule="auto"/>
              <w:rPr>
                <w:rFonts w:ascii="Calibri" w:eastAsia="Times New Roman" w:hAnsi="Calibri" w:cs="Times New Roman"/>
                <w:color w:val="000000"/>
                <w:sz w:val="16"/>
                <w:szCs w:val="16"/>
                <w:lang w:eastAsia="en-GB"/>
              </w:rPr>
            </w:pPr>
            <w:r>
              <w:rPr>
                <w:rFonts w:ascii="Calibri" w:hAnsi="Calibri"/>
                <w:color w:val="000000"/>
                <w:sz w:val="16"/>
                <w:szCs w:val="16"/>
              </w:rPr>
              <w:t>% of total</w:t>
            </w:r>
          </w:p>
        </w:tc>
      </w:tr>
      <w:tr w:rsidR="00E928F6" w:rsidRPr="00F3638A" w14:paraId="729288AC" w14:textId="77777777" w:rsidTr="00AB3151">
        <w:trPr>
          <w:trHeight w:val="225"/>
          <w:jc w:val="center"/>
        </w:trPr>
        <w:tc>
          <w:tcPr>
            <w:tcW w:w="3400" w:type="dxa"/>
            <w:tcBorders>
              <w:top w:val="nil"/>
              <w:left w:val="nil"/>
              <w:bottom w:val="nil"/>
              <w:right w:val="nil"/>
            </w:tcBorders>
            <w:shd w:val="clear" w:color="auto" w:fill="auto"/>
            <w:noWrap/>
            <w:vAlign w:val="bottom"/>
            <w:hideMark/>
          </w:tcPr>
          <w:p w14:paraId="18EDDB12" w14:textId="77777777" w:rsidR="00E928F6" w:rsidRPr="00F3638A" w:rsidRDefault="00E928F6" w:rsidP="00AB3151">
            <w:pPr>
              <w:spacing w:after="0" w:line="240" w:lineRule="auto"/>
              <w:rPr>
                <w:rFonts w:ascii="Calibri" w:eastAsia="Times New Roman" w:hAnsi="Calibri" w:cs="Times New Roman"/>
                <w:color w:val="000000"/>
                <w:sz w:val="16"/>
                <w:szCs w:val="16"/>
                <w:lang w:eastAsia="en-GB"/>
              </w:rPr>
            </w:pPr>
            <w:r w:rsidRPr="00F3638A">
              <w:rPr>
                <w:rFonts w:ascii="Calibri" w:eastAsia="Times New Roman" w:hAnsi="Calibri" w:cs="Times New Roman"/>
                <w:color w:val="000000"/>
                <w:sz w:val="16"/>
                <w:szCs w:val="16"/>
                <w:lang w:eastAsia="en-GB"/>
              </w:rPr>
              <w:t>ΔPatient Incident Cases</w:t>
            </w:r>
          </w:p>
        </w:tc>
        <w:tc>
          <w:tcPr>
            <w:tcW w:w="1175" w:type="dxa"/>
            <w:tcBorders>
              <w:top w:val="nil"/>
              <w:left w:val="nil"/>
              <w:bottom w:val="nil"/>
              <w:right w:val="nil"/>
            </w:tcBorders>
            <w:shd w:val="clear" w:color="auto" w:fill="auto"/>
            <w:noWrap/>
            <w:vAlign w:val="center"/>
            <w:hideMark/>
          </w:tcPr>
          <w:p w14:paraId="77FA05CC" w14:textId="77777777" w:rsidR="00E928F6" w:rsidRPr="00F3638A" w:rsidRDefault="00E928F6" w:rsidP="00AB3151">
            <w:pPr>
              <w:spacing w:after="0" w:line="240" w:lineRule="auto"/>
              <w:jc w:val="right"/>
              <w:rPr>
                <w:rFonts w:ascii="Calibri" w:eastAsia="Times New Roman" w:hAnsi="Calibri" w:cs="Times New Roman"/>
                <w:color w:val="000000"/>
                <w:sz w:val="16"/>
                <w:szCs w:val="16"/>
                <w:lang w:eastAsia="en-GB"/>
              </w:rPr>
            </w:pPr>
            <w:r>
              <w:rPr>
                <w:rFonts w:ascii="Calibri" w:hAnsi="Calibri"/>
                <w:color w:val="000000"/>
                <w:sz w:val="16"/>
                <w:szCs w:val="16"/>
              </w:rPr>
              <w:t xml:space="preserve">- 10,919 </w:t>
            </w:r>
          </w:p>
        </w:tc>
        <w:tc>
          <w:tcPr>
            <w:tcW w:w="1261" w:type="dxa"/>
            <w:tcBorders>
              <w:top w:val="nil"/>
              <w:left w:val="nil"/>
              <w:bottom w:val="nil"/>
              <w:right w:val="nil"/>
            </w:tcBorders>
            <w:shd w:val="clear" w:color="auto" w:fill="auto"/>
            <w:noWrap/>
            <w:vAlign w:val="center"/>
            <w:hideMark/>
          </w:tcPr>
          <w:p w14:paraId="4DBD4F28" w14:textId="77777777" w:rsidR="00E928F6" w:rsidRPr="00F3638A" w:rsidRDefault="00E928F6" w:rsidP="00AB3151">
            <w:pPr>
              <w:spacing w:after="0" w:line="240" w:lineRule="auto"/>
              <w:jc w:val="right"/>
              <w:rPr>
                <w:rFonts w:ascii="Calibri" w:eastAsia="Times New Roman" w:hAnsi="Calibri" w:cs="Times New Roman"/>
                <w:color w:val="000000"/>
                <w:sz w:val="16"/>
                <w:szCs w:val="16"/>
                <w:lang w:eastAsia="en-GB"/>
              </w:rPr>
            </w:pPr>
            <w:r>
              <w:rPr>
                <w:rFonts w:ascii="Calibri" w:hAnsi="Calibri"/>
                <w:color w:val="000000"/>
                <w:sz w:val="16"/>
                <w:szCs w:val="16"/>
              </w:rPr>
              <w:t>-0.29%</w:t>
            </w:r>
          </w:p>
        </w:tc>
      </w:tr>
      <w:tr w:rsidR="00E928F6" w:rsidRPr="00F3638A" w14:paraId="115CBAA1" w14:textId="77777777" w:rsidTr="00AB3151">
        <w:trPr>
          <w:trHeight w:val="225"/>
          <w:jc w:val="center"/>
        </w:trPr>
        <w:tc>
          <w:tcPr>
            <w:tcW w:w="3400" w:type="dxa"/>
            <w:tcBorders>
              <w:top w:val="nil"/>
              <w:left w:val="nil"/>
              <w:bottom w:val="nil"/>
              <w:right w:val="nil"/>
            </w:tcBorders>
            <w:shd w:val="clear" w:color="auto" w:fill="auto"/>
            <w:noWrap/>
            <w:vAlign w:val="bottom"/>
            <w:hideMark/>
          </w:tcPr>
          <w:p w14:paraId="7A9211D6" w14:textId="77777777" w:rsidR="00E928F6" w:rsidRPr="00F3638A" w:rsidRDefault="00E928F6" w:rsidP="00AB3151">
            <w:pPr>
              <w:spacing w:after="0" w:line="240" w:lineRule="auto"/>
              <w:rPr>
                <w:rFonts w:ascii="Calibri" w:eastAsia="Times New Roman" w:hAnsi="Calibri" w:cs="Times New Roman"/>
                <w:color w:val="000000"/>
                <w:sz w:val="16"/>
                <w:szCs w:val="16"/>
                <w:lang w:eastAsia="en-GB"/>
              </w:rPr>
            </w:pPr>
            <w:r w:rsidRPr="00F3638A">
              <w:rPr>
                <w:rFonts w:ascii="Calibri" w:eastAsia="Times New Roman" w:hAnsi="Calibri" w:cs="Times New Roman"/>
                <w:color w:val="000000"/>
                <w:sz w:val="16"/>
                <w:szCs w:val="16"/>
                <w:lang w:eastAsia="en-GB"/>
              </w:rPr>
              <w:t xml:space="preserve">   - myocardial infarction</w:t>
            </w:r>
          </w:p>
        </w:tc>
        <w:tc>
          <w:tcPr>
            <w:tcW w:w="1175" w:type="dxa"/>
            <w:tcBorders>
              <w:top w:val="nil"/>
              <w:left w:val="nil"/>
              <w:bottom w:val="nil"/>
              <w:right w:val="nil"/>
            </w:tcBorders>
            <w:shd w:val="clear" w:color="auto" w:fill="auto"/>
            <w:noWrap/>
            <w:vAlign w:val="center"/>
            <w:hideMark/>
          </w:tcPr>
          <w:p w14:paraId="50C3398D" w14:textId="77777777" w:rsidR="00E928F6" w:rsidRPr="00F3638A" w:rsidRDefault="00E928F6" w:rsidP="00AB3151">
            <w:pPr>
              <w:spacing w:after="0" w:line="240" w:lineRule="auto"/>
              <w:jc w:val="right"/>
              <w:rPr>
                <w:rFonts w:ascii="Calibri" w:eastAsia="Times New Roman" w:hAnsi="Calibri" w:cs="Times New Roman"/>
                <w:color w:val="000000"/>
                <w:sz w:val="16"/>
                <w:szCs w:val="16"/>
                <w:lang w:eastAsia="en-GB"/>
              </w:rPr>
            </w:pPr>
            <w:r>
              <w:rPr>
                <w:rFonts w:ascii="Calibri" w:hAnsi="Calibri"/>
                <w:color w:val="000000"/>
                <w:sz w:val="16"/>
                <w:szCs w:val="16"/>
              </w:rPr>
              <w:t xml:space="preserve">-8,280 </w:t>
            </w:r>
          </w:p>
        </w:tc>
        <w:tc>
          <w:tcPr>
            <w:tcW w:w="1261" w:type="dxa"/>
            <w:tcBorders>
              <w:top w:val="nil"/>
              <w:left w:val="nil"/>
              <w:bottom w:val="nil"/>
              <w:right w:val="nil"/>
            </w:tcBorders>
            <w:shd w:val="clear" w:color="auto" w:fill="auto"/>
            <w:noWrap/>
            <w:vAlign w:val="center"/>
            <w:hideMark/>
          </w:tcPr>
          <w:p w14:paraId="6C83A4F8" w14:textId="77777777" w:rsidR="00E928F6" w:rsidRPr="00F3638A" w:rsidRDefault="00E928F6" w:rsidP="00AB3151">
            <w:pPr>
              <w:spacing w:after="0" w:line="240" w:lineRule="auto"/>
              <w:jc w:val="right"/>
              <w:rPr>
                <w:rFonts w:ascii="Calibri" w:eastAsia="Times New Roman" w:hAnsi="Calibri" w:cs="Times New Roman"/>
                <w:color w:val="000000"/>
                <w:sz w:val="16"/>
                <w:szCs w:val="16"/>
                <w:lang w:eastAsia="en-GB"/>
              </w:rPr>
            </w:pPr>
            <w:r>
              <w:rPr>
                <w:rFonts w:ascii="Calibri" w:hAnsi="Calibri"/>
                <w:color w:val="000000"/>
                <w:sz w:val="16"/>
                <w:szCs w:val="16"/>
              </w:rPr>
              <w:t>-0.49%</w:t>
            </w:r>
          </w:p>
        </w:tc>
      </w:tr>
      <w:tr w:rsidR="00E928F6" w:rsidRPr="00F3638A" w14:paraId="6EEBA611" w14:textId="77777777" w:rsidTr="00AB3151">
        <w:trPr>
          <w:trHeight w:val="255"/>
          <w:jc w:val="center"/>
        </w:trPr>
        <w:tc>
          <w:tcPr>
            <w:tcW w:w="3400" w:type="dxa"/>
            <w:tcBorders>
              <w:top w:val="nil"/>
              <w:left w:val="nil"/>
              <w:bottom w:val="nil"/>
              <w:right w:val="nil"/>
            </w:tcBorders>
            <w:shd w:val="clear" w:color="auto" w:fill="auto"/>
            <w:noWrap/>
            <w:vAlign w:val="bottom"/>
            <w:hideMark/>
          </w:tcPr>
          <w:p w14:paraId="2D7061C5" w14:textId="77777777" w:rsidR="00E928F6" w:rsidRPr="00F3638A" w:rsidRDefault="00E928F6" w:rsidP="00AB3151">
            <w:pPr>
              <w:spacing w:after="0" w:line="240" w:lineRule="auto"/>
              <w:rPr>
                <w:rFonts w:ascii="Calibri" w:eastAsia="Times New Roman" w:hAnsi="Calibri" w:cs="Times New Roman"/>
                <w:color w:val="000000"/>
                <w:sz w:val="16"/>
                <w:szCs w:val="16"/>
                <w:lang w:eastAsia="en-GB"/>
              </w:rPr>
            </w:pPr>
            <w:r w:rsidRPr="00F3638A">
              <w:rPr>
                <w:rFonts w:ascii="Calibri" w:eastAsia="Times New Roman" w:hAnsi="Calibri" w:cs="Times New Roman"/>
                <w:color w:val="000000"/>
                <w:sz w:val="16"/>
                <w:szCs w:val="16"/>
                <w:lang w:eastAsia="en-GB"/>
              </w:rPr>
              <w:t xml:space="preserve">   - stroke</w:t>
            </w:r>
          </w:p>
        </w:tc>
        <w:tc>
          <w:tcPr>
            <w:tcW w:w="1175" w:type="dxa"/>
            <w:tcBorders>
              <w:top w:val="nil"/>
              <w:left w:val="nil"/>
              <w:bottom w:val="nil"/>
              <w:right w:val="nil"/>
            </w:tcBorders>
            <w:shd w:val="clear" w:color="auto" w:fill="auto"/>
            <w:noWrap/>
            <w:vAlign w:val="center"/>
            <w:hideMark/>
          </w:tcPr>
          <w:p w14:paraId="4B638DA5" w14:textId="77777777" w:rsidR="00E928F6" w:rsidRPr="00F3638A" w:rsidRDefault="00E928F6" w:rsidP="00AB3151">
            <w:pPr>
              <w:spacing w:after="0" w:line="240" w:lineRule="auto"/>
              <w:jc w:val="right"/>
              <w:rPr>
                <w:rFonts w:ascii="Calibri" w:eastAsia="Times New Roman" w:hAnsi="Calibri" w:cs="Times New Roman"/>
                <w:color w:val="000000"/>
                <w:sz w:val="16"/>
                <w:szCs w:val="16"/>
                <w:lang w:eastAsia="en-GB"/>
              </w:rPr>
            </w:pPr>
            <w:r>
              <w:rPr>
                <w:rFonts w:ascii="Calibri" w:hAnsi="Calibri"/>
                <w:color w:val="000000"/>
                <w:sz w:val="16"/>
                <w:szCs w:val="16"/>
              </w:rPr>
              <w:t xml:space="preserve">-2,639 </w:t>
            </w:r>
          </w:p>
        </w:tc>
        <w:tc>
          <w:tcPr>
            <w:tcW w:w="1261" w:type="dxa"/>
            <w:tcBorders>
              <w:top w:val="nil"/>
              <w:left w:val="nil"/>
              <w:bottom w:val="nil"/>
              <w:right w:val="nil"/>
            </w:tcBorders>
            <w:shd w:val="clear" w:color="auto" w:fill="auto"/>
            <w:noWrap/>
            <w:vAlign w:val="center"/>
            <w:hideMark/>
          </w:tcPr>
          <w:p w14:paraId="453DCCEE" w14:textId="77777777" w:rsidR="00E928F6" w:rsidRPr="00F3638A" w:rsidRDefault="00E928F6" w:rsidP="00AB3151">
            <w:pPr>
              <w:spacing w:after="0" w:line="240" w:lineRule="auto"/>
              <w:jc w:val="right"/>
              <w:rPr>
                <w:rFonts w:ascii="Calibri" w:eastAsia="Times New Roman" w:hAnsi="Calibri" w:cs="Times New Roman"/>
                <w:color w:val="000000"/>
                <w:sz w:val="16"/>
                <w:szCs w:val="16"/>
                <w:lang w:eastAsia="en-GB"/>
              </w:rPr>
            </w:pPr>
            <w:r>
              <w:rPr>
                <w:rFonts w:ascii="Calibri" w:hAnsi="Calibri"/>
                <w:color w:val="000000"/>
                <w:sz w:val="16"/>
                <w:szCs w:val="16"/>
              </w:rPr>
              <w:t>-0.13%</w:t>
            </w:r>
          </w:p>
        </w:tc>
      </w:tr>
      <w:tr w:rsidR="00E928F6" w:rsidRPr="00F3638A" w14:paraId="50F859DD" w14:textId="77777777" w:rsidTr="00AB3151">
        <w:trPr>
          <w:trHeight w:val="255"/>
          <w:jc w:val="center"/>
        </w:trPr>
        <w:tc>
          <w:tcPr>
            <w:tcW w:w="3400" w:type="dxa"/>
            <w:tcBorders>
              <w:top w:val="nil"/>
              <w:left w:val="nil"/>
              <w:bottom w:val="nil"/>
              <w:right w:val="nil"/>
            </w:tcBorders>
            <w:shd w:val="clear" w:color="auto" w:fill="auto"/>
            <w:noWrap/>
            <w:vAlign w:val="bottom"/>
            <w:hideMark/>
          </w:tcPr>
          <w:p w14:paraId="614ED1AF" w14:textId="77777777" w:rsidR="00E928F6" w:rsidRPr="00F3638A" w:rsidRDefault="00E928F6" w:rsidP="00AB3151">
            <w:pPr>
              <w:spacing w:after="0" w:line="240" w:lineRule="auto"/>
              <w:rPr>
                <w:rFonts w:ascii="Calibri" w:eastAsia="Times New Roman" w:hAnsi="Calibri" w:cs="Times New Roman"/>
                <w:color w:val="000000"/>
                <w:sz w:val="16"/>
                <w:szCs w:val="16"/>
                <w:lang w:eastAsia="en-GB"/>
              </w:rPr>
            </w:pPr>
            <w:r w:rsidRPr="00F3638A">
              <w:rPr>
                <w:rFonts w:ascii="Calibri" w:eastAsia="Times New Roman" w:hAnsi="Calibri" w:cs="Times New Roman"/>
                <w:color w:val="000000"/>
                <w:sz w:val="16"/>
                <w:szCs w:val="16"/>
                <w:lang w:eastAsia="en-GB"/>
              </w:rPr>
              <w:t>ΔPatient premature deaths</w:t>
            </w:r>
          </w:p>
        </w:tc>
        <w:tc>
          <w:tcPr>
            <w:tcW w:w="1175" w:type="dxa"/>
            <w:tcBorders>
              <w:top w:val="single" w:sz="4" w:space="0" w:color="auto"/>
              <w:left w:val="nil"/>
              <w:bottom w:val="nil"/>
              <w:right w:val="nil"/>
            </w:tcBorders>
            <w:shd w:val="clear" w:color="auto" w:fill="auto"/>
            <w:noWrap/>
            <w:vAlign w:val="center"/>
            <w:hideMark/>
          </w:tcPr>
          <w:p w14:paraId="27CF1BFD" w14:textId="77777777" w:rsidR="00E928F6" w:rsidRPr="00F3638A" w:rsidRDefault="00E928F6" w:rsidP="00AB3151">
            <w:pPr>
              <w:spacing w:after="0" w:line="240" w:lineRule="auto"/>
              <w:jc w:val="right"/>
              <w:rPr>
                <w:rFonts w:ascii="Calibri" w:eastAsia="Times New Roman" w:hAnsi="Calibri" w:cs="Times New Roman"/>
                <w:color w:val="000000"/>
                <w:sz w:val="16"/>
                <w:szCs w:val="16"/>
                <w:lang w:eastAsia="en-GB"/>
              </w:rPr>
            </w:pPr>
            <w:r>
              <w:rPr>
                <w:rFonts w:ascii="Calibri" w:hAnsi="Calibri"/>
                <w:color w:val="000000"/>
                <w:sz w:val="16"/>
                <w:szCs w:val="16"/>
              </w:rPr>
              <w:t xml:space="preserve">-5,577 </w:t>
            </w:r>
          </w:p>
        </w:tc>
        <w:tc>
          <w:tcPr>
            <w:tcW w:w="1261" w:type="dxa"/>
            <w:tcBorders>
              <w:top w:val="single" w:sz="4" w:space="0" w:color="auto"/>
              <w:left w:val="nil"/>
              <w:bottom w:val="nil"/>
              <w:right w:val="nil"/>
            </w:tcBorders>
            <w:shd w:val="clear" w:color="auto" w:fill="auto"/>
            <w:noWrap/>
            <w:vAlign w:val="center"/>
            <w:hideMark/>
          </w:tcPr>
          <w:p w14:paraId="4F718496" w14:textId="77777777" w:rsidR="00E928F6" w:rsidRPr="00F3638A" w:rsidRDefault="00E928F6" w:rsidP="00AB3151">
            <w:pPr>
              <w:spacing w:after="0" w:line="240" w:lineRule="auto"/>
              <w:jc w:val="right"/>
              <w:rPr>
                <w:rFonts w:ascii="Calibri" w:eastAsia="Times New Roman" w:hAnsi="Calibri" w:cs="Times New Roman"/>
                <w:color w:val="000000"/>
                <w:sz w:val="16"/>
                <w:szCs w:val="16"/>
                <w:lang w:eastAsia="en-GB"/>
              </w:rPr>
            </w:pPr>
            <w:r>
              <w:rPr>
                <w:rFonts w:ascii="Calibri" w:hAnsi="Calibri"/>
                <w:color w:val="000000"/>
                <w:sz w:val="16"/>
                <w:szCs w:val="16"/>
              </w:rPr>
              <w:t>-0.29%</w:t>
            </w:r>
          </w:p>
        </w:tc>
      </w:tr>
      <w:tr w:rsidR="00E928F6" w:rsidRPr="00F3638A" w14:paraId="5C466B70" w14:textId="77777777" w:rsidTr="00AB3151">
        <w:trPr>
          <w:trHeight w:val="255"/>
          <w:jc w:val="center"/>
        </w:trPr>
        <w:tc>
          <w:tcPr>
            <w:tcW w:w="3400" w:type="dxa"/>
            <w:tcBorders>
              <w:top w:val="nil"/>
              <w:left w:val="nil"/>
              <w:bottom w:val="nil"/>
              <w:right w:val="nil"/>
            </w:tcBorders>
            <w:shd w:val="clear" w:color="auto" w:fill="auto"/>
            <w:noWrap/>
            <w:vAlign w:val="bottom"/>
            <w:hideMark/>
          </w:tcPr>
          <w:p w14:paraId="629C5849" w14:textId="77777777" w:rsidR="00E928F6" w:rsidRPr="00F3638A" w:rsidRDefault="00E928F6" w:rsidP="00AB3151">
            <w:pPr>
              <w:spacing w:after="0" w:line="240" w:lineRule="auto"/>
              <w:rPr>
                <w:rFonts w:ascii="Calibri" w:eastAsia="Times New Roman" w:hAnsi="Calibri" w:cs="Times New Roman"/>
                <w:color w:val="000000"/>
                <w:sz w:val="16"/>
                <w:szCs w:val="16"/>
                <w:lang w:eastAsia="en-GB"/>
              </w:rPr>
            </w:pPr>
            <w:r w:rsidRPr="00F3638A">
              <w:rPr>
                <w:rFonts w:ascii="Calibri" w:eastAsia="Times New Roman" w:hAnsi="Calibri" w:cs="Times New Roman"/>
                <w:color w:val="000000"/>
                <w:sz w:val="16"/>
                <w:szCs w:val="16"/>
                <w:lang w:eastAsia="en-GB"/>
              </w:rPr>
              <w:t xml:space="preserve">   - myocardial infarction</w:t>
            </w:r>
          </w:p>
        </w:tc>
        <w:tc>
          <w:tcPr>
            <w:tcW w:w="1175" w:type="dxa"/>
            <w:tcBorders>
              <w:top w:val="nil"/>
              <w:left w:val="nil"/>
              <w:bottom w:val="nil"/>
              <w:right w:val="nil"/>
            </w:tcBorders>
            <w:shd w:val="clear" w:color="auto" w:fill="auto"/>
            <w:noWrap/>
            <w:vAlign w:val="center"/>
            <w:hideMark/>
          </w:tcPr>
          <w:p w14:paraId="22F3E308" w14:textId="77777777" w:rsidR="00E928F6" w:rsidRPr="00F3638A" w:rsidRDefault="00E928F6" w:rsidP="00AB3151">
            <w:pPr>
              <w:spacing w:after="0" w:line="240" w:lineRule="auto"/>
              <w:jc w:val="right"/>
              <w:rPr>
                <w:rFonts w:ascii="Calibri" w:eastAsia="Times New Roman" w:hAnsi="Calibri" w:cs="Times New Roman"/>
                <w:color w:val="000000"/>
                <w:sz w:val="16"/>
                <w:szCs w:val="16"/>
                <w:lang w:eastAsia="en-GB"/>
              </w:rPr>
            </w:pPr>
            <w:r>
              <w:rPr>
                <w:rFonts w:ascii="Calibri" w:hAnsi="Calibri"/>
                <w:color w:val="000000"/>
                <w:sz w:val="16"/>
                <w:szCs w:val="16"/>
              </w:rPr>
              <w:t xml:space="preserve">-4,683 </w:t>
            </w:r>
          </w:p>
        </w:tc>
        <w:tc>
          <w:tcPr>
            <w:tcW w:w="1261" w:type="dxa"/>
            <w:tcBorders>
              <w:top w:val="nil"/>
              <w:left w:val="nil"/>
              <w:bottom w:val="nil"/>
              <w:right w:val="nil"/>
            </w:tcBorders>
            <w:shd w:val="clear" w:color="auto" w:fill="auto"/>
            <w:noWrap/>
            <w:vAlign w:val="center"/>
            <w:hideMark/>
          </w:tcPr>
          <w:p w14:paraId="01595CB6" w14:textId="77777777" w:rsidR="00E928F6" w:rsidRPr="00F3638A" w:rsidRDefault="00E928F6" w:rsidP="00AB3151">
            <w:pPr>
              <w:spacing w:after="0" w:line="240" w:lineRule="auto"/>
              <w:jc w:val="right"/>
              <w:rPr>
                <w:rFonts w:ascii="Calibri" w:eastAsia="Times New Roman" w:hAnsi="Calibri" w:cs="Times New Roman"/>
                <w:color w:val="000000"/>
                <w:sz w:val="16"/>
                <w:szCs w:val="16"/>
                <w:lang w:eastAsia="en-GB"/>
              </w:rPr>
            </w:pPr>
            <w:r>
              <w:rPr>
                <w:rFonts w:ascii="Calibri" w:hAnsi="Calibri"/>
                <w:color w:val="000000"/>
                <w:sz w:val="16"/>
                <w:szCs w:val="16"/>
              </w:rPr>
              <w:t>-0.46%</w:t>
            </w:r>
          </w:p>
        </w:tc>
      </w:tr>
      <w:tr w:rsidR="00E928F6" w:rsidRPr="00F3638A" w14:paraId="74C44FD7" w14:textId="77777777" w:rsidTr="00AB3151">
        <w:trPr>
          <w:trHeight w:val="255"/>
          <w:jc w:val="center"/>
        </w:trPr>
        <w:tc>
          <w:tcPr>
            <w:tcW w:w="3400" w:type="dxa"/>
            <w:tcBorders>
              <w:top w:val="nil"/>
              <w:left w:val="nil"/>
              <w:bottom w:val="nil"/>
              <w:right w:val="nil"/>
            </w:tcBorders>
            <w:shd w:val="clear" w:color="auto" w:fill="auto"/>
            <w:noWrap/>
            <w:vAlign w:val="bottom"/>
            <w:hideMark/>
          </w:tcPr>
          <w:p w14:paraId="14947FCF" w14:textId="77777777" w:rsidR="00E928F6" w:rsidRPr="00F3638A" w:rsidRDefault="00E928F6" w:rsidP="00AB3151">
            <w:pPr>
              <w:spacing w:after="0" w:line="240" w:lineRule="auto"/>
              <w:rPr>
                <w:rFonts w:ascii="Calibri" w:eastAsia="Times New Roman" w:hAnsi="Calibri" w:cs="Times New Roman"/>
                <w:color w:val="000000"/>
                <w:sz w:val="16"/>
                <w:szCs w:val="16"/>
                <w:lang w:eastAsia="en-GB"/>
              </w:rPr>
            </w:pPr>
            <w:r w:rsidRPr="00F3638A">
              <w:rPr>
                <w:rFonts w:ascii="Calibri" w:eastAsia="Times New Roman" w:hAnsi="Calibri" w:cs="Times New Roman"/>
                <w:color w:val="000000"/>
                <w:sz w:val="16"/>
                <w:szCs w:val="16"/>
                <w:lang w:eastAsia="en-GB"/>
              </w:rPr>
              <w:t xml:space="preserve">   - stroke</w:t>
            </w:r>
          </w:p>
        </w:tc>
        <w:tc>
          <w:tcPr>
            <w:tcW w:w="1175" w:type="dxa"/>
            <w:tcBorders>
              <w:top w:val="nil"/>
              <w:left w:val="nil"/>
              <w:bottom w:val="nil"/>
              <w:right w:val="nil"/>
            </w:tcBorders>
            <w:shd w:val="clear" w:color="auto" w:fill="auto"/>
            <w:noWrap/>
            <w:vAlign w:val="center"/>
            <w:hideMark/>
          </w:tcPr>
          <w:p w14:paraId="1FF7D828" w14:textId="77777777" w:rsidR="00E928F6" w:rsidRPr="00F3638A" w:rsidRDefault="00E928F6" w:rsidP="00AB3151">
            <w:pPr>
              <w:spacing w:after="0" w:line="240" w:lineRule="auto"/>
              <w:jc w:val="right"/>
              <w:rPr>
                <w:rFonts w:ascii="Calibri" w:eastAsia="Times New Roman" w:hAnsi="Calibri" w:cs="Times New Roman"/>
                <w:color w:val="000000"/>
                <w:sz w:val="16"/>
                <w:szCs w:val="16"/>
                <w:lang w:eastAsia="en-GB"/>
              </w:rPr>
            </w:pPr>
            <w:r>
              <w:rPr>
                <w:rFonts w:ascii="Calibri" w:hAnsi="Calibri"/>
                <w:color w:val="000000"/>
                <w:sz w:val="16"/>
                <w:szCs w:val="16"/>
              </w:rPr>
              <w:t xml:space="preserve">-894 </w:t>
            </w:r>
          </w:p>
        </w:tc>
        <w:tc>
          <w:tcPr>
            <w:tcW w:w="1261" w:type="dxa"/>
            <w:tcBorders>
              <w:top w:val="nil"/>
              <w:left w:val="nil"/>
              <w:bottom w:val="nil"/>
              <w:right w:val="nil"/>
            </w:tcBorders>
            <w:shd w:val="clear" w:color="auto" w:fill="auto"/>
            <w:noWrap/>
            <w:vAlign w:val="center"/>
            <w:hideMark/>
          </w:tcPr>
          <w:p w14:paraId="022C339A" w14:textId="77777777" w:rsidR="00E928F6" w:rsidRPr="00F3638A" w:rsidRDefault="00E928F6" w:rsidP="00AB3151">
            <w:pPr>
              <w:spacing w:after="0" w:line="240" w:lineRule="auto"/>
              <w:jc w:val="right"/>
              <w:rPr>
                <w:rFonts w:ascii="Calibri" w:eastAsia="Times New Roman" w:hAnsi="Calibri" w:cs="Times New Roman"/>
                <w:color w:val="000000"/>
                <w:sz w:val="16"/>
                <w:szCs w:val="16"/>
                <w:lang w:eastAsia="en-GB"/>
              </w:rPr>
            </w:pPr>
            <w:r>
              <w:rPr>
                <w:rFonts w:ascii="Calibri" w:hAnsi="Calibri"/>
                <w:color w:val="000000"/>
                <w:sz w:val="16"/>
                <w:szCs w:val="16"/>
              </w:rPr>
              <w:t>-0.10%</w:t>
            </w:r>
          </w:p>
        </w:tc>
      </w:tr>
      <w:tr w:rsidR="00E928F6" w:rsidRPr="00F3638A" w14:paraId="5006C150" w14:textId="77777777" w:rsidTr="00AB3151">
        <w:trPr>
          <w:trHeight w:val="255"/>
          <w:jc w:val="center"/>
        </w:trPr>
        <w:tc>
          <w:tcPr>
            <w:tcW w:w="3400" w:type="dxa"/>
            <w:tcBorders>
              <w:top w:val="nil"/>
              <w:left w:val="nil"/>
              <w:bottom w:val="nil"/>
              <w:right w:val="nil"/>
            </w:tcBorders>
            <w:shd w:val="clear" w:color="auto" w:fill="auto"/>
            <w:noWrap/>
            <w:vAlign w:val="bottom"/>
            <w:hideMark/>
          </w:tcPr>
          <w:p w14:paraId="2A37F474" w14:textId="77777777" w:rsidR="00E928F6" w:rsidRPr="00F3638A" w:rsidRDefault="00E928F6" w:rsidP="00AB3151">
            <w:pPr>
              <w:spacing w:after="0" w:line="240" w:lineRule="auto"/>
              <w:jc w:val="right"/>
              <w:rPr>
                <w:rFonts w:ascii="Calibri" w:eastAsia="Times New Roman" w:hAnsi="Calibri" w:cs="Times New Roman"/>
                <w:color w:val="000000"/>
                <w:sz w:val="16"/>
                <w:szCs w:val="16"/>
                <w:lang w:eastAsia="en-GB"/>
              </w:rPr>
            </w:pPr>
          </w:p>
        </w:tc>
        <w:tc>
          <w:tcPr>
            <w:tcW w:w="1175" w:type="dxa"/>
            <w:tcBorders>
              <w:top w:val="single" w:sz="4" w:space="0" w:color="auto"/>
              <w:left w:val="nil"/>
              <w:bottom w:val="nil"/>
              <w:right w:val="nil"/>
            </w:tcBorders>
            <w:shd w:val="clear" w:color="auto" w:fill="auto"/>
            <w:noWrap/>
            <w:vAlign w:val="bottom"/>
            <w:hideMark/>
          </w:tcPr>
          <w:p w14:paraId="3FA9CE99" w14:textId="77777777" w:rsidR="00E928F6" w:rsidRPr="00F3638A" w:rsidRDefault="00E928F6" w:rsidP="00AB3151">
            <w:pPr>
              <w:spacing w:after="0" w:line="240" w:lineRule="auto"/>
              <w:rPr>
                <w:rFonts w:ascii="Calibri" w:eastAsia="Times New Roman" w:hAnsi="Calibri" w:cs="Times New Roman"/>
                <w:color w:val="000000"/>
                <w:sz w:val="16"/>
                <w:szCs w:val="16"/>
                <w:lang w:eastAsia="en-GB"/>
              </w:rPr>
            </w:pPr>
            <w:r>
              <w:rPr>
                <w:rFonts w:ascii="Calibri" w:hAnsi="Calibri"/>
                <w:color w:val="000000"/>
                <w:sz w:val="16"/>
                <w:szCs w:val="16"/>
              </w:rPr>
              <w:t>pers-yrs</w:t>
            </w:r>
          </w:p>
        </w:tc>
        <w:tc>
          <w:tcPr>
            <w:tcW w:w="1261" w:type="dxa"/>
            <w:tcBorders>
              <w:top w:val="single" w:sz="4" w:space="0" w:color="auto"/>
              <w:left w:val="nil"/>
              <w:bottom w:val="nil"/>
              <w:right w:val="nil"/>
            </w:tcBorders>
            <w:shd w:val="clear" w:color="auto" w:fill="auto"/>
            <w:noWrap/>
            <w:vAlign w:val="bottom"/>
            <w:hideMark/>
          </w:tcPr>
          <w:p w14:paraId="70678FDB" w14:textId="77777777" w:rsidR="00E928F6" w:rsidRPr="00F3638A" w:rsidRDefault="00E928F6" w:rsidP="00AB3151">
            <w:pPr>
              <w:spacing w:after="0" w:line="240" w:lineRule="auto"/>
              <w:rPr>
                <w:rFonts w:ascii="Calibri" w:eastAsia="Times New Roman" w:hAnsi="Calibri" w:cs="Times New Roman"/>
                <w:color w:val="000000"/>
                <w:sz w:val="16"/>
                <w:szCs w:val="16"/>
                <w:lang w:eastAsia="en-GB"/>
              </w:rPr>
            </w:pPr>
            <w:r>
              <w:rPr>
                <w:rFonts w:ascii="Calibri" w:hAnsi="Calibri"/>
                <w:color w:val="000000"/>
                <w:sz w:val="16"/>
                <w:szCs w:val="16"/>
              </w:rPr>
              <w:t>% of total</w:t>
            </w:r>
          </w:p>
        </w:tc>
      </w:tr>
      <w:tr w:rsidR="00E928F6" w:rsidRPr="00F3638A" w14:paraId="434B0433" w14:textId="77777777" w:rsidTr="00AB3151">
        <w:trPr>
          <w:trHeight w:val="255"/>
          <w:jc w:val="center"/>
        </w:trPr>
        <w:tc>
          <w:tcPr>
            <w:tcW w:w="3400" w:type="dxa"/>
            <w:tcBorders>
              <w:top w:val="nil"/>
              <w:left w:val="nil"/>
              <w:bottom w:val="nil"/>
              <w:right w:val="nil"/>
            </w:tcBorders>
            <w:shd w:val="clear" w:color="auto" w:fill="auto"/>
            <w:noWrap/>
            <w:vAlign w:val="bottom"/>
            <w:hideMark/>
          </w:tcPr>
          <w:p w14:paraId="2E330489" w14:textId="77777777" w:rsidR="00E928F6" w:rsidRPr="00F3638A" w:rsidRDefault="00E928F6" w:rsidP="00AB3151">
            <w:pPr>
              <w:spacing w:after="0" w:line="240" w:lineRule="auto"/>
              <w:rPr>
                <w:rFonts w:ascii="Calibri" w:eastAsia="Times New Roman" w:hAnsi="Calibri" w:cs="Times New Roman"/>
                <w:color w:val="000000"/>
                <w:sz w:val="16"/>
                <w:szCs w:val="16"/>
                <w:lang w:eastAsia="en-GB"/>
              </w:rPr>
            </w:pPr>
            <w:r w:rsidRPr="00F3638A">
              <w:rPr>
                <w:rFonts w:ascii="Calibri" w:eastAsia="Times New Roman" w:hAnsi="Calibri" w:cs="Times New Roman"/>
                <w:color w:val="000000"/>
                <w:sz w:val="16"/>
                <w:szCs w:val="16"/>
                <w:lang w:eastAsia="en-GB"/>
              </w:rPr>
              <w:t>ΔPatient Disease Burden (YLD)</w:t>
            </w:r>
          </w:p>
        </w:tc>
        <w:tc>
          <w:tcPr>
            <w:tcW w:w="1175" w:type="dxa"/>
            <w:tcBorders>
              <w:top w:val="nil"/>
              <w:left w:val="nil"/>
              <w:bottom w:val="nil"/>
              <w:right w:val="nil"/>
            </w:tcBorders>
            <w:shd w:val="clear" w:color="auto" w:fill="auto"/>
            <w:noWrap/>
            <w:vAlign w:val="center"/>
            <w:hideMark/>
          </w:tcPr>
          <w:p w14:paraId="7641D9E0" w14:textId="77777777" w:rsidR="00E928F6" w:rsidRPr="00F3638A" w:rsidRDefault="00E928F6" w:rsidP="00AB3151">
            <w:pPr>
              <w:spacing w:after="0" w:line="240" w:lineRule="auto"/>
              <w:jc w:val="right"/>
              <w:rPr>
                <w:rFonts w:ascii="Calibri" w:eastAsia="Times New Roman" w:hAnsi="Calibri" w:cs="Times New Roman"/>
                <w:color w:val="000000"/>
                <w:sz w:val="16"/>
                <w:szCs w:val="16"/>
                <w:lang w:eastAsia="en-GB"/>
              </w:rPr>
            </w:pPr>
            <w:r>
              <w:rPr>
                <w:rFonts w:ascii="Calibri" w:hAnsi="Calibri"/>
                <w:color w:val="000000"/>
                <w:sz w:val="16"/>
                <w:szCs w:val="16"/>
              </w:rPr>
              <w:t xml:space="preserve">-2,211 </w:t>
            </w:r>
          </w:p>
        </w:tc>
        <w:tc>
          <w:tcPr>
            <w:tcW w:w="1261" w:type="dxa"/>
            <w:tcBorders>
              <w:top w:val="nil"/>
              <w:left w:val="nil"/>
              <w:bottom w:val="nil"/>
              <w:right w:val="nil"/>
            </w:tcBorders>
            <w:shd w:val="clear" w:color="auto" w:fill="auto"/>
            <w:noWrap/>
            <w:vAlign w:val="center"/>
            <w:hideMark/>
          </w:tcPr>
          <w:p w14:paraId="57506BF9" w14:textId="77777777" w:rsidR="00E928F6" w:rsidRPr="00F3638A" w:rsidRDefault="00E928F6" w:rsidP="00AB3151">
            <w:pPr>
              <w:spacing w:after="0" w:line="240" w:lineRule="auto"/>
              <w:jc w:val="right"/>
              <w:rPr>
                <w:rFonts w:ascii="Calibri" w:eastAsia="Times New Roman" w:hAnsi="Calibri" w:cs="Times New Roman"/>
                <w:color w:val="000000"/>
                <w:sz w:val="16"/>
                <w:szCs w:val="16"/>
                <w:lang w:eastAsia="en-GB"/>
              </w:rPr>
            </w:pPr>
            <w:r>
              <w:rPr>
                <w:rFonts w:ascii="Calibri" w:hAnsi="Calibri"/>
                <w:color w:val="000000"/>
                <w:sz w:val="16"/>
                <w:szCs w:val="16"/>
              </w:rPr>
              <w:t>-0.12%</w:t>
            </w:r>
          </w:p>
        </w:tc>
      </w:tr>
      <w:tr w:rsidR="00E928F6" w:rsidRPr="00F3638A" w14:paraId="6E1B44A7" w14:textId="77777777" w:rsidTr="00AB3151">
        <w:trPr>
          <w:trHeight w:val="255"/>
          <w:jc w:val="center"/>
        </w:trPr>
        <w:tc>
          <w:tcPr>
            <w:tcW w:w="3400" w:type="dxa"/>
            <w:tcBorders>
              <w:top w:val="nil"/>
              <w:left w:val="nil"/>
              <w:bottom w:val="nil"/>
              <w:right w:val="nil"/>
            </w:tcBorders>
            <w:shd w:val="clear" w:color="auto" w:fill="auto"/>
            <w:noWrap/>
            <w:vAlign w:val="bottom"/>
            <w:hideMark/>
          </w:tcPr>
          <w:p w14:paraId="2FED0314" w14:textId="77777777" w:rsidR="00E928F6" w:rsidRPr="00F3638A" w:rsidRDefault="00E928F6" w:rsidP="00AB3151">
            <w:pPr>
              <w:spacing w:after="0" w:line="240" w:lineRule="auto"/>
              <w:rPr>
                <w:rFonts w:ascii="Calibri" w:eastAsia="Times New Roman" w:hAnsi="Calibri" w:cs="Times New Roman"/>
                <w:color w:val="000000"/>
                <w:sz w:val="16"/>
                <w:szCs w:val="16"/>
                <w:lang w:eastAsia="en-GB"/>
              </w:rPr>
            </w:pPr>
            <w:r w:rsidRPr="00F3638A">
              <w:rPr>
                <w:rFonts w:ascii="Calibri" w:eastAsia="Times New Roman" w:hAnsi="Calibri" w:cs="Times New Roman"/>
                <w:color w:val="000000"/>
                <w:sz w:val="16"/>
                <w:szCs w:val="16"/>
                <w:lang w:eastAsia="en-GB"/>
              </w:rPr>
              <w:t xml:space="preserve">   - myocardial infarction</w:t>
            </w:r>
          </w:p>
        </w:tc>
        <w:tc>
          <w:tcPr>
            <w:tcW w:w="1175" w:type="dxa"/>
            <w:tcBorders>
              <w:top w:val="nil"/>
              <w:left w:val="nil"/>
              <w:bottom w:val="nil"/>
              <w:right w:val="nil"/>
            </w:tcBorders>
            <w:shd w:val="clear" w:color="auto" w:fill="auto"/>
            <w:noWrap/>
            <w:vAlign w:val="center"/>
            <w:hideMark/>
          </w:tcPr>
          <w:p w14:paraId="329BD4FB" w14:textId="77777777" w:rsidR="00E928F6" w:rsidRPr="00F3638A" w:rsidRDefault="00E928F6" w:rsidP="00AB3151">
            <w:pPr>
              <w:spacing w:after="0" w:line="240" w:lineRule="auto"/>
              <w:jc w:val="right"/>
              <w:rPr>
                <w:rFonts w:ascii="Calibri" w:eastAsia="Times New Roman" w:hAnsi="Calibri" w:cs="Times New Roman"/>
                <w:color w:val="000000"/>
                <w:sz w:val="16"/>
                <w:szCs w:val="16"/>
                <w:lang w:eastAsia="en-GB"/>
              </w:rPr>
            </w:pPr>
            <w:r>
              <w:rPr>
                <w:rFonts w:ascii="Calibri" w:hAnsi="Calibri"/>
                <w:color w:val="000000"/>
                <w:sz w:val="16"/>
                <w:szCs w:val="16"/>
              </w:rPr>
              <w:t xml:space="preserve">-13 </w:t>
            </w:r>
          </w:p>
        </w:tc>
        <w:tc>
          <w:tcPr>
            <w:tcW w:w="1261" w:type="dxa"/>
            <w:tcBorders>
              <w:top w:val="nil"/>
              <w:left w:val="nil"/>
              <w:bottom w:val="nil"/>
              <w:right w:val="nil"/>
            </w:tcBorders>
            <w:shd w:val="clear" w:color="auto" w:fill="auto"/>
            <w:noWrap/>
            <w:vAlign w:val="center"/>
            <w:hideMark/>
          </w:tcPr>
          <w:p w14:paraId="1F467C4C" w14:textId="77777777" w:rsidR="00E928F6" w:rsidRPr="00F3638A" w:rsidRDefault="00E928F6" w:rsidP="00AB3151">
            <w:pPr>
              <w:spacing w:after="0" w:line="240" w:lineRule="auto"/>
              <w:jc w:val="right"/>
              <w:rPr>
                <w:rFonts w:ascii="Calibri" w:eastAsia="Times New Roman" w:hAnsi="Calibri" w:cs="Times New Roman"/>
                <w:color w:val="000000"/>
                <w:sz w:val="16"/>
                <w:szCs w:val="16"/>
                <w:lang w:eastAsia="en-GB"/>
              </w:rPr>
            </w:pPr>
            <w:r>
              <w:rPr>
                <w:rFonts w:ascii="Calibri" w:hAnsi="Calibri"/>
                <w:color w:val="000000"/>
                <w:sz w:val="16"/>
                <w:szCs w:val="16"/>
              </w:rPr>
              <w:t>-0.49%</w:t>
            </w:r>
          </w:p>
        </w:tc>
      </w:tr>
      <w:tr w:rsidR="00E928F6" w:rsidRPr="00F3638A" w14:paraId="635F86C0" w14:textId="77777777" w:rsidTr="00AB3151">
        <w:trPr>
          <w:trHeight w:val="225"/>
          <w:jc w:val="center"/>
        </w:trPr>
        <w:tc>
          <w:tcPr>
            <w:tcW w:w="3400" w:type="dxa"/>
            <w:tcBorders>
              <w:top w:val="nil"/>
              <w:left w:val="nil"/>
              <w:bottom w:val="nil"/>
              <w:right w:val="nil"/>
            </w:tcBorders>
            <w:shd w:val="clear" w:color="auto" w:fill="auto"/>
            <w:noWrap/>
            <w:vAlign w:val="bottom"/>
            <w:hideMark/>
          </w:tcPr>
          <w:p w14:paraId="27259ABA" w14:textId="77777777" w:rsidR="00E928F6" w:rsidRPr="00F3638A" w:rsidRDefault="00E928F6" w:rsidP="00AB3151">
            <w:pPr>
              <w:spacing w:after="0" w:line="240" w:lineRule="auto"/>
              <w:rPr>
                <w:rFonts w:ascii="Calibri" w:eastAsia="Times New Roman" w:hAnsi="Calibri" w:cs="Times New Roman"/>
                <w:color w:val="000000"/>
                <w:sz w:val="16"/>
                <w:szCs w:val="16"/>
                <w:lang w:eastAsia="en-GB"/>
              </w:rPr>
            </w:pPr>
            <w:r w:rsidRPr="00F3638A">
              <w:rPr>
                <w:rFonts w:ascii="Calibri" w:eastAsia="Times New Roman" w:hAnsi="Calibri" w:cs="Times New Roman"/>
                <w:color w:val="000000"/>
                <w:sz w:val="16"/>
                <w:szCs w:val="16"/>
                <w:lang w:eastAsia="en-GB"/>
              </w:rPr>
              <w:t xml:space="preserve">   - stroke</w:t>
            </w:r>
          </w:p>
        </w:tc>
        <w:tc>
          <w:tcPr>
            <w:tcW w:w="1175" w:type="dxa"/>
            <w:tcBorders>
              <w:top w:val="nil"/>
              <w:left w:val="nil"/>
              <w:bottom w:val="nil"/>
              <w:right w:val="nil"/>
            </w:tcBorders>
            <w:shd w:val="clear" w:color="auto" w:fill="auto"/>
            <w:noWrap/>
            <w:vAlign w:val="center"/>
            <w:hideMark/>
          </w:tcPr>
          <w:p w14:paraId="68ADA650" w14:textId="77777777" w:rsidR="00E928F6" w:rsidRPr="00F3638A" w:rsidRDefault="00E928F6" w:rsidP="00AB3151">
            <w:pPr>
              <w:spacing w:after="0" w:line="240" w:lineRule="auto"/>
              <w:jc w:val="right"/>
              <w:rPr>
                <w:rFonts w:ascii="Calibri" w:eastAsia="Times New Roman" w:hAnsi="Calibri" w:cs="Times New Roman"/>
                <w:color w:val="000000"/>
                <w:sz w:val="16"/>
                <w:szCs w:val="16"/>
                <w:lang w:eastAsia="en-GB"/>
              </w:rPr>
            </w:pPr>
            <w:r>
              <w:rPr>
                <w:rFonts w:ascii="Calibri" w:hAnsi="Calibri"/>
                <w:color w:val="000000"/>
                <w:sz w:val="16"/>
                <w:szCs w:val="16"/>
              </w:rPr>
              <w:t xml:space="preserve">-2,197 </w:t>
            </w:r>
          </w:p>
        </w:tc>
        <w:tc>
          <w:tcPr>
            <w:tcW w:w="1261" w:type="dxa"/>
            <w:tcBorders>
              <w:top w:val="nil"/>
              <w:left w:val="nil"/>
              <w:bottom w:val="nil"/>
              <w:right w:val="nil"/>
            </w:tcBorders>
            <w:shd w:val="clear" w:color="auto" w:fill="auto"/>
            <w:noWrap/>
            <w:vAlign w:val="center"/>
            <w:hideMark/>
          </w:tcPr>
          <w:p w14:paraId="68D2359C" w14:textId="77777777" w:rsidR="00E928F6" w:rsidRPr="00F3638A" w:rsidRDefault="00E928F6" w:rsidP="00AB3151">
            <w:pPr>
              <w:spacing w:after="0" w:line="240" w:lineRule="auto"/>
              <w:jc w:val="right"/>
              <w:rPr>
                <w:rFonts w:ascii="Calibri" w:eastAsia="Times New Roman" w:hAnsi="Calibri" w:cs="Times New Roman"/>
                <w:color w:val="000000"/>
                <w:sz w:val="16"/>
                <w:szCs w:val="16"/>
                <w:lang w:eastAsia="en-GB"/>
              </w:rPr>
            </w:pPr>
            <w:r>
              <w:rPr>
                <w:rFonts w:ascii="Calibri" w:hAnsi="Calibri"/>
                <w:color w:val="000000"/>
                <w:sz w:val="16"/>
                <w:szCs w:val="16"/>
              </w:rPr>
              <w:t>-0.12%</w:t>
            </w:r>
          </w:p>
        </w:tc>
      </w:tr>
      <w:tr w:rsidR="00E928F6" w:rsidRPr="00F3638A" w14:paraId="08180B00" w14:textId="77777777" w:rsidTr="00AB3151">
        <w:trPr>
          <w:trHeight w:val="225"/>
          <w:jc w:val="center"/>
        </w:trPr>
        <w:tc>
          <w:tcPr>
            <w:tcW w:w="3400" w:type="dxa"/>
            <w:tcBorders>
              <w:top w:val="nil"/>
              <w:left w:val="nil"/>
              <w:bottom w:val="nil"/>
              <w:right w:val="nil"/>
            </w:tcBorders>
            <w:shd w:val="clear" w:color="auto" w:fill="auto"/>
            <w:noWrap/>
            <w:vAlign w:val="bottom"/>
            <w:hideMark/>
          </w:tcPr>
          <w:p w14:paraId="62C14EDC" w14:textId="77777777" w:rsidR="00E928F6" w:rsidRPr="00F3638A" w:rsidRDefault="00E928F6" w:rsidP="00AB3151">
            <w:pPr>
              <w:spacing w:after="0" w:line="240" w:lineRule="auto"/>
              <w:rPr>
                <w:rFonts w:ascii="Calibri" w:eastAsia="Times New Roman" w:hAnsi="Calibri" w:cs="Times New Roman"/>
                <w:color w:val="000000"/>
                <w:sz w:val="16"/>
                <w:szCs w:val="16"/>
                <w:lang w:eastAsia="en-GB"/>
              </w:rPr>
            </w:pPr>
            <w:r w:rsidRPr="00F3638A">
              <w:rPr>
                <w:rFonts w:ascii="Calibri" w:eastAsia="Times New Roman" w:hAnsi="Calibri" w:cs="Times New Roman"/>
                <w:color w:val="000000"/>
                <w:sz w:val="16"/>
                <w:szCs w:val="16"/>
                <w:lang w:eastAsia="en-GB"/>
              </w:rPr>
              <w:t>ΔPatient Worktime Loss</w:t>
            </w:r>
          </w:p>
        </w:tc>
        <w:tc>
          <w:tcPr>
            <w:tcW w:w="1175" w:type="dxa"/>
            <w:tcBorders>
              <w:top w:val="single" w:sz="4" w:space="0" w:color="auto"/>
              <w:left w:val="nil"/>
              <w:bottom w:val="nil"/>
              <w:right w:val="nil"/>
            </w:tcBorders>
            <w:shd w:val="clear" w:color="auto" w:fill="auto"/>
            <w:noWrap/>
            <w:vAlign w:val="center"/>
            <w:hideMark/>
          </w:tcPr>
          <w:p w14:paraId="2CFB4955" w14:textId="77777777" w:rsidR="00E928F6" w:rsidRPr="00F3638A" w:rsidRDefault="00E928F6" w:rsidP="00AB3151">
            <w:pPr>
              <w:spacing w:after="0" w:line="240" w:lineRule="auto"/>
              <w:jc w:val="right"/>
              <w:rPr>
                <w:rFonts w:ascii="Calibri" w:eastAsia="Times New Roman" w:hAnsi="Calibri" w:cs="Times New Roman"/>
                <w:color w:val="000000"/>
                <w:sz w:val="16"/>
                <w:szCs w:val="16"/>
                <w:lang w:eastAsia="en-GB"/>
              </w:rPr>
            </w:pPr>
            <w:r>
              <w:rPr>
                <w:rFonts w:ascii="Calibri" w:hAnsi="Calibri"/>
                <w:color w:val="000000"/>
                <w:sz w:val="16"/>
                <w:szCs w:val="16"/>
              </w:rPr>
              <w:t xml:space="preserve">-1,037 </w:t>
            </w:r>
          </w:p>
        </w:tc>
        <w:tc>
          <w:tcPr>
            <w:tcW w:w="1261" w:type="dxa"/>
            <w:tcBorders>
              <w:top w:val="single" w:sz="4" w:space="0" w:color="auto"/>
              <w:left w:val="nil"/>
              <w:bottom w:val="nil"/>
              <w:right w:val="nil"/>
            </w:tcBorders>
            <w:shd w:val="clear" w:color="auto" w:fill="auto"/>
            <w:noWrap/>
            <w:vAlign w:val="center"/>
            <w:hideMark/>
          </w:tcPr>
          <w:p w14:paraId="3F38FB93" w14:textId="77777777" w:rsidR="00E928F6" w:rsidRPr="00F3638A" w:rsidRDefault="00E928F6" w:rsidP="00AB3151">
            <w:pPr>
              <w:spacing w:after="0" w:line="240" w:lineRule="auto"/>
              <w:jc w:val="right"/>
              <w:rPr>
                <w:rFonts w:ascii="Calibri" w:eastAsia="Times New Roman" w:hAnsi="Calibri" w:cs="Times New Roman"/>
                <w:color w:val="000000"/>
                <w:sz w:val="16"/>
                <w:szCs w:val="16"/>
                <w:lang w:eastAsia="en-GB"/>
              </w:rPr>
            </w:pPr>
            <w:r>
              <w:rPr>
                <w:rFonts w:ascii="Calibri" w:hAnsi="Calibri"/>
                <w:color w:val="000000"/>
                <w:sz w:val="16"/>
                <w:szCs w:val="16"/>
              </w:rPr>
              <w:t>-0.17%</w:t>
            </w:r>
          </w:p>
        </w:tc>
      </w:tr>
      <w:tr w:rsidR="00E928F6" w:rsidRPr="00F3638A" w14:paraId="11479F7D" w14:textId="77777777" w:rsidTr="00AB3151">
        <w:trPr>
          <w:trHeight w:val="225"/>
          <w:jc w:val="center"/>
        </w:trPr>
        <w:tc>
          <w:tcPr>
            <w:tcW w:w="3400" w:type="dxa"/>
            <w:tcBorders>
              <w:top w:val="nil"/>
              <w:left w:val="nil"/>
              <w:bottom w:val="nil"/>
              <w:right w:val="nil"/>
            </w:tcBorders>
            <w:shd w:val="clear" w:color="auto" w:fill="auto"/>
            <w:noWrap/>
            <w:vAlign w:val="bottom"/>
            <w:hideMark/>
          </w:tcPr>
          <w:p w14:paraId="1D6AB540" w14:textId="77777777" w:rsidR="00E928F6" w:rsidRPr="00F3638A" w:rsidRDefault="00E928F6" w:rsidP="00AB3151">
            <w:pPr>
              <w:spacing w:after="0" w:line="240" w:lineRule="auto"/>
              <w:rPr>
                <w:rFonts w:ascii="Calibri" w:eastAsia="Times New Roman" w:hAnsi="Calibri" w:cs="Times New Roman"/>
                <w:color w:val="000000"/>
                <w:sz w:val="16"/>
                <w:szCs w:val="16"/>
                <w:lang w:eastAsia="en-GB"/>
              </w:rPr>
            </w:pPr>
            <w:r w:rsidRPr="00F3638A">
              <w:rPr>
                <w:rFonts w:ascii="Calibri" w:eastAsia="Times New Roman" w:hAnsi="Calibri" w:cs="Times New Roman"/>
                <w:color w:val="000000"/>
                <w:sz w:val="16"/>
                <w:szCs w:val="16"/>
                <w:lang w:eastAsia="en-GB"/>
              </w:rPr>
              <w:t xml:space="preserve">   - myocardial infarction</w:t>
            </w:r>
          </w:p>
        </w:tc>
        <w:tc>
          <w:tcPr>
            <w:tcW w:w="1175" w:type="dxa"/>
            <w:tcBorders>
              <w:top w:val="nil"/>
              <w:left w:val="nil"/>
              <w:bottom w:val="nil"/>
              <w:right w:val="nil"/>
            </w:tcBorders>
            <w:shd w:val="clear" w:color="auto" w:fill="auto"/>
            <w:noWrap/>
            <w:vAlign w:val="center"/>
            <w:hideMark/>
          </w:tcPr>
          <w:p w14:paraId="21B81F36" w14:textId="77777777" w:rsidR="00E928F6" w:rsidRPr="00F3638A" w:rsidRDefault="00E928F6" w:rsidP="00AB3151">
            <w:pPr>
              <w:spacing w:after="0" w:line="240" w:lineRule="auto"/>
              <w:jc w:val="right"/>
              <w:rPr>
                <w:rFonts w:ascii="Calibri" w:eastAsia="Times New Roman" w:hAnsi="Calibri" w:cs="Times New Roman"/>
                <w:color w:val="000000"/>
                <w:sz w:val="16"/>
                <w:szCs w:val="16"/>
                <w:lang w:eastAsia="en-GB"/>
              </w:rPr>
            </w:pPr>
            <w:r>
              <w:rPr>
                <w:rFonts w:ascii="Calibri" w:hAnsi="Calibri"/>
                <w:color w:val="000000"/>
                <w:sz w:val="16"/>
                <w:szCs w:val="16"/>
              </w:rPr>
              <w:t xml:space="preserve">-6 </w:t>
            </w:r>
          </w:p>
        </w:tc>
        <w:tc>
          <w:tcPr>
            <w:tcW w:w="1261" w:type="dxa"/>
            <w:tcBorders>
              <w:top w:val="nil"/>
              <w:left w:val="nil"/>
              <w:bottom w:val="nil"/>
              <w:right w:val="nil"/>
            </w:tcBorders>
            <w:shd w:val="clear" w:color="auto" w:fill="auto"/>
            <w:noWrap/>
            <w:vAlign w:val="center"/>
            <w:hideMark/>
          </w:tcPr>
          <w:p w14:paraId="2F920E9E" w14:textId="77777777" w:rsidR="00E928F6" w:rsidRPr="00F3638A" w:rsidRDefault="00E928F6" w:rsidP="00AB3151">
            <w:pPr>
              <w:spacing w:after="0" w:line="240" w:lineRule="auto"/>
              <w:jc w:val="right"/>
              <w:rPr>
                <w:rFonts w:ascii="Calibri" w:eastAsia="Times New Roman" w:hAnsi="Calibri" w:cs="Times New Roman"/>
                <w:color w:val="000000"/>
                <w:sz w:val="16"/>
                <w:szCs w:val="16"/>
                <w:lang w:eastAsia="en-GB"/>
              </w:rPr>
            </w:pPr>
            <w:r>
              <w:rPr>
                <w:rFonts w:ascii="Calibri" w:hAnsi="Calibri"/>
                <w:color w:val="000000"/>
                <w:sz w:val="16"/>
                <w:szCs w:val="16"/>
              </w:rPr>
              <w:t>-0.56%</w:t>
            </w:r>
          </w:p>
        </w:tc>
      </w:tr>
      <w:tr w:rsidR="00E928F6" w:rsidRPr="00F3638A" w14:paraId="51087591" w14:textId="77777777" w:rsidTr="00AB3151">
        <w:trPr>
          <w:trHeight w:val="255"/>
          <w:jc w:val="center"/>
        </w:trPr>
        <w:tc>
          <w:tcPr>
            <w:tcW w:w="3400" w:type="dxa"/>
            <w:tcBorders>
              <w:top w:val="nil"/>
              <w:left w:val="nil"/>
              <w:bottom w:val="nil"/>
              <w:right w:val="nil"/>
            </w:tcBorders>
            <w:shd w:val="clear" w:color="auto" w:fill="auto"/>
            <w:noWrap/>
            <w:vAlign w:val="bottom"/>
            <w:hideMark/>
          </w:tcPr>
          <w:p w14:paraId="03BE3AF5" w14:textId="77777777" w:rsidR="00E928F6" w:rsidRPr="00F3638A" w:rsidRDefault="00E928F6" w:rsidP="00AB3151">
            <w:pPr>
              <w:spacing w:after="0" w:line="240" w:lineRule="auto"/>
              <w:rPr>
                <w:rFonts w:ascii="Calibri" w:eastAsia="Times New Roman" w:hAnsi="Calibri" w:cs="Times New Roman"/>
                <w:color w:val="000000"/>
                <w:sz w:val="16"/>
                <w:szCs w:val="16"/>
                <w:lang w:eastAsia="en-GB"/>
              </w:rPr>
            </w:pPr>
            <w:r w:rsidRPr="00F3638A">
              <w:rPr>
                <w:rFonts w:ascii="Calibri" w:eastAsia="Times New Roman" w:hAnsi="Calibri" w:cs="Times New Roman"/>
                <w:color w:val="000000"/>
                <w:sz w:val="16"/>
                <w:szCs w:val="16"/>
                <w:lang w:eastAsia="en-GB"/>
              </w:rPr>
              <w:t xml:space="preserve">   - stroke</w:t>
            </w:r>
          </w:p>
        </w:tc>
        <w:tc>
          <w:tcPr>
            <w:tcW w:w="1175" w:type="dxa"/>
            <w:tcBorders>
              <w:top w:val="nil"/>
              <w:left w:val="nil"/>
              <w:bottom w:val="nil"/>
              <w:right w:val="nil"/>
            </w:tcBorders>
            <w:shd w:val="clear" w:color="auto" w:fill="auto"/>
            <w:noWrap/>
            <w:vAlign w:val="center"/>
            <w:hideMark/>
          </w:tcPr>
          <w:p w14:paraId="33E8737D" w14:textId="77777777" w:rsidR="00E928F6" w:rsidRPr="00F3638A" w:rsidRDefault="00E928F6" w:rsidP="00AB3151">
            <w:pPr>
              <w:spacing w:after="0" w:line="240" w:lineRule="auto"/>
              <w:jc w:val="right"/>
              <w:rPr>
                <w:rFonts w:ascii="Calibri" w:eastAsia="Times New Roman" w:hAnsi="Calibri" w:cs="Times New Roman"/>
                <w:color w:val="000000"/>
                <w:sz w:val="16"/>
                <w:szCs w:val="16"/>
                <w:lang w:eastAsia="en-GB"/>
              </w:rPr>
            </w:pPr>
            <w:r>
              <w:rPr>
                <w:rFonts w:ascii="Calibri" w:hAnsi="Calibri"/>
                <w:color w:val="000000"/>
                <w:sz w:val="16"/>
                <w:szCs w:val="16"/>
              </w:rPr>
              <w:t xml:space="preserve">-1,031 </w:t>
            </w:r>
          </w:p>
        </w:tc>
        <w:tc>
          <w:tcPr>
            <w:tcW w:w="1261" w:type="dxa"/>
            <w:tcBorders>
              <w:top w:val="nil"/>
              <w:left w:val="nil"/>
              <w:bottom w:val="nil"/>
              <w:right w:val="nil"/>
            </w:tcBorders>
            <w:shd w:val="clear" w:color="auto" w:fill="auto"/>
            <w:noWrap/>
            <w:vAlign w:val="center"/>
            <w:hideMark/>
          </w:tcPr>
          <w:p w14:paraId="77A35BDF" w14:textId="77777777" w:rsidR="00E928F6" w:rsidRPr="00F3638A" w:rsidRDefault="00E928F6" w:rsidP="00AB3151">
            <w:pPr>
              <w:spacing w:after="0" w:line="240" w:lineRule="auto"/>
              <w:jc w:val="right"/>
              <w:rPr>
                <w:rFonts w:ascii="Calibri" w:eastAsia="Times New Roman" w:hAnsi="Calibri" w:cs="Times New Roman"/>
                <w:color w:val="000000"/>
                <w:sz w:val="16"/>
                <w:szCs w:val="16"/>
                <w:lang w:eastAsia="en-GB"/>
              </w:rPr>
            </w:pPr>
            <w:r>
              <w:rPr>
                <w:rFonts w:ascii="Calibri" w:hAnsi="Calibri"/>
                <w:color w:val="000000"/>
                <w:sz w:val="16"/>
                <w:szCs w:val="16"/>
              </w:rPr>
              <w:t>-0.17%</w:t>
            </w:r>
          </w:p>
        </w:tc>
      </w:tr>
      <w:tr w:rsidR="00E928F6" w:rsidRPr="00F3638A" w14:paraId="24245DED" w14:textId="77777777" w:rsidTr="00AB3151">
        <w:trPr>
          <w:trHeight w:val="255"/>
          <w:jc w:val="center"/>
        </w:trPr>
        <w:tc>
          <w:tcPr>
            <w:tcW w:w="3400" w:type="dxa"/>
            <w:tcBorders>
              <w:top w:val="nil"/>
              <w:left w:val="nil"/>
              <w:bottom w:val="nil"/>
              <w:right w:val="nil"/>
            </w:tcBorders>
            <w:shd w:val="clear" w:color="auto" w:fill="auto"/>
            <w:noWrap/>
            <w:vAlign w:val="bottom"/>
            <w:hideMark/>
          </w:tcPr>
          <w:p w14:paraId="4C9329BF" w14:textId="77777777" w:rsidR="00E928F6" w:rsidRPr="00F3638A" w:rsidRDefault="00E928F6" w:rsidP="00AB3151">
            <w:pPr>
              <w:spacing w:after="0" w:line="240" w:lineRule="auto"/>
              <w:rPr>
                <w:rFonts w:ascii="Calibri" w:eastAsia="Times New Roman" w:hAnsi="Calibri" w:cs="Times New Roman"/>
                <w:color w:val="000000"/>
                <w:sz w:val="16"/>
                <w:szCs w:val="16"/>
                <w:lang w:eastAsia="en-GB"/>
              </w:rPr>
            </w:pPr>
            <w:r w:rsidRPr="00F3638A">
              <w:rPr>
                <w:rFonts w:ascii="Calibri" w:eastAsia="Times New Roman" w:hAnsi="Calibri" w:cs="Times New Roman"/>
                <w:color w:val="000000"/>
                <w:sz w:val="16"/>
                <w:szCs w:val="16"/>
                <w:lang w:eastAsia="en-GB"/>
              </w:rPr>
              <w:t>ΔCaregiver Time Loss</w:t>
            </w:r>
          </w:p>
        </w:tc>
        <w:tc>
          <w:tcPr>
            <w:tcW w:w="1175" w:type="dxa"/>
            <w:tcBorders>
              <w:top w:val="single" w:sz="4" w:space="0" w:color="auto"/>
              <w:left w:val="nil"/>
              <w:bottom w:val="nil"/>
              <w:right w:val="nil"/>
            </w:tcBorders>
            <w:shd w:val="clear" w:color="auto" w:fill="auto"/>
            <w:noWrap/>
            <w:vAlign w:val="center"/>
            <w:hideMark/>
          </w:tcPr>
          <w:p w14:paraId="44B557B5" w14:textId="77777777" w:rsidR="00E928F6" w:rsidRPr="00F3638A" w:rsidRDefault="00E928F6" w:rsidP="00AB3151">
            <w:pPr>
              <w:spacing w:after="0" w:line="240" w:lineRule="auto"/>
              <w:jc w:val="right"/>
              <w:rPr>
                <w:rFonts w:ascii="Calibri" w:eastAsia="Times New Roman" w:hAnsi="Calibri" w:cs="Times New Roman"/>
                <w:color w:val="000000"/>
                <w:sz w:val="16"/>
                <w:szCs w:val="16"/>
                <w:lang w:eastAsia="en-GB"/>
              </w:rPr>
            </w:pPr>
            <w:r>
              <w:rPr>
                <w:rFonts w:ascii="Calibri" w:hAnsi="Calibri"/>
                <w:color w:val="000000"/>
                <w:sz w:val="16"/>
                <w:szCs w:val="16"/>
              </w:rPr>
              <w:t xml:space="preserve">-4,786 </w:t>
            </w:r>
          </w:p>
        </w:tc>
        <w:tc>
          <w:tcPr>
            <w:tcW w:w="1261" w:type="dxa"/>
            <w:tcBorders>
              <w:top w:val="single" w:sz="4" w:space="0" w:color="auto"/>
              <w:left w:val="nil"/>
              <w:bottom w:val="nil"/>
              <w:right w:val="nil"/>
            </w:tcBorders>
            <w:shd w:val="clear" w:color="auto" w:fill="auto"/>
            <w:noWrap/>
            <w:vAlign w:val="center"/>
            <w:hideMark/>
          </w:tcPr>
          <w:p w14:paraId="7BF293FD" w14:textId="77777777" w:rsidR="00E928F6" w:rsidRPr="00F3638A" w:rsidRDefault="00E928F6" w:rsidP="00AB3151">
            <w:pPr>
              <w:spacing w:after="0" w:line="240" w:lineRule="auto"/>
              <w:jc w:val="right"/>
              <w:rPr>
                <w:rFonts w:ascii="Calibri" w:eastAsia="Times New Roman" w:hAnsi="Calibri" w:cs="Times New Roman"/>
                <w:color w:val="000000"/>
                <w:sz w:val="16"/>
                <w:szCs w:val="16"/>
                <w:lang w:eastAsia="en-GB"/>
              </w:rPr>
            </w:pPr>
            <w:r>
              <w:rPr>
                <w:rFonts w:ascii="Calibri" w:hAnsi="Calibri"/>
                <w:color w:val="000000"/>
                <w:sz w:val="16"/>
                <w:szCs w:val="16"/>
              </w:rPr>
              <w:t>-0.13%</w:t>
            </w:r>
          </w:p>
        </w:tc>
      </w:tr>
      <w:tr w:rsidR="00E928F6" w:rsidRPr="00F3638A" w14:paraId="1CC5AEE1" w14:textId="77777777" w:rsidTr="00AB3151">
        <w:trPr>
          <w:trHeight w:val="225"/>
          <w:jc w:val="center"/>
        </w:trPr>
        <w:tc>
          <w:tcPr>
            <w:tcW w:w="3400" w:type="dxa"/>
            <w:tcBorders>
              <w:top w:val="nil"/>
              <w:left w:val="nil"/>
              <w:bottom w:val="nil"/>
              <w:right w:val="nil"/>
            </w:tcBorders>
            <w:shd w:val="clear" w:color="auto" w:fill="auto"/>
            <w:noWrap/>
            <w:vAlign w:val="bottom"/>
            <w:hideMark/>
          </w:tcPr>
          <w:p w14:paraId="2234213F" w14:textId="77777777" w:rsidR="00E928F6" w:rsidRPr="00F3638A" w:rsidRDefault="00E928F6" w:rsidP="00AB3151">
            <w:pPr>
              <w:spacing w:after="0" w:line="240" w:lineRule="auto"/>
              <w:rPr>
                <w:rFonts w:ascii="Calibri" w:eastAsia="Times New Roman" w:hAnsi="Calibri" w:cs="Times New Roman"/>
                <w:color w:val="000000"/>
                <w:sz w:val="16"/>
                <w:szCs w:val="16"/>
                <w:lang w:eastAsia="en-GB"/>
              </w:rPr>
            </w:pPr>
            <w:r w:rsidRPr="00F3638A">
              <w:rPr>
                <w:rFonts w:ascii="Calibri" w:eastAsia="Times New Roman" w:hAnsi="Calibri" w:cs="Times New Roman"/>
                <w:color w:val="000000"/>
                <w:sz w:val="16"/>
                <w:szCs w:val="16"/>
                <w:lang w:eastAsia="en-GB"/>
              </w:rPr>
              <w:t xml:space="preserve">   - stroke</w:t>
            </w:r>
          </w:p>
        </w:tc>
        <w:tc>
          <w:tcPr>
            <w:tcW w:w="1175" w:type="dxa"/>
            <w:tcBorders>
              <w:top w:val="nil"/>
              <w:left w:val="nil"/>
              <w:bottom w:val="nil"/>
              <w:right w:val="nil"/>
            </w:tcBorders>
            <w:shd w:val="clear" w:color="auto" w:fill="auto"/>
            <w:noWrap/>
            <w:vAlign w:val="center"/>
            <w:hideMark/>
          </w:tcPr>
          <w:p w14:paraId="44EC20B0" w14:textId="77777777" w:rsidR="00E928F6" w:rsidRPr="00F3638A" w:rsidRDefault="00E928F6" w:rsidP="00AB3151">
            <w:pPr>
              <w:spacing w:after="0" w:line="240" w:lineRule="auto"/>
              <w:jc w:val="right"/>
              <w:rPr>
                <w:rFonts w:ascii="Calibri" w:eastAsia="Times New Roman" w:hAnsi="Calibri" w:cs="Times New Roman"/>
                <w:color w:val="000000"/>
                <w:sz w:val="16"/>
                <w:szCs w:val="16"/>
                <w:lang w:eastAsia="en-GB"/>
              </w:rPr>
            </w:pPr>
            <w:r>
              <w:rPr>
                <w:rFonts w:ascii="Calibri" w:hAnsi="Calibri"/>
                <w:color w:val="000000"/>
                <w:sz w:val="16"/>
                <w:szCs w:val="16"/>
              </w:rPr>
              <w:t xml:space="preserve">-4,786 </w:t>
            </w:r>
          </w:p>
        </w:tc>
        <w:tc>
          <w:tcPr>
            <w:tcW w:w="1261" w:type="dxa"/>
            <w:tcBorders>
              <w:top w:val="nil"/>
              <w:left w:val="nil"/>
              <w:bottom w:val="nil"/>
              <w:right w:val="nil"/>
            </w:tcBorders>
            <w:shd w:val="clear" w:color="auto" w:fill="auto"/>
            <w:noWrap/>
            <w:vAlign w:val="center"/>
            <w:hideMark/>
          </w:tcPr>
          <w:p w14:paraId="31AEDF9F" w14:textId="77777777" w:rsidR="00E928F6" w:rsidRPr="00F3638A" w:rsidRDefault="00E928F6" w:rsidP="00AB3151">
            <w:pPr>
              <w:spacing w:after="0" w:line="240" w:lineRule="auto"/>
              <w:jc w:val="right"/>
              <w:rPr>
                <w:rFonts w:ascii="Calibri" w:eastAsia="Times New Roman" w:hAnsi="Calibri" w:cs="Times New Roman"/>
                <w:color w:val="000000"/>
                <w:sz w:val="16"/>
                <w:szCs w:val="16"/>
                <w:lang w:eastAsia="en-GB"/>
              </w:rPr>
            </w:pPr>
            <w:r>
              <w:rPr>
                <w:rFonts w:ascii="Calibri" w:hAnsi="Calibri"/>
                <w:color w:val="000000"/>
                <w:sz w:val="16"/>
                <w:szCs w:val="16"/>
              </w:rPr>
              <w:t>-0.13%</w:t>
            </w:r>
          </w:p>
        </w:tc>
      </w:tr>
      <w:tr w:rsidR="00E928F6" w:rsidRPr="00F3638A" w14:paraId="5F9418F0" w14:textId="77777777" w:rsidTr="00AB3151">
        <w:trPr>
          <w:trHeight w:val="225"/>
          <w:jc w:val="center"/>
        </w:trPr>
        <w:tc>
          <w:tcPr>
            <w:tcW w:w="3400" w:type="dxa"/>
            <w:tcBorders>
              <w:top w:val="nil"/>
              <w:left w:val="nil"/>
              <w:bottom w:val="nil"/>
              <w:right w:val="nil"/>
            </w:tcBorders>
            <w:shd w:val="clear" w:color="auto" w:fill="auto"/>
            <w:noWrap/>
            <w:vAlign w:val="bottom"/>
            <w:hideMark/>
          </w:tcPr>
          <w:p w14:paraId="66D2B897" w14:textId="77777777" w:rsidR="00E928F6" w:rsidRPr="00F3638A" w:rsidRDefault="00E928F6" w:rsidP="00AB3151">
            <w:pPr>
              <w:spacing w:after="0" w:line="240" w:lineRule="auto"/>
              <w:rPr>
                <w:rFonts w:ascii="Calibri" w:eastAsia="Times New Roman" w:hAnsi="Calibri" w:cs="Times New Roman"/>
                <w:color w:val="000000"/>
                <w:sz w:val="16"/>
                <w:szCs w:val="16"/>
                <w:lang w:eastAsia="en-GB"/>
              </w:rPr>
            </w:pPr>
            <w:r w:rsidRPr="00F3638A">
              <w:rPr>
                <w:rFonts w:ascii="Calibri" w:eastAsia="Times New Roman" w:hAnsi="Calibri" w:cs="Times New Roman"/>
                <w:color w:val="000000"/>
                <w:sz w:val="16"/>
                <w:szCs w:val="16"/>
                <w:lang w:eastAsia="en-GB"/>
              </w:rPr>
              <w:t xml:space="preserve">      - work time</w:t>
            </w:r>
          </w:p>
        </w:tc>
        <w:tc>
          <w:tcPr>
            <w:tcW w:w="1175" w:type="dxa"/>
            <w:tcBorders>
              <w:top w:val="nil"/>
              <w:left w:val="nil"/>
              <w:bottom w:val="nil"/>
              <w:right w:val="nil"/>
            </w:tcBorders>
            <w:shd w:val="clear" w:color="auto" w:fill="auto"/>
            <w:noWrap/>
            <w:vAlign w:val="center"/>
            <w:hideMark/>
          </w:tcPr>
          <w:p w14:paraId="3D00644E" w14:textId="77777777" w:rsidR="00E928F6" w:rsidRPr="00F3638A" w:rsidRDefault="00E928F6" w:rsidP="00AB3151">
            <w:pPr>
              <w:spacing w:after="0" w:line="240" w:lineRule="auto"/>
              <w:jc w:val="right"/>
              <w:rPr>
                <w:rFonts w:ascii="Calibri" w:eastAsia="Times New Roman" w:hAnsi="Calibri" w:cs="Times New Roman"/>
                <w:color w:val="000000"/>
                <w:sz w:val="16"/>
                <w:szCs w:val="16"/>
                <w:lang w:eastAsia="en-GB"/>
              </w:rPr>
            </w:pPr>
            <w:r>
              <w:rPr>
                <w:rFonts w:ascii="Calibri" w:hAnsi="Calibri"/>
                <w:color w:val="000000"/>
                <w:sz w:val="16"/>
                <w:szCs w:val="16"/>
              </w:rPr>
              <w:t xml:space="preserve">-1,785 </w:t>
            </w:r>
          </w:p>
        </w:tc>
        <w:tc>
          <w:tcPr>
            <w:tcW w:w="1261" w:type="dxa"/>
            <w:tcBorders>
              <w:top w:val="nil"/>
              <w:left w:val="nil"/>
              <w:bottom w:val="nil"/>
              <w:right w:val="nil"/>
            </w:tcBorders>
            <w:shd w:val="clear" w:color="auto" w:fill="auto"/>
            <w:noWrap/>
            <w:vAlign w:val="center"/>
            <w:hideMark/>
          </w:tcPr>
          <w:p w14:paraId="5314C9F2" w14:textId="77777777" w:rsidR="00E928F6" w:rsidRPr="00F3638A" w:rsidRDefault="00E928F6" w:rsidP="00AB3151">
            <w:pPr>
              <w:spacing w:after="0" w:line="240" w:lineRule="auto"/>
              <w:jc w:val="right"/>
              <w:rPr>
                <w:rFonts w:ascii="Calibri" w:eastAsia="Times New Roman" w:hAnsi="Calibri" w:cs="Times New Roman"/>
                <w:color w:val="000000"/>
                <w:sz w:val="16"/>
                <w:szCs w:val="16"/>
                <w:lang w:eastAsia="en-GB"/>
              </w:rPr>
            </w:pPr>
            <w:r>
              <w:rPr>
                <w:rFonts w:ascii="Calibri" w:hAnsi="Calibri"/>
                <w:color w:val="000000"/>
                <w:sz w:val="16"/>
                <w:szCs w:val="16"/>
              </w:rPr>
              <w:t>-0.12%</w:t>
            </w:r>
          </w:p>
        </w:tc>
      </w:tr>
      <w:tr w:rsidR="00E928F6" w:rsidRPr="00F3638A" w14:paraId="2E921FED" w14:textId="77777777" w:rsidTr="00AB3151">
        <w:trPr>
          <w:trHeight w:val="255"/>
          <w:jc w:val="center"/>
        </w:trPr>
        <w:tc>
          <w:tcPr>
            <w:tcW w:w="3400" w:type="dxa"/>
            <w:tcBorders>
              <w:top w:val="nil"/>
              <w:left w:val="nil"/>
              <w:bottom w:val="nil"/>
              <w:right w:val="nil"/>
            </w:tcBorders>
            <w:shd w:val="clear" w:color="auto" w:fill="auto"/>
            <w:noWrap/>
            <w:vAlign w:val="bottom"/>
            <w:hideMark/>
          </w:tcPr>
          <w:p w14:paraId="4F8D88BA" w14:textId="77777777" w:rsidR="00E928F6" w:rsidRPr="00F3638A" w:rsidRDefault="00E928F6" w:rsidP="00AB3151">
            <w:pPr>
              <w:spacing w:after="0" w:line="240" w:lineRule="auto"/>
              <w:rPr>
                <w:rFonts w:ascii="Calibri" w:eastAsia="Times New Roman" w:hAnsi="Calibri" w:cs="Times New Roman"/>
                <w:color w:val="000000"/>
                <w:sz w:val="16"/>
                <w:szCs w:val="16"/>
                <w:lang w:eastAsia="en-GB"/>
              </w:rPr>
            </w:pPr>
            <w:r w:rsidRPr="00F3638A">
              <w:rPr>
                <w:rFonts w:ascii="Calibri" w:eastAsia="Times New Roman" w:hAnsi="Calibri" w:cs="Times New Roman"/>
                <w:color w:val="000000"/>
                <w:sz w:val="16"/>
                <w:szCs w:val="16"/>
                <w:lang w:eastAsia="en-GB"/>
              </w:rPr>
              <w:t xml:space="preserve">      - leisure time</w:t>
            </w:r>
          </w:p>
        </w:tc>
        <w:tc>
          <w:tcPr>
            <w:tcW w:w="1175" w:type="dxa"/>
            <w:tcBorders>
              <w:top w:val="nil"/>
              <w:left w:val="nil"/>
              <w:bottom w:val="nil"/>
              <w:right w:val="nil"/>
            </w:tcBorders>
            <w:shd w:val="clear" w:color="auto" w:fill="auto"/>
            <w:noWrap/>
            <w:vAlign w:val="center"/>
            <w:hideMark/>
          </w:tcPr>
          <w:p w14:paraId="03C323BC" w14:textId="77777777" w:rsidR="00E928F6" w:rsidRPr="00F3638A" w:rsidRDefault="00E928F6" w:rsidP="00AB3151">
            <w:pPr>
              <w:spacing w:after="0" w:line="240" w:lineRule="auto"/>
              <w:jc w:val="right"/>
              <w:rPr>
                <w:rFonts w:ascii="Calibri" w:eastAsia="Times New Roman" w:hAnsi="Calibri" w:cs="Times New Roman"/>
                <w:color w:val="000000"/>
                <w:sz w:val="16"/>
                <w:szCs w:val="16"/>
                <w:lang w:eastAsia="en-GB"/>
              </w:rPr>
            </w:pPr>
            <w:r>
              <w:rPr>
                <w:rFonts w:ascii="Calibri" w:hAnsi="Calibri"/>
                <w:color w:val="000000"/>
                <w:sz w:val="16"/>
                <w:szCs w:val="16"/>
              </w:rPr>
              <w:t xml:space="preserve">-3,001 </w:t>
            </w:r>
          </w:p>
        </w:tc>
        <w:tc>
          <w:tcPr>
            <w:tcW w:w="1261" w:type="dxa"/>
            <w:tcBorders>
              <w:top w:val="nil"/>
              <w:left w:val="nil"/>
              <w:bottom w:val="nil"/>
              <w:right w:val="nil"/>
            </w:tcBorders>
            <w:shd w:val="clear" w:color="auto" w:fill="auto"/>
            <w:noWrap/>
            <w:vAlign w:val="center"/>
            <w:hideMark/>
          </w:tcPr>
          <w:p w14:paraId="703EA6CE" w14:textId="77777777" w:rsidR="00E928F6" w:rsidRPr="00F3638A" w:rsidRDefault="00E928F6" w:rsidP="00AB3151">
            <w:pPr>
              <w:spacing w:after="0" w:line="240" w:lineRule="auto"/>
              <w:jc w:val="right"/>
              <w:rPr>
                <w:rFonts w:ascii="Calibri" w:eastAsia="Times New Roman" w:hAnsi="Calibri" w:cs="Times New Roman"/>
                <w:color w:val="000000"/>
                <w:sz w:val="16"/>
                <w:szCs w:val="16"/>
                <w:lang w:eastAsia="en-GB"/>
              </w:rPr>
            </w:pPr>
            <w:r>
              <w:rPr>
                <w:rFonts w:ascii="Calibri" w:hAnsi="Calibri"/>
                <w:color w:val="000000"/>
                <w:sz w:val="16"/>
                <w:szCs w:val="16"/>
              </w:rPr>
              <w:t>-0.13%</w:t>
            </w:r>
          </w:p>
        </w:tc>
      </w:tr>
    </w:tbl>
    <w:p w14:paraId="3C2DE8DC" w14:textId="09596F6A" w:rsidR="00E928F6" w:rsidRPr="00520EA5" w:rsidRDefault="00E928F6" w:rsidP="00E928F6">
      <w:pPr>
        <w:jc w:val="center"/>
        <w:rPr>
          <w:b/>
        </w:rPr>
      </w:pPr>
      <w:r w:rsidRPr="00520EA5">
        <w:rPr>
          <w:b/>
        </w:rPr>
        <w:t xml:space="preserve">Table </w:t>
      </w:r>
      <w:r w:rsidR="00DD416C">
        <w:rPr>
          <w:b/>
        </w:rPr>
        <w:t>S</w:t>
      </w:r>
      <w:bookmarkStart w:id="1" w:name="_GoBack"/>
      <w:bookmarkEnd w:id="1"/>
      <w:r>
        <w:rPr>
          <w:b/>
        </w:rPr>
        <w:t>3</w:t>
      </w:r>
      <w:r w:rsidRPr="00520EA5">
        <w:rPr>
          <w:b/>
        </w:rPr>
        <w:t xml:space="preserve">: Nutrient Matching </w:t>
      </w:r>
      <w:r>
        <w:rPr>
          <w:b/>
        </w:rPr>
        <w:t>Demographic and workforce Results Decomposition</w:t>
      </w:r>
    </w:p>
    <w:tbl>
      <w:tblPr>
        <w:tblW w:w="4480" w:type="dxa"/>
        <w:jc w:val="center"/>
        <w:tblLook w:val="04A0" w:firstRow="1" w:lastRow="0" w:firstColumn="1" w:lastColumn="0" w:noHBand="0" w:noVBand="1"/>
      </w:tblPr>
      <w:tblGrid>
        <w:gridCol w:w="2767"/>
        <w:gridCol w:w="865"/>
        <w:gridCol w:w="848"/>
      </w:tblGrid>
      <w:tr w:rsidR="00E928F6" w:rsidRPr="00F3638A" w14:paraId="0416E04B" w14:textId="77777777" w:rsidTr="00AB3151">
        <w:trPr>
          <w:trHeight w:val="315"/>
          <w:jc w:val="center"/>
        </w:trPr>
        <w:tc>
          <w:tcPr>
            <w:tcW w:w="4480" w:type="dxa"/>
            <w:gridSpan w:val="3"/>
            <w:tcBorders>
              <w:top w:val="nil"/>
              <w:left w:val="nil"/>
              <w:bottom w:val="nil"/>
              <w:right w:val="nil"/>
            </w:tcBorders>
            <w:shd w:val="clear" w:color="auto" w:fill="auto"/>
            <w:noWrap/>
            <w:vAlign w:val="bottom"/>
            <w:hideMark/>
          </w:tcPr>
          <w:p w14:paraId="484B1950" w14:textId="77777777" w:rsidR="00E928F6" w:rsidRPr="00F3638A" w:rsidRDefault="00E928F6" w:rsidP="00AB3151">
            <w:pPr>
              <w:spacing w:after="0" w:line="240" w:lineRule="auto"/>
              <w:rPr>
                <w:rFonts w:ascii="Calibri" w:eastAsia="Times New Roman" w:hAnsi="Calibri" w:cs="Times New Roman"/>
                <w:b/>
                <w:bCs/>
                <w:color w:val="000000"/>
                <w:sz w:val="24"/>
                <w:szCs w:val="24"/>
                <w:lang w:eastAsia="en-GB"/>
              </w:rPr>
            </w:pPr>
            <w:r w:rsidRPr="00F3638A">
              <w:rPr>
                <w:rFonts w:ascii="Calibri" w:eastAsia="Times New Roman" w:hAnsi="Calibri" w:cs="Times New Roman"/>
                <w:b/>
                <w:bCs/>
                <w:color w:val="000000"/>
                <w:sz w:val="24"/>
                <w:szCs w:val="24"/>
                <w:lang w:eastAsia="en-GB"/>
              </w:rPr>
              <w:t>Demographic</w:t>
            </w:r>
            <w:r>
              <w:rPr>
                <w:rFonts w:ascii="Calibri" w:eastAsia="Times New Roman" w:hAnsi="Calibri" w:cs="Times New Roman"/>
                <w:b/>
                <w:bCs/>
                <w:color w:val="000000"/>
                <w:sz w:val="24"/>
                <w:szCs w:val="24"/>
                <w:lang w:eastAsia="en-GB"/>
              </w:rPr>
              <w:t xml:space="preserve"> and</w:t>
            </w:r>
            <w:r w:rsidRPr="00F3638A">
              <w:rPr>
                <w:rFonts w:ascii="Calibri" w:eastAsia="Times New Roman" w:hAnsi="Calibri" w:cs="Times New Roman"/>
                <w:b/>
                <w:bCs/>
                <w:color w:val="000000"/>
                <w:sz w:val="24"/>
                <w:szCs w:val="24"/>
                <w:lang w:eastAsia="en-GB"/>
              </w:rPr>
              <w:t xml:space="preserve"> workforce</w:t>
            </w:r>
          </w:p>
        </w:tc>
      </w:tr>
      <w:tr w:rsidR="00E928F6" w:rsidRPr="00F3638A" w14:paraId="44F830D6" w14:textId="77777777" w:rsidTr="00AB3151">
        <w:trPr>
          <w:trHeight w:val="225"/>
          <w:jc w:val="center"/>
        </w:trPr>
        <w:tc>
          <w:tcPr>
            <w:tcW w:w="2767" w:type="dxa"/>
            <w:tcBorders>
              <w:top w:val="single" w:sz="4" w:space="0" w:color="auto"/>
              <w:left w:val="nil"/>
              <w:bottom w:val="nil"/>
              <w:right w:val="nil"/>
            </w:tcBorders>
            <w:shd w:val="clear" w:color="auto" w:fill="auto"/>
            <w:noWrap/>
            <w:vAlign w:val="bottom"/>
            <w:hideMark/>
          </w:tcPr>
          <w:p w14:paraId="7CA742A2" w14:textId="77777777" w:rsidR="00E928F6" w:rsidRPr="00F3638A" w:rsidRDefault="00E928F6" w:rsidP="00AB3151">
            <w:pPr>
              <w:spacing w:after="0" w:line="240" w:lineRule="auto"/>
              <w:rPr>
                <w:rFonts w:ascii="Calibri" w:eastAsia="Times New Roman" w:hAnsi="Calibri" w:cs="Times New Roman"/>
                <w:b/>
                <w:bCs/>
                <w:i/>
                <w:iCs/>
                <w:color w:val="000000"/>
                <w:sz w:val="16"/>
                <w:szCs w:val="16"/>
                <w:lang w:eastAsia="en-GB"/>
              </w:rPr>
            </w:pPr>
            <w:r w:rsidRPr="00F3638A">
              <w:rPr>
                <w:rFonts w:ascii="Calibri" w:eastAsia="Times New Roman" w:hAnsi="Calibri" w:cs="Times New Roman"/>
                <w:b/>
                <w:bCs/>
                <w:i/>
                <w:iCs/>
                <w:color w:val="000000"/>
                <w:sz w:val="16"/>
                <w:szCs w:val="16"/>
                <w:lang w:eastAsia="en-GB"/>
              </w:rPr>
              <w:t>Demographic</w:t>
            </w:r>
          </w:p>
        </w:tc>
        <w:tc>
          <w:tcPr>
            <w:tcW w:w="865" w:type="dxa"/>
            <w:tcBorders>
              <w:top w:val="single" w:sz="4" w:space="0" w:color="auto"/>
              <w:left w:val="nil"/>
              <w:bottom w:val="nil"/>
              <w:right w:val="nil"/>
            </w:tcBorders>
            <w:shd w:val="clear" w:color="auto" w:fill="auto"/>
            <w:noWrap/>
            <w:vAlign w:val="bottom"/>
            <w:hideMark/>
          </w:tcPr>
          <w:p w14:paraId="37B43331" w14:textId="77777777" w:rsidR="00E928F6" w:rsidRPr="00F3638A" w:rsidRDefault="00E928F6" w:rsidP="00AB3151">
            <w:pPr>
              <w:spacing w:after="0" w:line="240" w:lineRule="auto"/>
              <w:rPr>
                <w:rFonts w:ascii="Calibri" w:eastAsia="Times New Roman" w:hAnsi="Calibri" w:cs="Times New Roman"/>
                <w:color w:val="000000"/>
                <w:sz w:val="16"/>
                <w:szCs w:val="16"/>
                <w:lang w:eastAsia="en-GB"/>
              </w:rPr>
            </w:pPr>
            <w:r w:rsidRPr="00F3638A">
              <w:rPr>
                <w:rFonts w:ascii="Calibri" w:eastAsia="Times New Roman" w:hAnsi="Calibri" w:cs="Times New Roman"/>
                <w:color w:val="000000"/>
                <w:sz w:val="16"/>
                <w:szCs w:val="16"/>
                <w:lang w:eastAsia="en-GB"/>
              </w:rPr>
              <w:t> </w:t>
            </w:r>
          </w:p>
        </w:tc>
        <w:tc>
          <w:tcPr>
            <w:tcW w:w="848" w:type="dxa"/>
            <w:tcBorders>
              <w:top w:val="single" w:sz="4" w:space="0" w:color="auto"/>
              <w:left w:val="nil"/>
              <w:bottom w:val="nil"/>
              <w:right w:val="nil"/>
            </w:tcBorders>
            <w:shd w:val="clear" w:color="auto" w:fill="auto"/>
            <w:noWrap/>
            <w:vAlign w:val="bottom"/>
            <w:hideMark/>
          </w:tcPr>
          <w:p w14:paraId="171CBFD6" w14:textId="77777777" w:rsidR="00E928F6" w:rsidRPr="00F3638A" w:rsidRDefault="00E928F6" w:rsidP="00AB3151">
            <w:pPr>
              <w:spacing w:after="0" w:line="240" w:lineRule="auto"/>
              <w:rPr>
                <w:rFonts w:ascii="Calibri" w:eastAsia="Times New Roman" w:hAnsi="Calibri" w:cs="Times New Roman"/>
                <w:color w:val="000000"/>
                <w:sz w:val="16"/>
                <w:szCs w:val="16"/>
                <w:lang w:eastAsia="en-GB"/>
              </w:rPr>
            </w:pPr>
            <w:r w:rsidRPr="00F3638A">
              <w:rPr>
                <w:rFonts w:ascii="Calibri" w:eastAsia="Times New Roman" w:hAnsi="Calibri" w:cs="Times New Roman"/>
                <w:color w:val="000000"/>
                <w:sz w:val="16"/>
                <w:szCs w:val="16"/>
                <w:lang w:eastAsia="en-GB"/>
              </w:rPr>
              <w:t> </w:t>
            </w:r>
          </w:p>
        </w:tc>
      </w:tr>
      <w:tr w:rsidR="00E928F6" w:rsidRPr="00F3638A" w14:paraId="245C7751" w14:textId="77777777" w:rsidTr="00AB3151">
        <w:trPr>
          <w:trHeight w:val="225"/>
          <w:jc w:val="center"/>
        </w:trPr>
        <w:tc>
          <w:tcPr>
            <w:tcW w:w="2767" w:type="dxa"/>
            <w:tcBorders>
              <w:top w:val="nil"/>
              <w:left w:val="nil"/>
              <w:bottom w:val="nil"/>
              <w:right w:val="nil"/>
            </w:tcBorders>
            <w:shd w:val="clear" w:color="auto" w:fill="auto"/>
            <w:noWrap/>
            <w:vAlign w:val="bottom"/>
            <w:hideMark/>
          </w:tcPr>
          <w:p w14:paraId="00764F26" w14:textId="77777777" w:rsidR="00E928F6" w:rsidRPr="00F3638A" w:rsidRDefault="00E928F6" w:rsidP="00AB3151">
            <w:pPr>
              <w:spacing w:after="0" w:line="240" w:lineRule="auto"/>
              <w:rPr>
                <w:rFonts w:ascii="Calibri" w:eastAsia="Times New Roman" w:hAnsi="Calibri" w:cs="Times New Roman"/>
                <w:color w:val="000000"/>
                <w:sz w:val="16"/>
                <w:szCs w:val="16"/>
                <w:lang w:eastAsia="en-GB"/>
              </w:rPr>
            </w:pPr>
          </w:p>
        </w:tc>
        <w:tc>
          <w:tcPr>
            <w:tcW w:w="865" w:type="dxa"/>
            <w:tcBorders>
              <w:top w:val="single" w:sz="4" w:space="0" w:color="auto"/>
              <w:left w:val="nil"/>
              <w:bottom w:val="nil"/>
              <w:right w:val="nil"/>
            </w:tcBorders>
            <w:shd w:val="clear" w:color="auto" w:fill="auto"/>
            <w:noWrap/>
            <w:vAlign w:val="center"/>
            <w:hideMark/>
          </w:tcPr>
          <w:p w14:paraId="55C70A45" w14:textId="77777777" w:rsidR="00E928F6" w:rsidRPr="00F3638A" w:rsidRDefault="00E928F6" w:rsidP="00AB3151">
            <w:pPr>
              <w:spacing w:after="0" w:line="240" w:lineRule="auto"/>
              <w:rPr>
                <w:rFonts w:ascii="Calibri" w:eastAsia="Times New Roman" w:hAnsi="Calibri" w:cs="Times New Roman"/>
                <w:color w:val="000000"/>
                <w:sz w:val="16"/>
                <w:szCs w:val="16"/>
                <w:lang w:eastAsia="en-GB"/>
              </w:rPr>
            </w:pPr>
            <w:r>
              <w:rPr>
                <w:rFonts w:ascii="Calibri" w:hAnsi="Calibri"/>
                <w:color w:val="000000"/>
                <w:sz w:val="16"/>
                <w:szCs w:val="16"/>
              </w:rPr>
              <w:t xml:space="preserve"> #pers-yrs</w:t>
            </w:r>
          </w:p>
        </w:tc>
        <w:tc>
          <w:tcPr>
            <w:tcW w:w="848" w:type="dxa"/>
            <w:tcBorders>
              <w:top w:val="single" w:sz="4" w:space="0" w:color="auto"/>
              <w:left w:val="nil"/>
              <w:bottom w:val="nil"/>
              <w:right w:val="nil"/>
            </w:tcBorders>
            <w:shd w:val="clear" w:color="auto" w:fill="auto"/>
            <w:noWrap/>
            <w:vAlign w:val="center"/>
            <w:hideMark/>
          </w:tcPr>
          <w:p w14:paraId="4FE1CC03" w14:textId="77777777" w:rsidR="00E928F6" w:rsidRPr="00F3638A" w:rsidRDefault="00E928F6" w:rsidP="00AB3151">
            <w:pPr>
              <w:spacing w:after="0" w:line="240" w:lineRule="auto"/>
              <w:rPr>
                <w:rFonts w:ascii="Calibri" w:eastAsia="Times New Roman" w:hAnsi="Calibri" w:cs="Times New Roman"/>
                <w:color w:val="000000"/>
                <w:sz w:val="16"/>
                <w:szCs w:val="16"/>
                <w:lang w:eastAsia="en-GB"/>
              </w:rPr>
            </w:pPr>
            <w:r>
              <w:rPr>
                <w:rFonts w:ascii="Calibri" w:hAnsi="Calibri"/>
                <w:color w:val="000000"/>
                <w:sz w:val="16"/>
                <w:szCs w:val="16"/>
              </w:rPr>
              <w:t>% of total</w:t>
            </w:r>
          </w:p>
        </w:tc>
      </w:tr>
      <w:tr w:rsidR="00E928F6" w:rsidRPr="00F3638A" w14:paraId="5B5F41D9" w14:textId="77777777" w:rsidTr="00AB3151">
        <w:trPr>
          <w:trHeight w:val="225"/>
          <w:jc w:val="center"/>
        </w:trPr>
        <w:tc>
          <w:tcPr>
            <w:tcW w:w="2767" w:type="dxa"/>
            <w:tcBorders>
              <w:top w:val="nil"/>
              <w:left w:val="nil"/>
              <w:bottom w:val="nil"/>
              <w:right w:val="nil"/>
            </w:tcBorders>
            <w:shd w:val="clear" w:color="auto" w:fill="auto"/>
            <w:noWrap/>
            <w:vAlign w:val="bottom"/>
            <w:hideMark/>
          </w:tcPr>
          <w:p w14:paraId="0A5A2B4E" w14:textId="77777777" w:rsidR="00E928F6" w:rsidRPr="00F3638A" w:rsidRDefault="00E928F6" w:rsidP="00AB3151">
            <w:pPr>
              <w:spacing w:after="0" w:line="240" w:lineRule="auto"/>
              <w:rPr>
                <w:rFonts w:ascii="Calibri" w:eastAsia="Times New Roman" w:hAnsi="Calibri" w:cs="Times New Roman"/>
                <w:color w:val="000000"/>
                <w:sz w:val="16"/>
                <w:szCs w:val="16"/>
                <w:lang w:eastAsia="en-GB"/>
              </w:rPr>
            </w:pPr>
            <w:r w:rsidRPr="00F3638A">
              <w:rPr>
                <w:rFonts w:ascii="Calibri" w:eastAsia="Times New Roman" w:hAnsi="Calibri" w:cs="Times New Roman"/>
                <w:color w:val="000000"/>
                <w:sz w:val="16"/>
                <w:szCs w:val="16"/>
                <w:lang w:eastAsia="en-GB"/>
              </w:rPr>
              <w:t>Δpopulation (cumulative)</w:t>
            </w:r>
          </w:p>
        </w:tc>
        <w:tc>
          <w:tcPr>
            <w:tcW w:w="865" w:type="dxa"/>
            <w:tcBorders>
              <w:top w:val="nil"/>
              <w:left w:val="nil"/>
              <w:bottom w:val="nil"/>
              <w:right w:val="nil"/>
            </w:tcBorders>
            <w:shd w:val="clear" w:color="auto" w:fill="auto"/>
            <w:noWrap/>
            <w:vAlign w:val="center"/>
            <w:hideMark/>
          </w:tcPr>
          <w:p w14:paraId="403C10C0" w14:textId="77777777" w:rsidR="00E928F6" w:rsidRPr="00F3638A" w:rsidRDefault="00E928F6" w:rsidP="00AB3151">
            <w:pPr>
              <w:spacing w:after="0" w:line="240" w:lineRule="auto"/>
              <w:jc w:val="right"/>
              <w:rPr>
                <w:rFonts w:ascii="Calibri" w:eastAsia="Times New Roman" w:hAnsi="Calibri" w:cs="Times New Roman"/>
                <w:color w:val="000000"/>
                <w:sz w:val="16"/>
                <w:szCs w:val="16"/>
                <w:lang w:eastAsia="en-GB"/>
              </w:rPr>
            </w:pPr>
            <w:r>
              <w:rPr>
                <w:rFonts w:ascii="Calibri" w:hAnsi="Calibri"/>
                <w:color w:val="000000"/>
                <w:sz w:val="16"/>
                <w:szCs w:val="16"/>
              </w:rPr>
              <w:t>49,935</w:t>
            </w:r>
          </w:p>
        </w:tc>
        <w:tc>
          <w:tcPr>
            <w:tcW w:w="848" w:type="dxa"/>
            <w:tcBorders>
              <w:top w:val="nil"/>
              <w:left w:val="nil"/>
              <w:bottom w:val="nil"/>
              <w:right w:val="nil"/>
            </w:tcBorders>
            <w:shd w:val="clear" w:color="auto" w:fill="auto"/>
            <w:noWrap/>
            <w:vAlign w:val="center"/>
            <w:hideMark/>
          </w:tcPr>
          <w:p w14:paraId="5B5B5F2E" w14:textId="77777777" w:rsidR="00E928F6" w:rsidRPr="00F3638A" w:rsidRDefault="00E928F6" w:rsidP="00AB3151">
            <w:pPr>
              <w:spacing w:after="0" w:line="240" w:lineRule="auto"/>
              <w:jc w:val="right"/>
              <w:rPr>
                <w:rFonts w:ascii="Calibri" w:eastAsia="Times New Roman" w:hAnsi="Calibri" w:cs="Times New Roman"/>
                <w:color w:val="000000"/>
                <w:sz w:val="16"/>
                <w:szCs w:val="16"/>
                <w:lang w:eastAsia="en-GB"/>
              </w:rPr>
            </w:pPr>
            <w:r>
              <w:rPr>
                <w:rFonts w:ascii="Calibri" w:hAnsi="Calibri"/>
                <w:color w:val="000000"/>
                <w:sz w:val="16"/>
                <w:szCs w:val="16"/>
              </w:rPr>
              <w:t>0.0037%</w:t>
            </w:r>
          </w:p>
        </w:tc>
      </w:tr>
      <w:tr w:rsidR="00E928F6" w:rsidRPr="00F3638A" w14:paraId="571ECB28" w14:textId="77777777" w:rsidTr="00AB3151">
        <w:trPr>
          <w:trHeight w:val="255"/>
          <w:jc w:val="center"/>
        </w:trPr>
        <w:tc>
          <w:tcPr>
            <w:tcW w:w="2767" w:type="dxa"/>
            <w:tcBorders>
              <w:top w:val="nil"/>
              <w:left w:val="nil"/>
              <w:bottom w:val="nil"/>
              <w:right w:val="nil"/>
            </w:tcBorders>
            <w:shd w:val="clear" w:color="auto" w:fill="auto"/>
            <w:noWrap/>
            <w:vAlign w:val="bottom"/>
            <w:hideMark/>
          </w:tcPr>
          <w:p w14:paraId="706E0F60" w14:textId="77777777" w:rsidR="00E928F6" w:rsidRPr="00F3638A" w:rsidRDefault="00E928F6" w:rsidP="00AB3151">
            <w:pPr>
              <w:spacing w:after="0" w:line="240" w:lineRule="auto"/>
              <w:rPr>
                <w:rFonts w:ascii="Calibri" w:eastAsia="Times New Roman" w:hAnsi="Calibri" w:cs="Times New Roman"/>
                <w:color w:val="000000"/>
                <w:sz w:val="16"/>
                <w:szCs w:val="16"/>
                <w:lang w:eastAsia="en-GB"/>
              </w:rPr>
            </w:pPr>
            <w:r w:rsidRPr="00F3638A">
              <w:rPr>
                <w:rFonts w:ascii="Calibri" w:eastAsia="Times New Roman" w:hAnsi="Calibri" w:cs="Times New Roman"/>
                <w:color w:val="000000"/>
                <w:sz w:val="16"/>
                <w:szCs w:val="16"/>
                <w:lang w:eastAsia="en-GB"/>
              </w:rPr>
              <w:t xml:space="preserve">   - Bangkok</w:t>
            </w:r>
            <w:r w:rsidRPr="00F3638A">
              <w:rPr>
                <w:rFonts w:ascii="Calibri" w:eastAsia="Times New Roman" w:hAnsi="Calibri" w:cs="Times New Roman"/>
                <w:color w:val="000000"/>
                <w:sz w:val="16"/>
                <w:szCs w:val="16"/>
                <w:vertAlign w:val="superscript"/>
                <w:lang w:eastAsia="en-GB"/>
              </w:rPr>
              <w:t>1</w:t>
            </w:r>
          </w:p>
        </w:tc>
        <w:tc>
          <w:tcPr>
            <w:tcW w:w="865" w:type="dxa"/>
            <w:tcBorders>
              <w:top w:val="nil"/>
              <w:left w:val="nil"/>
              <w:bottom w:val="nil"/>
              <w:right w:val="nil"/>
            </w:tcBorders>
            <w:shd w:val="clear" w:color="auto" w:fill="auto"/>
            <w:noWrap/>
            <w:vAlign w:val="center"/>
            <w:hideMark/>
          </w:tcPr>
          <w:p w14:paraId="4950C525" w14:textId="77777777" w:rsidR="00E928F6" w:rsidRPr="00F3638A" w:rsidRDefault="00E928F6" w:rsidP="00AB3151">
            <w:pPr>
              <w:spacing w:after="0" w:line="240" w:lineRule="auto"/>
              <w:jc w:val="right"/>
              <w:rPr>
                <w:rFonts w:ascii="Calibri" w:eastAsia="Times New Roman" w:hAnsi="Calibri" w:cs="Times New Roman"/>
                <w:color w:val="000000"/>
                <w:sz w:val="16"/>
                <w:szCs w:val="16"/>
                <w:lang w:eastAsia="en-GB"/>
              </w:rPr>
            </w:pPr>
            <w:r>
              <w:rPr>
                <w:rFonts w:ascii="Calibri" w:hAnsi="Calibri"/>
                <w:color w:val="000000"/>
                <w:sz w:val="16"/>
                <w:szCs w:val="16"/>
              </w:rPr>
              <w:t>9,282</w:t>
            </w:r>
          </w:p>
        </w:tc>
        <w:tc>
          <w:tcPr>
            <w:tcW w:w="848" w:type="dxa"/>
            <w:tcBorders>
              <w:top w:val="nil"/>
              <w:left w:val="nil"/>
              <w:bottom w:val="nil"/>
              <w:right w:val="nil"/>
            </w:tcBorders>
            <w:shd w:val="clear" w:color="auto" w:fill="auto"/>
            <w:noWrap/>
            <w:vAlign w:val="center"/>
            <w:hideMark/>
          </w:tcPr>
          <w:p w14:paraId="3AA7EC3E" w14:textId="77777777" w:rsidR="00E928F6" w:rsidRPr="00F3638A" w:rsidRDefault="00E928F6" w:rsidP="00AB3151">
            <w:pPr>
              <w:spacing w:after="0" w:line="240" w:lineRule="auto"/>
              <w:jc w:val="right"/>
              <w:rPr>
                <w:rFonts w:ascii="Calibri" w:eastAsia="Times New Roman" w:hAnsi="Calibri" w:cs="Times New Roman"/>
                <w:color w:val="000000"/>
                <w:sz w:val="16"/>
                <w:szCs w:val="16"/>
                <w:lang w:eastAsia="en-GB"/>
              </w:rPr>
            </w:pPr>
            <w:r>
              <w:rPr>
                <w:rFonts w:ascii="Calibri" w:hAnsi="Calibri"/>
                <w:color w:val="000000"/>
                <w:sz w:val="16"/>
                <w:szCs w:val="16"/>
              </w:rPr>
              <w:t>0.0056%</w:t>
            </w:r>
          </w:p>
        </w:tc>
      </w:tr>
      <w:tr w:rsidR="00E928F6" w:rsidRPr="00F3638A" w14:paraId="4B20D033" w14:textId="77777777" w:rsidTr="00AB3151">
        <w:trPr>
          <w:trHeight w:val="255"/>
          <w:jc w:val="center"/>
        </w:trPr>
        <w:tc>
          <w:tcPr>
            <w:tcW w:w="2767" w:type="dxa"/>
            <w:tcBorders>
              <w:top w:val="nil"/>
              <w:left w:val="nil"/>
              <w:bottom w:val="nil"/>
              <w:right w:val="nil"/>
            </w:tcBorders>
            <w:shd w:val="clear" w:color="auto" w:fill="auto"/>
            <w:noWrap/>
            <w:vAlign w:val="bottom"/>
            <w:hideMark/>
          </w:tcPr>
          <w:p w14:paraId="5364A60E" w14:textId="77777777" w:rsidR="00E928F6" w:rsidRPr="00F3638A" w:rsidRDefault="00E928F6" w:rsidP="00AB3151">
            <w:pPr>
              <w:spacing w:after="0" w:line="240" w:lineRule="auto"/>
              <w:rPr>
                <w:rFonts w:ascii="Calibri" w:eastAsia="Times New Roman" w:hAnsi="Calibri" w:cs="Times New Roman"/>
                <w:color w:val="000000"/>
                <w:sz w:val="16"/>
                <w:szCs w:val="16"/>
                <w:lang w:eastAsia="en-GB"/>
              </w:rPr>
            </w:pPr>
            <w:r w:rsidRPr="00F3638A">
              <w:rPr>
                <w:rFonts w:ascii="Calibri" w:eastAsia="Times New Roman" w:hAnsi="Calibri" w:cs="Times New Roman"/>
                <w:color w:val="000000"/>
                <w:sz w:val="16"/>
                <w:szCs w:val="16"/>
                <w:lang w:eastAsia="en-GB"/>
              </w:rPr>
              <w:t xml:space="preserve">   - Central region (exc Bangkok)</w:t>
            </w:r>
            <w:r w:rsidRPr="00F3638A">
              <w:rPr>
                <w:rFonts w:ascii="Calibri" w:eastAsia="Times New Roman" w:hAnsi="Calibri" w:cs="Times New Roman"/>
                <w:color w:val="000000"/>
                <w:sz w:val="16"/>
                <w:szCs w:val="16"/>
                <w:vertAlign w:val="superscript"/>
                <w:lang w:eastAsia="en-GB"/>
              </w:rPr>
              <w:t>1</w:t>
            </w:r>
          </w:p>
        </w:tc>
        <w:tc>
          <w:tcPr>
            <w:tcW w:w="865" w:type="dxa"/>
            <w:tcBorders>
              <w:top w:val="nil"/>
              <w:left w:val="nil"/>
              <w:bottom w:val="nil"/>
              <w:right w:val="nil"/>
            </w:tcBorders>
            <w:shd w:val="clear" w:color="auto" w:fill="auto"/>
            <w:noWrap/>
            <w:vAlign w:val="center"/>
            <w:hideMark/>
          </w:tcPr>
          <w:p w14:paraId="57434FD6" w14:textId="77777777" w:rsidR="00E928F6" w:rsidRPr="00F3638A" w:rsidRDefault="00E928F6" w:rsidP="00AB3151">
            <w:pPr>
              <w:spacing w:after="0" w:line="240" w:lineRule="auto"/>
              <w:jc w:val="right"/>
              <w:rPr>
                <w:rFonts w:ascii="Calibri" w:eastAsia="Times New Roman" w:hAnsi="Calibri" w:cs="Times New Roman"/>
                <w:color w:val="000000"/>
                <w:sz w:val="16"/>
                <w:szCs w:val="16"/>
                <w:lang w:eastAsia="en-GB"/>
              </w:rPr>
            </w:pPr>
            <w:r>
              <w:rPr>
                <w:rFonts w:ascii="Calibri" w:hAnsi="Calibri"/>
                <w:color w:val="000000"/>
                <w:sz w:val="16"/>
                <w:szCs w:val="16"/>
              </w:rPr>
              <w:t>12,915</w:t>
            </w:r>
          </w:p>
        </w:tc>
        <w:tc>
          <w:tcPr>
            <w:tcW w:w="848" w:type="dxa"/>
            <w:tcBorders>
              <w:top w:val="nil"/>
              <w:left w:val="nil"/>
              <w:bottom w:val="nil"/>
              <w:right w:val="nil"/>
            </w:tcBorders>
            <w:shd w:val="clear" w:color="auto" w:fill="auto"/>
            <w:noWrap/>
            <w:vAlign w:val="center"/>
            <w:hideMark/>
          </w:tcPr>
          <w:p w14:paraId="4C5A9C09" w14:textId="77777777" w:rsidR="00E928F6" w:rsidRPr="00F3638A" w:rsidRDefault="00E928F6" w:rsidP="00AB3151">
            <w:pPr>
              <w:spacing w:after="0" w:line="240" w:lineRule="auto"/>
              <w:jc w:val="right"/>
              <w:rPr>
                <w:rFonts w:ascii="Calibri" w:eastAsia="Times New Roman" w:hAnsi="Calibri" w:cs="Times New Roman"/>
                <w:color w:val="000000"/>
                <w:sz w:val="16"/>
                <w:szCs w:val="16"/>
                <w:lang w:eastAsia="en-GB"/>
              </w:rPr>
            </w:pPr>
            <w:r>
              <w:rPr>
                <w:rFonts w:ascii="Calibri" w:hAnsi="Calibri"/>
                <w:color w:val="000000"/>
                <w:sz w:val="16"/>
                <w:szCs w:val="16"/>
              </w:rPr>
              <w:t>0.0032%</w:t>
            </w:r>
          </w:p>
        </w:tc>
      </w:tr>
      <w:tr w:rsidR="00E928F6" w:rsidRPr="00F3638A" w14:paraId="1A674E21" w14:textId="77777777" w:rsidTr="00AB3151">
        <w:trPr>
          <w:trHeight w:val="255"/>
          <w:jc w:val="center"/>
        </w:trPr>
        <w:tc>
          <w:tcPr>
            <w:tcW w:w="2767" w:type="dxa"/>
            <w:tcBorders>
              <w:top w:val="nil"/>
              <w:left w:val="nil"/>
              <w:bottom w:val="nil"/>
              <w:right w:val="nil"/>
            </w:tcBorders>
            <w:shd w:val="clear" w:color="auto" w:fill="auto"/>
            <w:noWrap/>
            <w:vAlign w:val="bottom"/>
            <w:hideMark/>
          </w:tcPr>
          <w:p w14:paraId="44E00094" w14:textId="77777777" w:rsidR="00E928F6" w:rsidRPr="00F3638A" w:rsidRDefault="00E928F6" w:rsidP="00AB3151">
            <w:pPr>
              <w:spacing w:after="0" w:line="240" w:lineRule="auto"/>
              <w:rPr>
                <w:rFonts w:ascii="Calibri" w:eastAsia="Times New Roman" w:hAnsi="Calibri" w:cs="Times New Roman"/>
                <w:color w:val="000000"/>
                <w:sz w:val="16"/>
                <w:szCs w:val="16"/>
                <w:lang w:eastAsia="en-GB"/>
              </w:rPr>
            </w:pPr>
            <w:r w:rsidRPr="00F3638A">
              <w:rPr>
                <w:rFonts w:ascii="Calibri" w:eastAsia="Times New Roman" w:hAnsi="Calibri" w:cs="Times New Roman"/>
                <w:color w:val="000000"/>
                <w:sz w:val="16"/>
                <w:szCs w:val="16"/>
                <w:lang w:eastAsia="en-GB"/>
              </w:rPr>
              <w:t xml:space="preserve">   - North region</w:t>
            </w:r>
            <w:r w:rsidRPr="00F3638A">
              <w:rPr>
                <w:rFonts w:ascii="Calibri" w:eastAsia="Times New Roman" w:hAnsi="Calibri" w:cs="Times New Roman"/>
                <w:color w:val="000000"/>
                <w:sz w:val="16"/>
                <w:szCs w:val="16"/>
                <w:vertAlign w:val="superscript"/>
                <w:lang w:eastAsia="en-GB"/>
              </w:rPr>
              <w:t>1</w:t>
            </w:r>
          </w:p>
        </w:tc>
        <w:tc>
          <w:tcPr>
            <w:tcW w:w="865" w:type="dxa"/>
            <w:tcBorders>
              <w:top w:val="nil"/>
              <w:left w:val="nil"/>
              <w:bottom w:val="nil"/>
              <w:right w:val="nil"/>
            </w:tcBorders>
            <w:shd w:val="clear" w:color="auto" w:fill="auto"/>
            <w:noWrap/>
            <w:vAlign w:val="center"/>
            <w:hideMark/>
          </w:tcPr>
          <w:p w14:paraId="6083159D" w14:textId="77777777" w:rsidR="00E928F6" w:rsidRPr="00F3638A" w:rsidRDefault="00E928F6" w:rsidP="00AB3151">
            <w:pPr>
              <w:spacing w:after="0" w:line="240" w:lineRule="auto"/>
              <w:jc w:val="right"/>
              <w:rPr>
                <w:rFonts w:ascii="Calibri" w:eastAsia="Times New Roman" w:hAnsi="Calibri" w:cs="Times New Roman"/>
                <w:color w:val="000000"/>
                <w:sz w:val="16"/>
                <w:szCs w:val="16"/>
                <w:lang w:eastAsia="en-GB"/>
              </w:rPr>
            </w:pPr>
            <w:r>
              <w:rPr>
                <w:rFonts w:ascii="Calibri" w:hAnsi="Calibri"/>
                <w:color w:val="000000"/>
                <w:sz w:val="16"/>
                <w:szCs w:val="16"/>
              </w:rPr>
              <w:t>8,838</w:t>
            </w:r>
          </w:p>
        </w:tc>
        <w:tc>
          <w:tcPr>
            <w:tcW w:w="848" w:type="dxa"/>
            <w:tcBorders>
              <w:top w:val="nil"/>
              <w:left w:val="nil"/>
              <w:bottom w:val="nil"/>
              <w:right w:val="nil"/>
            </w:tcBorders>
            <w:shd w:val="clear" w:color="auto" w:fill="auto"/>
            <w:noWrap/>
            <w:vAlign w:val="center"/>
            <w:hideMark/>
          </w:tcPr>
          <w:p w14:paraId="1FE11ECC" w14:textId="77777777" w:rsidR="00E928F6" w:rsidRPr="00F3638A" w:rsidRDefault="00E928F6" w:rsidP="00AB3151">
            <w:pPr>
              <w:spacing w:after="0" w:line="240" w:lineRule="auto"/>
              <w:jc w:val="right"/>
              <w:rPr>
                <w:rFonts w:ascii="Calibri" w:eastAsia="Times New Roman" w:hAnsi="Calibri" w:cs="Times New Roman"/>
                <w:color w:val="000000"/>
                <w:sz w:val="16"/>
                <w:szCs w:val="16"/>
                <w:lang w:eastAsia="en-GB"/>
              </w:rPr>
            </w:pPr>
            <w:r>
              <w:rPr>
                <w:rFonts w:ascii="Calibri" w:hAnsi="Calibri"/>
                <w:color w:val="000000"/>
                <w:sz w:val="16"/>
                <w:szCs w:val="16"/>
              </w:rPr>
              <w:t>0.0040%</w:t>
            </w:r>
          </w:p>
        </w:tc>
      </w:tr>
      <w:tr w:rsidR="00E928F6" w:rsidRPr="00F3638A" w14:paraId="6E7C1343" w14:textId="77777777" w:rsidTr="00AB3151">
        <w:trPr>
          <w:trHeight w:val="255"/>
          <w:jc w:val="center"/>
        </w:trPr>
        <w:tc>
          <w:tcPr>
            <w:tcW w:w="2767" w:type="dxa"/>
            <w:tcBorders>
              <w:top w:val="nil"/>
              <w:left w:val="nil"/>
              <w:bottom w:val="nil"/>
              <w:right w:val="nil"/>
            </w:tcBorders>
            <w:shd w:val="clear" w:color="auto" w:fill="auto"/>
            <w:noWrap/>
            <w:vAlign w:val="bottom"/>
            <w:hideMark/>
          </w:tcPr>
          <w:p w14:paraId="082D0F8C" w14:textId="77777777" w:rsidR="00E928F6" w:rsidRPr="00F3638A" w:rsidRDefault="00E928F6" w:rsidP="00AB3151">
            <w:pPr>
              <w:spacing w:after="0" w:line="240" w:lineRule="auto"/>
              <w:rPr>
                <w:rFonts w:ascii="Calibri" w:eastAsia="Times New Roman" w:hAnsi="Calibri" w:cs="Times New Roman"/>
                <w:color w:val="000000"/>
                <w:sz w:val="16"/>
                <w:szCs w:val="16"/>
                <w:lang w:eastAsia="en-GB"/>
              </w:rPr>
            </w:pPr>
            <w:r w:rsidRPr="00F3638A">
              <w:rPr>
                <w:rFonts w:ascii="Calibri" w:eastAsia="Times New Roman" w:hAnsi="Calibri" w:cs="Times New Roman"/>
                <w:color w:val="000000"/>
                <w:sz w:val="16"/>
                <w:szCs w:val="16"/>
                <w:lang w:eastAsia="en-GB"/>
              </w:rPr>
              <w:t xml:space="preserve">   - Northeast region</w:t>
            </w:r>
            <w:r w:rsidRPr="00F3638A">
              <w:rPr>
                <w:rFonts w:ascii="Calibri" w:eastAsia="Times New Roman" w:hAnsi="Calibri" w:cs="Times New Roman"/>
                <w:color w:val="000000"/>
                <w:sz w:val="16"/>
                <w:szCs w:val="16"/>
                <w:vertAlign w:val="superscript"/>
                <w:lang w:eastAsia="en-GB"/>
              </w:rPr>
              <w:t>1</w:t>
            </w:r>
          </w:p>
        </w:tc>
        <w:tc>
          <w:tcPr>
            <w:tcW w:w="865" w:type="dxa"/>
            <w:tcBorders>
              <w:top w:val="nil"/>
              <w:left w:val="nil"/>
              <w:bottom w:val="nil"/>
              <w:right w:val="nil"/>
            </w:tcBorders>
            <w:shd w:val="clear" w:color="auto" w:fill="auto"/>
            <w:noWrap/>
            <w:vAlign w:val="center"/>
            <w:hideMark/>
          </w:tcPr>
          <w:p w14:paraId="43BA333E" w14:textId="77777777" w:rsidR="00E928F6" w:rsidRPr="00F3638A" w:rsidRDefault="00E928F6" w:rsidP="00AB3151">
            <w:pPr>
              <w:spacing w:after="0" w:line="240" w:lineRule="auto"/>
              <w:jc w:val="right"/>
              <w:rPr>
                <w:rFonts w:ascii="Calibri" w:eastAsia="Times New Roman" w:hAnsi="Calibri" w:cs="Times New Roman"/>
                <w:color w:val="000000"/>
                <w:sz w:val="16"/>
                <w:szCs w:val="16"/>
                <w:lang w:eastAsia="en-GB"/>
              </w:rPr>
            </w:pPr>
            <w:r>
              <w:rPr>
                <w:rFonts w:ascii="Calibri" w:hAnsi="Calibri"/>
                <w:color w:val="000000"/>
                <w:sz w:val="16"/>
                <w:szCs w:val="16"/>
              </w:rPr>
              <w:t>9,071</w:t>
            </w:r>
          </w:p>
        </w:tc>
        <w:tc>
          <w:tcPr>
            <w:tcW w:w="848" w:type="dxa"/>
            <w:tcBorders>
              <w:top w:val="nil"/>
              <w:left w:val="nil"/>
              <w:bottom w:val="nil"/>
              <w:right w:val="nil"/>
            </w:tcBorders>
            <w:shd w:val="clear" w:color="auto" w:fill="auto"/>
            <w:noWrap/>
            <w:vAlign w:val="center"/>
            <w:hideMark/>
          </w:tcPr>
          <w:p w14:paraId="594CB301" w14:textId="77777777" w:rsidR="00E928F6" w:rsidRPr="00F3638A" w:rsidRDefault="00E928F6" w:rsidP="00AB3151">
            <w:pPr>
              <w:spacing w:after="0" w:line="240" w:lineRule="auto"/>
              <w:jc w:val="right"/>
              <w:rPr>
                <w:rFonts w:ascii="Calibri" w:eastAsia="Times New Roman" w:hAnsi="Calibri" w:cs="Times New Roman"/>
                <w:color w:val="000000"/>
                <w:sz w:val="16"/>
                <w:szCs w:val="16"/>
                <w:lang w:eastAsia="en-GB"/>
              </w:rPr>
            </w:pPr>
            <w:r>
              <w:rPr>
                <w:rFonts w:ascii="Calibri" w:hAnsi="Calibri"/>
                <w:color w:val="000000"/>
                <w:sz w:val="16"/>
                <w:szCs w:val="16"/>
              </w:rPr>
              <w:t>0.0025%</w:t>
            </w:r>
          </w:p>
        </w:tc>
      </w:tr>
      <w:tr w:rsidR="00E928F6" w:rsidRPr="00F3638A" w14:paraId="3469F873" w14:textId="77777777" w:rsidTr="00AB3151">
        <w:trPr>
          <w:trHeight w:val="255"/>
          <w:jc w:val="center"/>
        </w:trPr>
        <w:tc>
          <w:tcPr>
            <w:tcW w:w="2767" w:type="dxa"/>
            <w:tcBorders>
              <w:top w:val="nil"/>
              <w:left w:val="nil"/>
              <w:bottom w:val="nil"/>
              <w:right w:val="nil"/>
            </w:tcBorders>
            <w:shd w:val="clear" w:color="auto" w:fill="auto"/>
            <w:noWrap/>
            <w:vAlign w:val="bottom"/>
            <w:hideMark/>
          </w:tcPr>
          <w:p w14:paraId="28FBF2BE" w14:textId="77777777" w:rsidR="00E928F6" w:rsidRPr="00F3638A" w:rsidRDefault="00E928F6" w:rsidP="00AB3151">
            <w:pPr>
              <w:spacing w:after="0" w:line="240" w:lineRule="auto"/>
              <w:rPr>
                <w:rFonts w:ascii="Calibri" w:eastAsia="Times New Roman" w:hAnsi="Calibri" w:cs="Times New Roman"/>
                <w:color w:val="000000"/>
                <w:sz w:val="16"/>
                <w:szCs w:val="16"/>
                <w:lang w:eastAsia="en-GB"/>
              </w:rPr>
            </w:pPr>
            <w:r w:rsidRPr="00F3638A">
              <w:rPr>
                <w:rFonts w:ascii="Calibri" w:eastAsia="Times New Roman" w:hAnsi="Calibri" w:cs="Times New Roman"/>
                <w:color w:val="000000"/>
                <w:sz w:val="16"/>
                <w:szCs w:val="16"/>
                <w:lang w:eastAsia="en-GB"/>
              </w:rPr>
              <w:t xml:space="preserve">   - South region</w:t>
            </w:r>
            <w:r w:rsidRPr="00F3638A">
              <w:rPr>
                <w:rFonts w:ascii="Calibri" w:eastAsia="Times New Roman" w:hAnsi="Calibri" w:cs="Times New Roman"/>
                <w:color w:val="000000"/>
                <w:sz w:val="16"/>
                <w:szCs w:val="16"/>
                <w:vertAlign w:val="superscript"/>
                <w:lang w:eastAsia="en-GB"/>
              </w:rPr>
              <w:t>1</w:t>
            </w:r>
          </w:p>
        </w:tc>
        <w:tc>
          <w:tcPr>
            <w:tcW w:w="865" w:type="dxa"/>
            <w:tcBorders>
              <w:top w:val="nil"/>
              <w:left w:val="nil"/>
              <w:bottom w:val="nil"/>
              <w:right w:val="nil"/>
            </w:tcBorders>
            <w:shd w:val="clear" w:color="auto" w:fill="auto"/>
            <w:noWrap/>
            <w:vAlign w:val="center"/>
            <w:hideMark/>
          </w:tcPr>
          <w:p w14:paraId="649C312C" w14:textId="77777777" w:rsidR="00E928F6" w:rsidRPr="00F3638A" w:rsidRDefault="00E928F6" w:rsidP="00AB3151">
            <w:pPr>
              <w:spacing w:after="0" w:line="240" w:lineRule="auto"/>
              <w:jc w:val="right"/>
              <w:rPr>
                <w:rFonts w:ascii="Calibri" w:eastAsia="Times New Roman" w:hAnsi="Calibri" w:cs="Times New Roman"/>
                <w:color w:val="000000"/>
                <w:sz w:val="16"/>
                <w:szCs w:val="16"/>
                <w:lang w:eastAsia="en-GB"/>
              </w:rPr>
            </w:pPr>
            <w:r>
              <w:rPr>
                <w:rFonts w:ascii="Calibri" w:hAnsi="Calibri"/>
                <w:color w:val="000000"/>
                <w:sz w:val="16"/>
                <w:szCs w:val="16"/>
              </w:rPr>
              <w:t>9,829</w:t>
            </w:r>
          </w:p>
        </w:tc>
        <w:tc>
          <w:tcPr>
            <w:tcW w:w="848" w:type="dxa"/>
            <w:tcBorders>
              <w:top w:val="nil"/>
              <w:left w:val="nil"/>
              <w:bottom w:val="nil"/>
              <w:right w:val="nil"/>
            </w:tcBorders>
            <w:shd w:val="clear" w:color="auto" w:fill="auto"/>
            <w:noWrap/>
            <w:vAlign w:val="center"/>
            <w:hideMark/>
          </w:tcPr>
          <w:p w14:paraId="57175021" w14:textId="77777777" w:rsidR="00E928F6" w:rsidRPr="00F3638A" w:rsidRDefault="00E928F6" w:rsidP="00AB3151">
            <w:pPr>
              <w:spacing w:after="0" w:line="240" w:lineRule="auto"/>
              <w:jc w:val="right"/>
              <w:rPr>
                <w:rFonts w:ascii="Calibri" w:eastAsia="Times New Roman" w:hAnsi="Calibri" w:cs="Times New Roman"/>
                <w:color w:val="000000"/>
                <w:sz w:val="16"/>
                <w:szCs w:val="16"/>
                <w:lang w:eastAsia="en-GB"/>
              </w:rPr>
            </w:pPr>
            <w:r>
              <w:rPr>
                <w:rFonts w:ascii="Calibri" w:hAnsi="Calibri"/>
                <w:color w:val="000000"/>
                <w:sz w:val="16"/>
                <w:szCs w:val="16"/>
              </w:rPr>
              <w:t>0.0052%</w:t>
            </w:r>
          </w:p>
        </w:tc>
      </w:tr>
      <w:tr w:rsidR="00E928F6" w:rsidRPr="00F3638A" w14:paraId="2AB471BC" w14:textId="77777777" w:rsidTr="00AB3151">
        <w:trPr>
          <w:trHeight w:val="255"/>
          <w:jc w:val="center"/>
        </w:trPr>
        <w:tc>
          <w:tcPr>
            <w:tcW w:w="2767" w:type="dxa"/>
            <w:tcBorders>
              <w:top w:val="nil"/>
              <w:left w:val="nil"/>
              <w:bottom w:val="nil"/>
              <w:right w:val="nil"/>
            </w:tcBorders>
            <w:shd w:val="clear" w:color="auto" w:fill="auto"/>
            <w:noWrap/>
            <w:vAlign w:val="bottom"/>
            <w:hideMark/>
          </w:tcPr>
          <w:p w14:paraId="606D3449" w14:textId="77777777" w:rsidR="00E928F6" w:rsidRPr="00F3638A" w:rsidRDefault="00E928F6" w:rsidP="00AB3151">
            <w:pPr>
              <w:spacing w:after="0" w:line="240" w:lineRule="auto"/>
              <w:rPr>
                <w:rFonts w:ascii="Calibri" w:eastAsia="Times New Roman" w:hAnsi="Calibri" w:cs="Times New Roman"/>
                <w:color w:val="000000"/>
                <w:sz w:val="16"/>
                <w:szCs w:val="16"/>
                <w:lang w:eastAsia="en-GB"/>
              </w:rPr>
            </w:pPr>
            <w:r w:rsidRPr="00F3638A">
              <w:rPr>
                <w:rFonts w:ascii="Calibri" w:eastAsia="Times New Roman" w:hAnsi="Calibri" w:cs="Times New Roman"/>
                <w:color w:val="000000"/>
                <w:sz w:val="16"/>
                <w:szCs w:val="16"/>
                <w:lang w:eastAsia="en-GB"/>
              </w:rPr>
              <w:t xml:space="preserve">   - urban</w:t>
            </w:r>
            <w:r w:rsidRPr="00F3638A">
              <w:rPr>
                <w:rFonts w:ascii="Calibri" w:eastAsia="Times New Roman" w:hAnsi="Calibri" w:cs="Times New Roman"/>
                <w:color w:val="000000"/>
                <w:sz w:val="16"/>
                <w:szCs w:val="16"/>
                <w:vertAlign w:val="superscript"/>
                <w:lang w:eastAsia="en-GB"/>
              </w:rPr>
              <w:t>1</w:t>
            </w:r>
          </w:p>
        </w:tc>
        <w:tc>
          <w:tcPr>
            <w:tcW w:w="865" w:type="dxa"/>
            <w:tcBorders>
              <w:top w:val="nil"/>
              <w:left w:val="nil"/>
              <w:bottom w:val="nil"/>
              <w:right w:val="nil"/>
            </w:tcBorders>
            <w:shd w:val="clear" w:color="auto" w:fill="auto"/>
            <w:noWrap/>
            <w:vAlign w:val="center"/>
            <w:hideMark/>
          </w:tcPr>
          <w:p w14:paraId="587BAC8F" w14:textId="77777777" w:rsidR="00E928F6" w:rsidRPr="00F3638A" w:rsidRDefault="00E928F6" w:rsidP="00AB3151">
            <w:pPr>
              <w:spacing w:after="0" w:line="240" w:lineRule="auto"/>
              <w:jc w:val="right"/>
              <w:rPr>
                <w:rFonts w:ascii="Calibri" w:eastAsia="Times New Roman" w:hAnsi="Calibri" w:cs="Times New Roman"/>
                <w:color w:val="000000"/>
                <w:sz w:val="16"/>
                <w:szCs w:val="16"/>
                <w:lang w:eastAsia="en-GB"/>
              </w:rPr>
            </w:pPr>
            <w:r>
              <w:rPr>
                <w:rFonts w:ascii="Calibri" w:hAnsi="Calibri"/>
                <w:color w:val="000000"/>
                <w:sz w:val="16"/>
                <w:szCs w:val="16"/>
              </w:rPr>
              <w:t>40,293</w:t>
            </w:r>
          </w:p>
        </w:tc>
        <w:tc>
          <w:tcPr>
            <w:tcW w:w="848" w:type="dxa"/>
            <w:tcBorders>
              <w:top w:val="nil"/>
              <w:left w:val="nil"/>
              <w:bottom w:val="nil"/>
              <w:right w:val="nil"/>
            </w:tcBorders>
            <w:shd w:val="clear" w:color="auto" w:fill="auto"/>
            <w:noWrap/>
            <w:vAlign w:val="center"/>
            <w:hideMark/>
          </w:tcPr>
          <w:p w14:paraId="1B97D433" w14:textId="77777777" w:rsidR="00E928F6" w:rsidRPr="00F3638A" w:rsidRDefault="00E928F6" w:rsidP="00AB3151">
            <w:pPr>
              <w:spacing w:after="0" w:line="240" w:lineRule="auto"/>
              <w:jc w:val="right"/>
              <w:rPr>
                <w:rFonts w:ascii="Calibri" w:eastAsia="Times New Roman" w:hAnsi="Calibri" w:cs="Times New Roman"/>
                <w:color w:val="000000"/>
                <w:sz w:val="16"/>
                <w:szCs w:val="16"/>
                <w:lang w:eastAsia="en-GB"/>
              </w:rPr>
            </w:pPr>
            <w:r>
              <w:rPr>
                <w:rFonts w:ascii="Calibri" w:hAnsi="Calibri"/>
                <w:color w:val="000000"/>
                <w:sz w:val="16"/>
                <w:szCs w:val="16"/>
              </w:rPr>
              <w:t>0.0053%</w:t>
            </w:r>
          </w:p>
        </w:tc>
      </w:tr>
      <w:tr w:rsidR="00E928F6" w:rsidRPr="00F3638A" w14:paraId="296BCB86" w14:textId="77777777" w:rsidTr="00AB3151">
        <w:trPr>
          <w:trHeight w:val="255"/>
          <w:jc w:val="center"/>
        </w:trPr>
        <w:tc>
          <w:tcPr>
            <w:tcW w:w="2767" w:type="dxa"/>
            <w:tcBorders>
              <w:top w:val="nil"/>
              <w:left w:val="nil"/>
              <w:bottom w:val="nil"/>
              <w:right w:val="nil"/>
            </w:tcBorders>
            <w:shd w:val="clear" w:color="auto" w:fill="auto"/>
            <w:noWrap/>
            <w:vAlign w:val="bottom"/>
            <w:hideMark/>
          </w:tcPr>
          <w:p w14:paraId="677BFE87" w14:textId="77777777" w:rsidR="00E928F6" w:rsidRPr="00F3638A" w:rsidRDefault="00E928F6" w:rsidP="00AB3151">
            <w:pPr>
              <w:spacing w:after="0" w:line="240" w:lineRule="auto"/>
              <w:rPr>
                <w:rFonts w:ascii="Calibri" w:eastAsia="Times New Roman" w:hAnsi="Calibri" w:cs="Times New Roman"/>
                <w:color w:val="000000"/>
                <w:sz w:val="16"/>
                <w:szCs w:val="16"/>
                <w:lang w:eastAsia="en-GB"/>
              </w:rPr>
            </w:pPr>
            <w:r w:rsidRPr="00F3638A">
              <w:rPr>
                <w:rFonts w:ascii="Calibri" w:eastAsia="Times New Roman" w:hAnsi="Calibri" w:cs="Times New Roman"/>
                <w:color w:val="000000"/>
                <w:sz w:val="16"/>
                <w:szCs w:val="16"/>
                <w:lang w:eastAsia="en-GB"/>
              </w:rPr>
              <w:t xml:space="preserve">   - rural</w:t>
            </w:r>
            <w:r w:rsidRPr="00F3638A">
              <w:rPr>
                <w:rFonts w:ascii="Calibri" w:eastAsia="Times New Roman" w:hAnsi="Calibri" w:cs="Times New Roman"/>
                <w:color w:val="000000"/>
                <w:sz w:val="16"/>
                <w:szCs w:val="16"/>
                <w:vertAlign w:val="superscript"/>
                <w:lang w:eastAsia="en-GB"/>
              </w:rPr>
              <w:t>1</w:t>
            </w:r>
          </w:p>
        </w:tc>
        <w:tc>
          <w:tcPr>
            <w:tcW w:w="865" w:type="dxa"/>
            <w:tcBorders>
              <w:top w:val="nil"/>
              <w:left w:val="nil"/>
              <w:bottom w:val="nil"/>
              <w:right w:val="nil"/>
            </w:tcBorders>
            <w:shd w:val="clear" w:color="auto" w:fill="auto"/>
            <w:noWrap/>
            <w:vAlign w:val="center"/>
            <w:hideMark/>
          </w:tcPr>
          <w:p w14:paraId="1AE07AF4" w14:textId="77777777" w:rsidR="00E928F6" w:rsidRPr="00F3638A" w:rsidRDefault="00E928F6" w:rsidP="00AB3151">
            <w:pPr>
              <w:spacing w:after="0" w:line="240" w:lineRule="auto"/>
              <w:jc w:val="right"/>
              <w:rPr>
                <w:rFonts w:ascii="Calibri" w:eastAsia="Times New Roman" w:hAnsi="Calibri" w:cs="Times New Roman"/>
                <w:color w:val="000000"/>
                <w:sz w:val="16"/>
                <w:szCs w:val="16"/>
                <w:lang w:eastAsia="en-GB"/>
              </w:rPr>
            </w:pPr>
            <w:r>
              <w:rPr>
                <w:rFonts w:ascii="Calibri" w:hAnsi="Calibri"/>
                <w:color w:val="000000"/>
                <w:sz w:val="16"/>
                <w:szCs w:val="16"/>
              </w:rPr>
              <w:t>9,642</w:t>
            </w:r>
          </w:p>
        </w:tc>
        <w:tc>
          <w:tcPr>
            <w:tcW w:w="848" w:type="dxa"/>
            <w:tcBorders>
              <w:top w:val="nil"/>
              <w:left w:val="nil"/>
              <w:bottom w:val="nil"/>
              <w:right w:val="nil"/>
            </w:tcBorders>
            <w:shd w:val="clear" w:color="auto" w:fill="auto"/>
            <w:noWrap/>
            <w:vAlign w:val="center"/>
            <w:hideMark/>
          </w:tcPr>
          <w:p w14:paraId="30D9AA6C" w14:textId="77777777" w:rsidR="00E928F6" w:rsidRPr="00F3638A" w:rsidRDefault="00E928F6" w:rsidP="00AB3151">
            <w:pPr>
              <w:spacing w:after="0" w:line="240" w:lineRule="auto"/>
              <w:jc w:val="right"/>
              <w:rPr>
                <w:rFonts w:ascii="Calibri" w:eastAsia="Times New Roman" w:hAnsi="Calibri" w:cs="Times New Roman"/>
                <w:color w:val="000000"/>
                <w:sz w:val="16"/>
                <w:szCs w:val="16"/>
                <w:lang w:eastAsia="en-GB"/>
              </w:rPr>
            </w:pPr>
            <w:r>
              <w:rPr>
                <w:rFonts w:ascii="Calibri" w:hAnsi="Calibri"/>
                <w:color w:val="000000"/>
                <w:sz w:val="16"/>
                <w:szCs w:val="16"/>
              </w:rPr>
              <w:t>0.0017%</w:t>
            </w:r>
          </w:p>
        </w:tc>
      </w:tr>
      <w:tr w:rsidR="00E928F6" w:rsidRPr="00F3638A" w14:paraId="2BAECA6D" w14:textId="77777777" w:rsidTr="00AB3151">
        <w:trPr>
          <w:trHeight w:val="225"/>
          <w:jc w:val="center"/>
        </w:trPr>
        <w:tc>
          <w:tcPr>
            <w:tcW w:w="2767" w:type="dxa"/>
            <w:tcBorders>
              <w:top w:val="nil"/>
              <w:left w:val="nil"/>
              <w:bottom w:val="nil"/>
              <w:right w:val="nil"/>
            </w:tcBorders>
            <w:shd w:val="clear" w:color="auto" w:fill="auto"/>
            <w:noWrap/>
            <w:vAlign w:val="bottom"/>
            <w:hideMark/>
          </w:tcPr>
          <w:p w14:paraId="276BA8CD" w14:textId="77777777" w:rsidR="00E928F6" w:rsidRPr="00F3638A" w:rsidRDefault="00E928F6" w:rsidP="00AB3151">
            <w:pPr>
              <w:spacing w:after="0" w:line="240" w:lineRule="auto"/>
              <w:jc w:val="right"/>
              <w:rPr>
                <w:rFonts w:ascii="Calibri" w:eastAsia="Times New Roman" w:hAnsi="Calibri" w:cs="Times New Roman"/>
                <w:color w:val="000000"/>
                <w:sz w:val="16"/>
                <w:szCs w:val="16"/>
                <w:lang w:eastAsia="en-GB"/>
              </w:rPr>
            </w:pPr>
          </w:p>
        </w:tc>
        <w:tc>
          <w:tcPr>
            <w:tcW w:w="865" w:type="dxa"/>
            <w:tcBorders>
              <w:top w:val="single" w:sz="4" w:space="0" w:color="auto"/>
              <w:left w:val="nil"/>
              <w:bottom w:val="nil"/>
              <w:right w:val="nil"/>
            </w:tcBorders>
            <w:shd w:val="clear" w:color="auto" w:fill="auto"/>
            <w:noWrap/>
            <w:vAlign w:val="center"/>
            <w:hideMark/>
          </w:tcPr>
          <w:p w14:paraId="68378122" w14:textId="77777777" w:rsidR="00E928F6" w:rsidRPr="00F3638A" w:rsidRDefault="00E928F6" w:rsidP="00AB3151">
            <w:pPr>
              <w:spacing w:after="0" w:line="240" w:lineRule="auto"/>
              <w:rPr>
                <w:rFonts w:ascii="Calibri" w:eastAsia="Times New Roman" w:hAnsi="Calibri" w:cs="Times New Roman"/>
                <w:color w:val="000000"/>
                <w:sz w:val="16"/>
                <w:szCs w:val="16"/>
                <w:lang w:eastAsia="en-GB"/>
              </w:rPr>
            </w:pPr>
            <w:r>
              <w:rPr>
                <w:rFonts w:ascii="Calibri" w:hAnsi="Calibri"/>
                <w:color w:val="000000"/>
                <w:sz w:val="16"/>
                <w:szCs w:val="16"/>
              </w:rPr>
              <w:t xml:space="preserve"> #persons</w:t>
            </w:r>
          </w:p>
        </w:tc>
        <w:tc>
          <w:tcPr>
            <w:tcW w:w="848" w:type="dxa"/>
            <w:tcBorders>
              <w:top w:val="single" w:sz="4" w:space="0" w:color="auto"/>
              <w:left w:val="nil"/>
              <w:bottom w:val="nil"/>
              <w:right w:val="nil"/>
            </w:tcBorders>
            <w:shd w:val="clear" w:color="auto" w:fill="auto"/>
            <w:noWrap/>
            <w:vAlign w:val="center"/>
            <w:hideMark/>
          </w:tcPr>
          <w:p w14:paraId="3461EC30" w14:textId="77777777" w:rsidR="00E928F6" w:rsidRPr="00F3638A" w:rsidRDefault="00E928F6" w:rsidP="00AB3151">
            <w:pPr>
              <w:spacing w:after="0" w:line="240" w:lineRule="auto"/>
              <w:rPr>
                <w:rFonts w:ascii="Calibri" w:eastAsia="Times New Roman" w:hAnsi="Calibri" w:cs="Times New Roman"/>
                <w:color w:val="000000"/>
                <w:sz w:val="16"/>
                <w:szCs w:val="16"/>
                <w:lang w:eastAsia="en-GB"/>
              </w:rPr>
            </w:pPr>
            <w:r>
              <w:rPr>
                <w:rFonts w:ascii="Calibri" w:hAnsi="Calibri"/>
                <w:color w:val="000000"/>
                <w:sz w:val="16"/>
                <w:szCs w:val="16"/>
              </w:rPr>
              <w:t>% of total</w:t>
            </w:r>
          </w:p>
        </w:tc>
      </w:tr>
      <w:tr w:rsidR="00E928F6" w:rsidRPr="00F3638A" w14:paraId="66F8C607" w14:textId="77777777" w:rsidTr="00AB3151">
        <w:trPr>
          <w:trHeight w:val="225"/>
          <w:jc w:val="center"/>
        </w:trPr>
        <w:tc>
          <w:tcPr>
            <w:tcW w:w="2767" w:type="dxa"/>
            <w:tcBorders>
              <w:top w:val="nil"/>
              <w:left w:val="nil"/>
              <w:bottom w:val="nil"/>
              <w:right w:val="nil"/>
            </w:tcBorders>
            <w:shd w:val="clear" w:color="auto" w:fill="auto"/>
            <w:noWrap/>
            <w:vAlign w:val="bottom"/>
            <w:hideMark/>
          </w:tcPr>
          <w:p w14:paraId="6B987B08" w14:textId="77777777" w:rsidR="00E928F6" w:rsidRPr="00F3638A" w:rsidRDefault="00E928F6" w:rsidP="00AB3151">
            <w:pPr>
              <w:spacing w:after="0" w:line="240" w:lineRule="auto"/>
              <w:rPr>
                <w:rFonts w:ascii="Calibri" w:eastAsia="Times New Roman" w:hAnsi="Calibri" w:cs="Times New Roman"/>
                <w:color w:val="000000"/>
                <w:sz w:val="16"/>
                <w:szCs w:val="16"/>
                <w:lang w:eastAsia="en-GB"/>
              </w:rPr>
            </w:pPr>
            <w:r w:rsidRPr="00F3638A">
              <w:rPr>
                <w:rFonts w:ascii="Calibri" w:eastAsia="Times New Roman" w:hAnsi="Calibri" w:cs="Times New Roman"/>
                <w:color w:val="000000"/>
                <w:sz w:val="16"/>
                <w:szCs w:val="16"/>
                <w:lang w:eastAsia="en-GB"/>
              </w:rPr>
              <w:t>Δpopulation (long run, 2035)</w:t>
            </w:r>
          </w:p>
        </w:tc>
        <w:tc>
          <w:tcPr>
            <w:tcW w:w="865" w:type="dxa"/>
            <w:tcBorders>
              <w:top w:val="nil"/>
              <w:left w:val="nil"/>
              <w:bottom w:val="nil"/>
              <w:right w:val="nil"/>
            </w:tcBorders>
            <w:shd w:val="clear" w:color="auto" w:fill="auto"/>
            <w:noWrap/>
            <w:vAlign w:val="center"/>
            <w:hideMark/>
          </w:tcPr>
          <w:p w14:paraId="53B4CE07" w14:textId="77777777" w:rsidR="00E928F6" w:rsidRPr="00F3638A" w:rsidRDefault="00E928F6" w:rsidP="00AB3151">
            <w:pPr>
              <w:spacing w:after="0" w:line="240" w:lineRule="auto"/>
              <w:jc w:val="right"/>
              <w:rPr>
                <w:rFonts w:ascii="Calibri" w:eastAsia="Times New Roman" w:hAnsi="Calibri" w:cs="Times New Roman"/>
                <w:color w:val="000000"/>
                <w:sz w:val="16"/>
                <w:szCs w:val="16"/>
                <w:lang w:eastAsia="en-GB"/>
              </w:rPr>
            </w:pPr>
            <w:r>
              <w:rPr>
                <w:rFonts w:ascii="Calibri" w:hAnsi="Calibri"/>
                <w:color w:val="000000"/>
                <w:sz w:val="16"/>
                <w:szCs w:val="16"/>
              </w:rPr>
              <w:t>5,004</w:t>
            </w:r>
          </w:p>
        </w:tc>
        <w:tc>
          <w:tcPr>
            <w:tcW w:w="848" w:type="dxa"/>
            <w:tcBorders>
              <w:top w:val="nil"/>
              <w:left w:val="nil"/>
              <w:bottom w:val="nil"/>
              <w:right w:val="nil"/>
            </w:tcBorders>
            <w:shd w:val="clear" w:color="auto" w:fill="auto"/>
            <w:noWrap/>
            <w:vAlign w:val="center"/>
            <w:hideMark/>
          </w:tcPr>
          <w:p w14:paraId="5A50C094" w14:textId="77777777" w:rsidR="00E928F6" w:rsidRPr="00F3638A" w:rsidRDefault="00E928F6" w:rsidP="00AB3151">
            <w:pPr>
              <w:spacing w:after="0" w:line="240" w:lineRule="auto"/>
              <w:jc w:val="right"/>
              <w:rPr>
                <w:rFonts w:ascii="Calibri" w:eastAsia="Times New Roman" w:hAnsi="Calibri" w:cs="Times New Roman"/>
                <w:color w:val="000000"/>
                <w:sz w:val="16"/>
                <w:szCs w:val="16"/>
                <w:lang w:eastAsia="en-GB"/>
              </w:rPr>
            </w:pPr>
            <w:r>
              <w:rPr>
                <w:rFonts w:ascii="Calibri" w:hAnsi="Calibri"/>
                <w:color w:val="000000"/>
                <w:sz w:val="16"/>
                <w:szCs w:val="16"/>
              </w:rPr>
              <w:t>0.0072%</w:t>
            </w:r>
          </w:p>
        </w:tc>
      </w:tr>
      <w:tr w:rsidR="00E928F6" w:rsidRPr="00F3638A" w14:paraId="076CF67F" w14:textId="77777777" w:rsidTr="00AB3151">
        <w:trPr>
          <w:trHeight w:val="255"/>
          <w:jc w:val="center"/>
        </w:trPr>
        <w:tc>
          <w:tcPr>
            <w:tcW w:w="2767" w:type="dxa"/>
            <w:tcBorders>
              <w:top w:val="nil"/>
              <w:left w:val="nil"/>
              <w:bottom w:val="nil"/>
              <w:right w:val="nil"/>
            </w:tcBorders>
            <w:shd w:val="clear" w:color="auto" w:fill="auto"/>
            <w:noWrap/>
            <w:vAlign w:val="bottom"/>
            <w:hideMark/>
          </w:tcPr>
          <w:p w14:paraId="70D1F9B2" w14:textId="77777777" w:rsidR="00E928F6" w:rsidRPr="00F3638A" w:rsidRDefault="00E928F6" w:rsidP="00AB3151">
            <w:pPr>
              <w:spacing w:after="0" w:line="240" w:lineRule="auto"/>
              <w:rPr>
                <w:rFonts w:ascii="Calibri" w:eastAsia="Times New Roman" w:hAnsi="Calibri" w:cs="Times New Roman"/>
                <w:color w:val="000000"/>
                <w:sz w:val="16"/>
                <w:szCs w:val="16"/>
                <w:lang w:eastAsia="en-GB"/>
              </w:rPr>
            </w:pPr>
            <w:r w:rsidRPr="00F3638A">
              <w:rPr>
                <w:rFonts w:ascii="Calibri" w:eastAsia="Times New Roman" w:hAnsi="Calibri" w:cs="Times New Roman"/>
                <w:color w:val="000000"/>
                <w:sz w:val="16"/>
                <w:szCs w:val="16"/>
                <w:lang w:eastAsia="en-GB"/>
              </w:rPr>
              <w:t xml:space="preserve">   - Bangkok</w:t>
            </w:r>
            <w:r w:rsidRPr="00F3638A">
              <w:rPr>
                <w:rFonts w:ascii="Calibri" w:eastAsia="Times New Roman" w:hAnsi="Calibri" w:cs="Times New Roman"/>
                <w:color w:val="000000"/>
                <w:sz w:val="16"/>
                <w:szCs w:val="16"/>
                <w:vertAlign w:val="superscript"/>
                <w:lang w:eastAsia="en-GB"/>
              </w:rPr>
              <w:t>1</w:t>
            </w:r>
          </w:p>
        </w:tc>
        <w:tc>
          <w:tcPr>
            <w:tcW w:w="865" w:type="dxa"/>
            <w:tcBorders>
              <w:top w:val="nil"/>
              <w:left w:val="nil"/>
              <w:bottom w:val="nil"/>
              <w:right w:val="nil"/>
            </w:tcBorders>
            <w:shd w:val="clear" w:color="auto" w:fill="auto"/>
            <w:noWrap/>
            <w:vAlign w:val="center"/>
            <w:hideMark/>
          </w:tcPr>
          <w:p w14:paraId="426504DF" w14:textId="77777777" w:rsidR="00E928F6" w:rsidRPr="00F3638A" w:rsidRDefault="00E928F6" w:rsidP="00AB3151">
            <w:pPr>
              <w:spacing w:after="0" w:line="240" w:lineRule="auto"/>
              <w:jc w:val="right"/>
              <w:rPr>
                <w:rFonts w:ascii="Calibri" w:eastAsia="Times New Roman" w:hAnsi="Calibri" w:cs="Times New Roman"/>
                <w:color w:val="000000"/>
                <w:sz w:val="16"/>
                <w:szCs w:val="16"/>
                <w:lang w:eastAsia="en-GB"/>
              </w:rPr>
            </w:pPr>
            <w:r>
              <w:rPr>
                <w:rFonts w:ascii="Calibri" w:hAnsi="Calibri"/>
                <w:color w:val="000000"/>
                <w:sz w:val="16"/>
                <w:szCs w:val="16"/>
              </w:rPr>
              <w:t>880</w:t>
            </w:r>
          </w:p>
        </w:tc>
        <w:tc>
          <w:tcPr>
            <w:tcW w:w="848" w:type="dxa"/>
            <w:tcBorders>
              <w:top w:val="nil"/>
              <w:left w:val="nil"/>
              <w:bottom w:val="nil"/>
              <w:right w:val="nil"/>
            </w:tcBorders>
            <w:shd w:val="clear" w:color="auto" w:fill="auto"/>
            <w:noWrap/>
            <w:vAlign w:val="center"/>
            <w:hideMark/>
          </w:tcPr>
          <w:p w14:paraId="3878A55F" w14:textId="77777777" w:rsidR="00E928F6" w:rsidRPr="00F3638A" w:rsidRDefault="00E928F6" w:rsidP="00AB3151">
            <w:pPr>
              <w:spacing w:after="0" w:line="240" w:lineRule="auto"/>
              <w:jc w:val="right"/>
              <w:rPr>
                <w:rFonts w:ascii="Calibri" w:eastAsia="Times New Roman" w:hAnsi="Calibri" w:cs="Times New Roman"/>
                <w:color w:val="000000"/>
                <w:sz w:val="16"/>
                <w:szCs w:val="16"/>
                <w:lang w:eastAsia="en-GB"/>
              </w:rPr>
            </w:pPr>
            <w:r>
              <w:rPr>
                <w:rFonts w:ascii="Calibri" w:hAnsi="Calibri"/>
                <w:color w:val="000000"/>
                <w:sz w:val="16"/>
                <w:szCs w:val="16"/>
              </w:rPr>
              <w:t>0.0108%</w:t>
            </w:r>
          </w:p>
        </w:tc>
      </w:tr>
      <w:tr w:rsidR="00E928F6" w:rsidRPr="00F3638A" w14:paraId="432F3B3A" w14:textId="77777777" w:rsidTr="00AB3151">
        <w:trPr>
          <w:trHeight w:val="255"/>
          <w:jc w:val="center"/>
        </w:trPr>
        <w:tc>
          <w:tcPr>
            <w:tcW w:w="2767" w:type="dxa"/>
            <w:tcBorders>
              <w:top w:val="nil"/>
              <w:left w:val="nil"/>
              <w:bottom w:val="nil"/>
              <w:right w:val="nil"/>
            </w:tcBorders>
            <w:shd w:val="clear" w:color="auto" w:fill="auto"/>
            <w:noWrap/>
            <w:vAlign w:val="bottom"/>
            <w:hideMark/>
          </w:tcPr>
          <w:p w14:paraId="7A391676" w14:textId="77777777" w:rsidR="00E928F6" w:rsidRPr="00F3638A" w:rsidRDefault="00E928F6" w:rsidP="00AB3151">
            <w:pPr>
              <w:spacing w:after="0" w:line="240" w:lineRule="auto"/>
              <w:rPr>
                <w:rFonts w:ascii="Calibri" w:eastAsia="Times New Roman" w:hAnsi="Calibri" w:cs="Times New Roman"/>
                <w:color w:val="000000"/>
                <w:sz w:val="16"/>
                <w:szCs w:val="16"/>
                <w:lang w:eastAsia="en-GB"/>
              </w:rPr>
            </w:pPr>
            <w:r w:rsidRPr="00F3638A">
              <w:rPr>
                <w:rFonts w:ascii="Calibri" w:eastAsia="Times New Roman" w:hAnsi="Calibri" w:cs="Times New Roman"/>
                <w:color w:val="000000"/>
                <w:sz w:val="16"/>
                <w:szCs w:val="16"/>
                <w:lang w:eastAsia="en-GB"/>
              </w:rPr>
              <w:t xml:space="preserve">   - Central region (exc Bangkok)</w:t>
            </w:r>
            <w:r w:rsidRPr="00F3638A">
              <w:rPr>
                <w:rFonts w:ascii="Calibri" w:eastAsia="Times New Roman" w:hAnsi="Calibri" w:cs="Times New Roman"/>
                <w:color w:val="000000"/>
                <w:sz w:val="16"/>
                <w:szCs w:val="16"/>
                <w:vertAlign w:val="superscript"/>
                <w:lang w:eastAsia="en-GB"/>
              </w:rPr>
              <w:t>1</w:t>
            </w:r>
          </w:p>
        </w:tc>
        <w:tc>
          <w:tcPr>
            <w:tcW w:w="865" w:type="dxa"/>
            <w:tcBorders>
              <w:top w:val="nil"/>
              <w:left w:val="nil"/>
              <w:bottom w:val="nil"/>
              <w:right w:val="nil"/>
            </w:tcBorders>
            <w:shd w:val="clear" w:color="auto" w:fill="auto"/>
            <w:noWrap/>
            <w:vAlign w:val="center"/>
            <w:hideMark/>
          </w:tcPr>
          <w:p w14:paraId="7B1FB323" w14:textId="77777777" w:rsidR="00E928F6" w:rsidRPr="00F3638A" w:rsidRDefault="00E928F6" w:rsidP="00AB3151">
            <w:pPr>
              <w:spacing w:after="0" w:line="240" w:lineRule="auto"/>
              <w:jc w:val="right"/>
              <w:rPr>
                <w:rFonts w:ascii="Calibri" w:eastAsia="Times New Roman" w:hAnsi="Calibri" w:cs="Times New Roman"/>
                <w:color w:val="000000"/>
                <w:sz w:val="16"/>
                <w:szCs w:val="16"/>
                <w:lang w:eastAsia="en-GB"/>
              </w:rPr>
            </w:pPr>
            <w:r>
              <w:rPr>
                <w:rFonts w:ascii="Calibri" w:hAnsi="Calibri"/>
                <w:color w:val="000000"/>
                <w:sz w:val="16"/>
                <w:szCs w:val="16"/>
              </w:rPr>
              <w:t>1,309</w:t>
            </w:r>
          </w:p>
        </w:tc>
        <w:tc>
          <w:tcPr>
            <w:tcW w:w="848" w:type="dxa"/>
            <w:tcBorders>
              <w:top w:val="nil"/>
              <w:left w:val="nil"/>
              <w:bottom w:val="nil"/>
              <w:right w:val="nil"/>
            </w:tcBorders>
            <w:shd w:val="clear" w:color="auto" w:fill="auto"/>
            <w:noWrap/>
            <w:vAlign w:val="center"/>
            <w:hideMark/>
          </w:tcPr>
          <w:p w14:paraId="0A2832BD" w14:textId="77777777" w:rsidR="00E928F6" w:rsidRPr="00F3638A" w:rsidRDefault="00E928F6" w:rsidP="00AB3151">
            <w:pPr>
              <w:spacing w:after="0" w:line="240" w:lineRule="auto"/>
              <w:jc w:val="right"/>
              <w:rPr>
                <w:rFonts w:ascii="Calibri" w:eastAsia="Times New Roman" w:hAnsi="Calibri" w:cs="Times New Roman"/>
                <w:color w:val="000000"/>
                <w:sz w:val="16"/>
                <w:szCs w:val="16"/>
                <w:lang w:eastAsia="en-GB"/>
              </w:rPr>
            </w:pPr>
            <w:r>
              <w:rPr>
                <w:rFonts w:ascii="Calibri" w:hAnsi="Calibri"/>
                <w:color w:val="000000"/>
                <w:sz w:val="16"/>
                <w:szCs w:val="16"/>
              </w:rPr>
              <w:t>0.0059%</w:t>
            </w:r>
          </w:p>
        </w:tc>
      </w:tr>
      <w:tr w:rsidR="00E928F6" w:rsidRPr="00F3638A" w14:paraId="291532E3" w14:textId="77777777" w:rsidTr="00AB3151">
        <w:trPr>
          <w:trHeight w:val="255"/>
          <w:jc w:val="center"/>
        </w:trPr>
        <w:tc>
          <w:tcPr>
            <w:tcW w:w="2767" w:type="dxa"/>
            <w:tcBorders>
              <w:top w:val="nil"/>
              <w:left w:val="nil"/>
              <w:bottom w:val="nil"/>
              <w:right w:val="nil"/>
            </w:tcBorders>
            <w:shd w:val="clear" w:color="auto" w:fill="auto"/>
            <w:noWrap/>
            <w:vAlign w:val="bottom"/>
            <w:hideMark/>
          </w:tcPr>
          <w:p w14:paraId="05FFED40" w14:textId="77777777" w:rsidR="00E928F6" w:rsidRPr="00F3638A" w:rsidRDefault="00E928F6" w:rsidP="00AB3151">
            <w:pPr>
              <w:spacing w:after="0" w:line="240" w:lineRule="auto"/>
              <w:rPr>
                <w:rFonts w:ascii="Calibri" w:eastAsia="Times New Roman" w:hAnsi="Calibri" w:cs="Times New Roman"/>
                <w:color w:val="000000"/>
                <w:sz w:val="16"/>
                <w:szCs w:val="16"/>
                <w:lang w:eastAsia="en-GB"/>
              </w:rPr>
            </w:pPr>
            <w:r w:rsidRPr="00F3638A">
              <w:rPr>
                <w:rFonts w:ascii="Calibri" w:eastAsia="Times New Roman" w:hAnsi="Calibri" w:cs="Times New Roman"/>
                <w:color w:val="000000"/>
                <w:sz w:val="16"/>
                <w:szCs w:val="16"/>
                <w:lang w:eastAsia="en-GB"/>
              </w:rPr>
              <w:t xml:space="preserve">   - North region</w:t>
            </w:r>
            <w:r w:rsidRPr="00F3638A">
              <w:rPr>
                <w:rFonts w:ascii="Calibri" w:eastAsia="Times New Roman" w:hAnsi="Calibri" w:cs="Times New Roman"/>
                <w:color w:val="000000"/>
                <w:sz w:val="16"/>
                <w:szCs w:val="16"/>
                <w:vertAlign w:val="superscript"/>
                <w:lang w:eastAsia="en-GB"/>
              </w:rPr>
              <w:t>1</w:t>
            </w:r>
          </w:p>
        </w:tc>
        <w:tc>
          <w:tcPr>
            <w:tcW w:w="865" w:type="dxa"/>
            <w:tcBorders>
              <w:top w:val="nil"/>
              <w:left w:val="nil"/>
              <w:bottom w:val="nil"/>
              <w:right w:val="nil"/>
            </w:tcBorders>
            <w:shd w:val="clear" w:color="auto" w:fill="auto"/>
            <w:noWrap/>
            <w:vAlign w:val="center"/>
            <w:hideMark/>
          </w:tcPr>
          <w:p w14:paraId="463D672C" w14:textId="77777777" w:rsidR="00E928F6" w:rsidRPr="00F3638A" w:rsidRDefault="00E928F6" w:rsidP="00AB3151">
            <w:pPr>
              <w:spacing w:after="0" w:line="240" w:lineRule="auto"/>
              <w:jc w:val="right"/>
              <w:rPr>
                <w:rFonts w:ascii="Calibri" w:eastAsia="Times New Roman" w:hAnsi="Calibri" w:cs="Times New Roman"/>
                <w:color w:val="000000"/>
                <w:sz w:val="16"/>
                <w:szCs w:val="16"/>
                <w:lang w:eastAsia="en-GB"/>
              </w:rPr>
            </w:pPr>
            <w:r>
              <w:rPr>
                <w:rFonts w:ascii="Calibri" w:hAnsi="Calibri"/>
                <w:color w:val="000000"/>
                <w:sz w:val="16"/>
                <w:szCs w:val="16"/>
              </w:rPr>
              <w:t>899</w:t>
            </w:r>
          </w:p>
        </w:tc>
        <w:tc>
          <w:tcPr>
            <w:tcW w:w="848" w:type="dxa"/>
            <w:tcBorders>
              <w:top w:val="nil"/>
              <w:left w:val="nil"/>
              <w:bottom w:val="nil"/>
              <w:right w:val="nil"/>
            </w:tcBorders>
            <w:shd w:val="clear" w:color="auto" w:fill="auto"/>
            <w:noWrap/>
            <w:vAlign w:val="center"/>
            <w:hideMark/>
          </w:tcPr>
          <w:p w14:paraId="3CABE24B" w14:textId="77777777" w:rsidR="00E928F6" w:rsidRPr="00F3638A" w:rsidRDefault="00E928F6" w:rsidP="00AB3151">
            <w:pPr>
              <w:spacing w:after="0" w:line="240" w:lineRule="auto"/>
              <w:jc w:val="right"/>
              <w:rPr>
                <w:rFonts w:ascii="Calibri" w:eastAsia="Times New Roman" w:hAnsi="Calibri" w:cs="Times New Roman"/>
                <w:color w:val="000000"/>
                <w:sz w:val="16"/>
                <w:szCs w:val="16"/>
                <w:lang w:eastAsia="en-GB"/>
              </w:rPr>
            </w:pPr>
            <w:r>
              <w:rPr>
                <w:rFonts w:ascii="Calibri" w:hAnsi="Calibri"/>
                <w:color w:val="000000"/>
                <w:sz w:val="16"/>
                <w:szCs w:val="16"/>
              </w:rPr>
              <w:t>0.0080%</w:t>
            </w:r>
          </w:p>
        </w:tc>
      </w:tr>
      <w:tr w:rsidR="00E928F6" w:rsidRPr="00F3638A" w14:paraId="0E356C85" w14:textId="77777777" w:rsidTr="00AB3151">
        <w:trPr>
          <w:trHeight w:val="255"/>
          <w:jc w:val="center"/>
        </w:trPr>
        <w:tc>
          <w:tcPr>
            <w:tcW w:w="2767" w:type="dxa"/>
            <w:tcBorders>
              <w:top w:val="nil"/>
              <w:left w:val="nil"/>
              <w:bottom w:val="nil"/>
              <w:right w:val="nil"/>
            </w:tcBorders>
            <w:shd w:val="clear" w:color="auto" w:fill="auto"/>
            <w:noWrap/>
            <w:vAlign w:val="bottom"/>
            <w:hideMark/>
          </w:tcPr>
          <w:p w14:paraId="2D4DE790" w14:textId="77777777" w:rsidR="00E928F6" w:rsidRPr="00F3638A" w:rsidRDefault="00E928F6" w:rsidP="00AB3151">
            <w:pPr>
              <w:spacing w:after="0" w:line="240" w:lineRule="auto"/>
              <w:rPr>
                <w:rFonts w:ascii="Calibri" w:eastAsia="Times New Roman" w:hAnsi="Calibri" w:cs="Times New Roman"/>
                <w:color w:val="000000"/>
                <w:sz w:val="16"/>
                <w:szCs w:val="16"/>
                <w:lang w:eastAsia="en-GB"/>
              </w:rPr>
            </w:pPr>
            <w:r w:rsidRPr="00F3638A">
              <w:rPr>
                <w:rFonts w:ascii="Calibri" w:eastAsia="Times New Roman" w:hAnsi="Calibri" w:cs="Times New Roman"/>
                <w:color w:val="000000"/>
                <w:sz w:val="16"/>
                <w:szCs w:val="16"/>
                <w:lang w:eastAsia="en-GB"/>
              </w:rPr>
              <w:t xml:space="preserve">   - Northeast region</w:t>
            </w:r>
            <w:r w:rsidRPr="00F3638A">
              <w:rPr>
                <w:rFonts w:ascii="Calibri" w:eastAsia="Times New Roman" w:hAnsi="Calibri" w:cs="Times New Roman"/>
                <w:color w:val="000000"/>
                <w:sz w:val="16"/>
                <w:szCs w:val="16"/>
                <w:vertAlign w:val="superscript"/>
                <w:lang w:eastAsia="en-GB"/>
              </w:rPr>
              <w:t>1</w:t>
            </w:r>
          </w:p>
        </w:tc>
        <w:tc>
          <w:tcPr>
            <w:tcW w:w="865" w:type="dxa"/>
            <w:tcBorders>
              <w:top w:val="nil"/>
              <w:left w:val="nil"/>
              <w:bottom w:val="nil"/>
              <w:right w:val="nil"/>
            </w:tcBorders>
            <w:shd w:val="clear" w:color="auto" w:fill="auto"/>
            <w:noWrap/>
            <w:vAlign w:val="center"/>
            <w:hideMark/>
          </w:tcPr>
          <w:p w14:paraId="20B94287" w14:textId="77777777" w:rsidR="00E928F6" w:rsidRPr="00F3638A" w:rsidRDefault="00E928F6" w:rsidP="00AB3151">
            <w:pPr>
              <w:spacing w:after="0" w:line="240" w:lineRule="auto"/>
              <w:jc w:val="right"/>
              <w:rPr>
                <w:rFonts w:ascii="Calibri" w:eastAsia="Times New Roman" w:hAnsi="Calibri" w:cs="Times New Roman"/>
                <w:color w:val="000000"/>
                <w:sz w:val="16"/>
                <w:szCs w:val="16"/>
                <w:lang w:eastAsia="en-GB"/>
              </w:rPr>
            </w:pPr>
            <w:r>
              <w:rPr>
                <w:rFonts w:ascii="Calibri" w:hAnsi="Calibri"/>
                <w:color w:val="000000"/>
                <w:sz w:val="16"/>
                <w:szCs w:val="16"/>
              </w:rPr>
              <w:t>932</w:t>
            </w:r>
          </w:p>
        </w:tc>
        <w:tc>
          <w:tcPr>
            <w:tcW w:w="848" w:type="dxa"/>
            <w:tcBorders>
              <w:top w:val="nil"/>
              <w:left w:val="nil"/>
              <w:bottom w:val="nil"/>
              <w:right w:val="nil"/>
            </w:tcBorders>
            <w:shd w:val="clear" w:color="auto" w:fill="auto"/>
            <w:noWrap/>
            <w:vAlign w:val="center"/>
            <w:hideMark/>
          </w:tcPr>
          <w:p w14:paraId="7E39E5E5" w14:textId="77777777" w:rsidR="00E928F6" w:rsidRPr="00F3638A" w:rsidRDefault="00E928F6" w:rsidP="00AB3151">
            <w:pPr>
              <w:spacing w:after="0" w:line="240" w:lineRule="auto"/>
              <w:jc w:val="right"/>
              <w:rPr>
                <w:rFonts w:ascii="Calibri" w:eastAsia="Times New Roman" w:hAnsi="Calibri" w:cs="Times New Roman"/>
                <w:color w:val="000000"/>
                <w:sz w:val="16"/>
                <w:szCs w:val="16"/>
                <w:lang w:eastAsia="en-GB"/>
              </w:rPr>
            </w:pPr>
            <w:r>
              <w:rPr>
                <w:rFonts w:ascii="Calibri" w:hAnsi="Calibri"/>
                <w:color w:val="000000"/>
                <w:sz w:val="16"/>
                <w:szCs w:val="16"/>
              </w:rPr>
              <w:t>0.0051%</w:t>
            </w:r>
          </w:p>
        </w:tc>
      </w:tr>
      <w:tr w:rsidR="00E928F6" w:rsidRPr="00F3638A" w14:paraId="2C710EB0" w14:textId="77777777" w:rsidTr="00AB3151">
        <w:trPr>
          <w:trHeight w:val="255"/>
          <w:jc w:val="center"/>
        </w:trPr>
        <w:tc>
          <w:tcPr>
            <w:tcW w:w="2767" w:type="dxa"/>
            <w:tcBorders>
              <w:top w:val="nil"/>
              <w:left w:val="nil"/>
              <w:bottom w:val="nil"/>
              <w:right w:val="nil"/>
            </w:tcBorders>
            <w:shd w:val="clear" w:color="auto" w:fill="auto"/>
            <w:noWrap/>
            <w:vAlign w:val="bottom"/>
            <w:hideMark/>
          </w:tcPr>
          <w:p w14:paraId="3290D434" w14:textId="77777777" w:rsidR="00E928F6" w:rsidRPr="00F3638A" w:rsidRDefault="00E928F6" w:rsidP="00AB3151">
            <w:pPr>
              <w:spacing w:after="0" w:line="240" w:lineRule="auto"/>
              <w:rPr>
                <w:rFonts w:ascii="Calibri" w:eastAsia="Times New Roman" w:hAnsi="Calibri" w:cs="Times New Roman"/>
                <w:color w:val="000000"/>
                <w:sz w:val="16"/>
                <w:szCs w:val="16"/>
                <w:lang w:eastAsia="en-GB"/>
              </w:rPr>
            </w:pPr>
            <w:r w:rsidRPr="00F3638A">
              <w:rPr>
                <w:rFonts w:ascii="Calibri" w:eastAsia="Times New Roman" w:hAnsi="Calibri" w:cs="Times New Roman"/>
                <w:color w:val="000000"/>
                <w:sz w:val="16"/>
                <w:szCs w:val="16"/>
                <w:lang w:eastAsia="en-GB"/>
              </w:rPr>
              <w:t xml:space="preserve">   - South region</w:t>
            </w:r>
            <w:r w:rsidRPr="00F3638A">
              <w:rPr>
                <w:rFonts w:ascii="Calibri" w:eastAsia="Times New Roman" w:hAnsi="Calibri" w:cs="Times New Roman"/>
                <w:color w:val="000000"/>
                <w:sz w:val="16"/>
                <w:szCs w:val="16"/>
                <w:vertAlign w:val="superscript"/>
                <w:lang w:eastAsia="en-GB"/>
              </w:rPr>
              <w:t>1</w:t>
            </w:r>
          </w:p>
        </w:tc>
        <w:tc>
          <w:tcPr>
            <w:tcW w:w="865" w:type="dxa"/>
            <w:tcBorders>
              <w:top w:val="nil"/>
              <w:left w:val="nil"/>
              <w:bottom w:val="nil"/>
              <w:right w:val="nil"/>
            </w:tcBorders>
            <w:shd w:val="clear" w:color="auto" w:fill="auto"/>
            <w:noWrap/>
            <w:vAlign w:val="center"/>
            <w:hideMark/>
          </w:tcPr>
          <w:p w14:paraId="792996F8" w14:textId="77777777" w:rsidR="00E928F6" w:rsidRPr="00F3638A" w:rsidRDefault="00E928F6" w:rsidP="00AB3151">
            <w:pPr>
              <w:spacing w:after="0" w:line="240" w:lineRule="auto"/>
              <w:jc w:val="right"/>
              <w:rPr>
                <w:rFonts w:ascii="Calibri" w:eastAsia="Times New Roman" w:hAnsi="Calibri" w:cs="Times New Roman"/>
                <w:color w:val="000000"/>
                <w:sz w:val="16"/>
                <w:szCs w:val="16"/>
                <w:lang w:eastAsia="en-GB"/>
              </w:rPr>
            </w:pPr>
            <w:r>
              <w:rPr>
                <w:rFonts w:ascii="Calibri" w:hAnsi="Calibri"/>
                <w:color w:val="000000"/>
                <w:sz w:val="16"/>
                <w:szCs w:val="16"/>
              </w:rPr>
              <w:t>985</w:t>
            </w:r>
          </w:p>
        </w:tc>
        <w:tc>
          <w:tcPr>
            <w:tcW w:w="848" w:type="dxa"/>
            <w:tcBorders>
              <w:top w:val="nil"/>
              <w:left w:val="nil"/>
              <w:bottom w:val="nil"/>
              <w:right w:val="nil"/>
            </w:tcBorders>
            <w:shd w:val="clear" w:color="auto" w:fill="auto"/>
            <w:noWrap/>
            <w:vAlign w:val="center"/>
            <w:hideMark/>
          </w:tcPr>
          <w:p w14:paraId="4B919E41" w14:textId="77777777" w:rsidR="00E928F6" w:rsidRPr="00F3638A" w:rsidRDefault="00E928F6" w:rsidP="00AB3151">
            <w:pPr>
              <w:spacing w:after="0" w:line="240" w:lineRule="auto"/>
              <w:jc w:val="right"/>
              <w:rPr>
                <w:rFonts w:ascii="Calibri" w:eastAsia="Times New Roman" w:hAnsi="Calibri" w:cs="Times New Roman"/>
                <w:color w:val="000000"/>
                <w:sz w:val="16"/>
                <w:szCs w:val="16"/>
                <w:lang w:eastAsia="en-GB"/>
              </w:rPr>
            </w:pPr>
            <w:r>
              <w:rPr>
                <w:rFonts w:ascii="Calibri" w:hAnsi="Calibri"/>
                <w:color w:val="000000"/>
                <w:sz w:val="16"/>
                <w:szCs w:val="16"/>
              </w:rPr>
              <w:t>0.0099%</w:t>
            </w:r>
          </w:p>
        </w:tc>
      </w:tr>
      <w:tr w:rsidR="00E928F6" w:rsidRPr="00F3638A" w14:paraId="1B8E6546" w14:textId="77777777" w:rsidTr="00AB3151">
        <w:trPr>
          <w:trHeight w:val="255"/>
          <w:jc w:val="center"/>
        </w:trPr>
        <w:tc>
          <w:tcPr>
            <w:tcW w:w="2767" w:type="dxa"/>
            <w:tcBorders>
              <w:top w:val="nil"/>
              <w:left w:val="nil"/>
              <w:bottom w:val="nil"/>
              <w:right w:val="nil"/>
            </w:tcBorders>
            <w:shd w:val="clear" w:color="auto" w:fill="auto"/>
            <w:noWrap/>
            <w:vAlign w:val="bottom"/>
            <w:hideMark/>
          </w:tcPr>
          <w:p w14:paraId="084D3F12" w14:textId="77777777" w:rsidR="00E928F6" w:rsidRPr="00F3638A" w:rsidRDefault="00E928F6" w:rsidP="00AB3151">
            <w:pPr>
              <w:spacing w:after="0" w:line="240" w:lineRule="auto"/>
              <w:rPr>
                <w:rFonts w:ascii="Calibri" w:eastAsia="Times New Roman" w:hAnsi="Calibri" w:cs="Times New Roman"/>
                <w:color w:val="000000"/>
                <w:sz w:val="16"/>
                <w:szCs w:val="16"/>
                <w:lang w:eastAsia="en-GB"/>
              </w:rPr>
            </w:pPr>
            <w:r w:rsidRPr="00F3638A">
              <w:rPr>
                <w:rFonts w:ascii="Calibri" w:eastAsia="Times New Roman" w:hAnsi="Calibri" w:cs="Times New Roman"/>
                <w:color w:val="000000"/>
                <w:sz w:val="16"/>
                <w:szCs w:val="16"/>
                <w:lang w:eastAsia="en-GB"/>
              </w:rPr>
              <w:t xml:space="preserve">   - urban</w:t>
            </w:r>
            <w:r w:rsidRPr="00F3638A">
              <w:rPr>
                <w:rFonts w:ascii="Calibri" w:eastAsia="Times New Roman" w:hAnsi="Calibri" w:cs="Times New Roman"/>
                <w:color w:val="000000"/>
                <w:sz w:val="16"/>
                <w:szCs w:val="16"/>
                <w:vertAlign w:val="superscript"/>
                <w:lang w:eastAsia="en-GB"/>
              </w:rPr>
              <w:t>1</w:t>
            </w:r>
          </w:p>
        </w:tc>
        <w:tc>
          <w:tcPr>
            <w:tcW w:w="865" w:type="dxa"/>
            <w:tcBorders>
              <w:top w:val="nil"/>
              <w:left w:val="nil"/>
              <w:bottom w:val="nil"/>
              <w:right w:val="nil"/>
            </w:tcBorders>
            <w:shd w:val="clear" w:color="auto" w:fill="auto"/>
            <w:noWrap/>
            <w:vAlign w:val="center"/>
            <w:hideMark/>
          </w:tcPr>
          <w:p w14:paraId="167953CF" w14:textId="77777777" w:rsidR="00E928F6" w:rsidRPr="00F3638A" w:rsidRDefault="00E928F6" w:rsidP="00AB3151">
            <w:pPr>
              <w:spacing w:after="0" w:line="240" w:lineRule="auto"/>
              <w:jc w:val="right"/>
              <w:rPr>
                <w:rFonts w:ascii="Calibri" w:eastAsia="Times New Roman" w:hAnsi="Calibri" w:cs="Times New Roman"/>
                <w:color w:val="000000"/>
                <w:sz w:val="16"/>
                <w:szCs w:val="16"/>
                <w:lang w:eastAsia="en-GB"/>
              </w:rPr>
            </w:pPr>
            <w:r>
              <w:rPr>
                <w:rFonts w:ascii="Calibri" w:hAnsi="Calibri"/>
                <w:color w:val="000000"/>
                <w:sz w:val="16"/>
                <w:szCs w:val="16"/>
              </w:rPr>
              <w:t>4,257</w:t>
            </w:r>
          </w:p>
        </w:tc>
        <w:tc>
          <w:tcPr>
            <w:tcW w:w="848" w:type="dxa"/>
            <w:tcBorders>
              <w:top w:val="nil"/>
              <w:left w:val="nil"/>
              <w:bottom w:val="nil"/>
              <w:right w:val="nil"/>
            </w:tcBorders>
            <w:shd w:val="clear" w:color="auto" w:fill="auto"/>
            <w:noWrap/>
            <w:vAlign w:val="center"/>
            <w:hideMark/>
          </w:tcPr>
          <w:p w14:paraId="4790DD80" w14:textId="77777777" w:rsidR="00E928F6" w:rsidRPr="00F3638A" w:rsidRDefault="00E928F6" w:rsidP="00AB3151">
            <w:pPr>
              <w:spacing w:after="0" w:line="240" w:lineRule="auto"/>
              <w:jc w:val="right"/>
              <w:rPr>
                <w:rFonts w:ascii="Calibri" w:eastAsia="Times New Roman" w:hAnsi="Calibri" w:cs="Times New Roman"/>
                <w:color w:val="000000"/>
                <w:sz w:val="16"/>
                <w:szCs w:val="16"/>
                <w:lang w:eastAsia="en-GB"/>
              </w:rPr>
            </w:pPr>
            <w:r>
              <w:rPr>
                <w:rFonts w:ascii="Calibri" w:hAnsi="Calibri"/>
                <w:color w:val="000000"/>
                <w:sz w:val="16"/>
                <w:szCs w:val="16"/>
              </w:rPr>
              <w:t>0.0094%</w:t>
            </w:r>
          </w:p>
        </w:tc>
      </w:tr>
      <w:tr w:rsidR="00E928F6" w:rsidRPr="00F3638A" w14:paraId="43BE7FE1" w14:textId="77777777" w:rsidTr="00AB3151">
        <w:trPr>
          <w:trHeight w:val="255"/>
          <w:jc w:val="center"/>
        </w:trPr>
        <w:tc>
          <w:tcPr>
            <w:tcW w:w="2767" w:type="dxa"/>
            <w:tcBorders>
              <w:top w:val="nil"/>
              <w:left w:val="nil"/>
              <w:bottom w:val="nil"/>
              <w:right w:val="nil"/>
            </w:tcBorders>
            <w:shd w:val="clear" w:color="auto" w:fill="auto"/>
            <w:noWrap/>
            <w:vAlign w:val="bottom"/>
            <w:hideMark/>
          </w:tcPr>
          <w:p w14:paraId="40CFE5E0" w14:textId="77777777" w:rsidR="00E928F6" w:rsidRPr="00F3638A" w:rsidRDefault="00E928F6" w:rsidP="00AB3151">
            <w:pPr>
              <w:spacing w:after="0" w:line="240" w:lineRule="auto"/>
              <w:rPr>
                <w:rFonts w:ascii="Calibri" w:eastAsia="Times New Roman" w:hAnsi="Calibri" w:cs="Times New Roman"/>
                <w:color w:val="000000"/>
                <w:sz w:val="16"/>
                <w:szCs w:val="16"/>
                <w:lang w:eastAsia="en-GB"/>
              </w:rPr>
            </w:pPr>
            <w:r w:rsidRPr="00F3638A">
              <w:rPr>
                <w:rFonts w:ascii="Calibri" w:eastAsia="Times New Roman" w:hAnsi="Calibri" w:cs="Times New Roman"/>
                <w:color w:val="000000"/>
                <w:sz w:val="16"/>
                <w:szCs w:val="16"/>
                <w:lang w:eastAsia="en-GB"/>
              </w:rPr>
              <w:t xml:space="preserve">   - rural</w:t>
            </w:r>
            <w:r w:rsidRPr="00F3638A">
              <w:rPr>
                <w:rFonts w:ascii="Calibri" w:eastAsia="Times New Roman" w:hAnsi="Calibri" w:cs="Times New Roman"/>
                <w:color w:val="000000"/>
                <w:sz w:val="16"/>
                <w:szCs w:val="16"/>
                <w:vertAlign w:val="superscript"/>
                <w:lang w:eastAsia="en-GB"/>
              </w:rPr>
              <w:t>1</w:t>
            </w:r>
          </w:p>
        </w:tc>
        <w:tc>
          <w:tcPr>
            <w:tcW w:w="865" w:type="dxa"/>
            <w:tcBorders>
              <w:top w:val="nil"/>
              <w:left w:val="nil"/>
              <w:bottom w:val="nil"/>
              <w:right w:val="nil"/>
            </w:tcBorders>
            <w:shd w:val="clear" w:color="auto" w:fill="auto"/>
            <w:noWrap/>
            <w:vAlign w:val="center"/>
            <w:hideMark/>
          </w:tcPr>
          <w:p w14:paraId="02B2AC1A" w14:textId="77777777" w:rsidR="00E928F6" w:rsidRPr="00F3638A" w:rsidRDefault="00E928F6" w:rsidP="00AB3151">
            <w:pPr>
              <w:spacing w:after="0" w:line="240" w:lineRule="auto"/>
              <w:jc w:val="right"/>
              <w:rPr>
                <w:rFonts w:ascii="Calibri" w:eastAsia="Times New Roman" w:hAnsi="Calibri" w:cs="Times New Roman"/>
                <w:color w:val="000000"/>
                <w:sz w:val="16"/>
                <w:szCs w:val="16"/>
                <w:lang w:eastAsia="en-GB"/>
              </w:rPr>
            </w:pPr>
            <w:r>
              <w:rPr>
                <w:rFonts w:ascii="Calibri" w:hAnsi="Calibri"/>
                <w:color w:val="000000"/>
                <w:sz w:val="16"/>
                <w:szCs w:val="16"/>
              </w:rPr>
              <w:t>747</w:t>
            </w:r>
          </w:p>
        </w:tc>
        <w:tc>
          <w:tcPr>
            <w:tcW w:w="848" w:type="dxa"/>
            <w:tcBorders>
              <w:top w:val="nil"/>
              <w:left w:val="nil"/>
              <w:bottom w:val="nil"/>
              <w:right w:val="nil"/>
            </w:tcBorders>
            <w:shd w:val="clear" w:color="auto" w:fill="auto"/>
            <w:noWrap/>
            <w:vAlign w:val="center"/>
            <w:hideMark/>
          </w:tcPr>
          <w:p w14:paraId="1B81203D" w14:textId="77777777" w:rsidR="00E928F6" w:rsidRPr="00F3638A" w:rsidRDefault="00E928F6" w:rsidP="00AB3151">
            <w:pPr>
              <w:spacing w:after="0" w:line="240" w:lineRule="auto"/>
              <w:jc w:val="right"/>
              <w:rPr>
                <w:rFonts w:ascii="Calibri" w:eastAsia="Times New Roman" w:hAnsi="Calibri" w:cs="Times New Roman"/>
                <w:color w:val="000000"/>
                <w:sz w:val="16"/>
                <w:szCs w:val="16"/>
                <w:lang w:eastAsia="en-GB"/>
              </w:rPr>
            </w:pPr>
            <w:r>
              <w:rPr>
                <w:rFonts w:ascii="Calibri" w:hAnsi="Calibri"/>
                <w:color w:val="000000"/>
                <w:sz w:val="16"/>
                <w:szCs w:val="16"/>
              </w:rPr>
              <w:t>0.0031%</w:t>
            </w:r>
          </w:p>
        </w:tc>
      </w:tr>
      <w:tr w:rsidR="00E928F6" w:rsidRPr="00F3638A" w14:paraId="6C7D086D" w14:textId="77777777" w:rsidTr="00AB3151">
        <w:trPr>
          <w:trHeight w:val="225"/>
          <w:jc w:val="center"/>
        </w:trPr>
        <w:tc>
          <w:tcPr>
            <w:tcW w:w="2767" w:type="dxa"/>
            <w:tcBorders>
              <w:top w:val="single" w:sz="4" w:space="0" w:color="auto"/>
              <w:left w:val="nil"/>
              <w:bottom w:val="nil"/>
              <w:right w:val="nil"/>
            </w:tcBorders>
            <w:shd w:val="clear" w:color="auto" w:fill="auto"/>
            <w:noWrap/>
            <w:vAlign w:val="bottom"/>
            <w:hideMark/>
          </w:tcPr>
          <w:p w14:paraId="7E3CC2A9" w14:textId="77777777" w:rsidR="00E928F6" w:rsidRPr="00F3638A" w:rsidRDefault="00E928F6" w:rsidP="00AB3151">
            <w:pPr>
              <w:spacing w:after="0" w:line="240" w:lineRule="auto"/>
              <w:rPr>
                <w:rFonts w:ascii="Calibri" w:eastAsia="Times New Roman" w:hAnsi="Calibri" w:cs="Times New Roman"/>
                <w:b/>
                <w:bCs/>
                <w:i/>
                <w:iCs/>
                <w:color w:val="000000"/>
                <w:sz w:val="16"/>
                <w:szCs w:val="16"/>
                <w:lang w:eastAsia="en-GB"/>
              </w:rPr>
            </w:pPr>
            <w:r w:rsidRPr="00F3638A">
              <w:rPr>
                <w:rFonts w:ascii="Calibri" w:eastAsia="Times New Roman" w:hAnsi="Calibri" w:cs="Times New Roman"/>
                <w:b/>
                <w:bCs/>
                <w:i/>
                <w:iCs/>
                <w:color w:val="000000"/>
                <w:sz w:val="16"/>
                <w:szCs w:val="16"/>
                <w:lang w:eastAsia="en-GB"/>
              </w:rPr>
              <w:t>Workforce</w:t>
            </w:r>
          </w:p>
        </w:tc>
        <w:tc>
          <w:tcPr>
            <w:tcW w:w="865" w:type="dxa"/>
            <w:tcBorders>
              <w:top w:val="single" w:sz="4" w:space="0" w:color="auto"/>
              <w:left w:val="nil"/>
              <w:bottom w:val="nil"/>
              <w:right w:val="nil"/>
            </w:tcBorders>
            <w:shd w:val="clear" w:color="auto" w:fill="auto"/>
            <w:noWrap/>
            <w:vAlign w:val="center"/>
            <w:hideMark/>
          </w:tcPr>
          <w:p w14:paraId="7C04CB1F" w14:textId="77777777" w:rsidR="00E928F6" w:rsidRPr="00F3638A" w:rsidRDefault="00E928F6" w:rsidP="00AB3151">
            <w:pPr>
              <w:spacing w:after="0" w:line="240" w:lineRule="auto"/>
              <w:rPr>
                <w:rFonts w:ascii="Calibri" w:eastAsia="Times New Roman" w:hAnsi="Calibri" w:cs="Times New Roman"/>
                <w:color w:val="000000"/>
                <w:sz w:val="16"/>
                <w:szCs w:val="16"/>
                <w:lang w:eastAsia="en-GB"/>
              </w:rPr>
            </w:pPr>
            <w:r>
              <w:rPr>
                <w:rFonts w:ascii="Calibri" w:hAnsi="Calibri"/>
                <w:color w:val="000000"/>
                <w:sz w:val="16"/>
                <w:szCs w:val="16"/>
              </w:rPr>
              <w:t> </w:t>
            </w:r>
          </w:p>
        </w:tc>
        <w:tc>
          <w:tcPr>
            <w:tcW w:w="848" w:type="dxa"/>
            <w:tcBorders>
              <w:top w:val="single" w:sz="4" w:space="0" w:color="auto"/>
              <w:left w:val="nil"/>
              <w:bottom w:val="nil"/>
              <w:right w:val="nil"/>
            </w:tcBorders>
            <w:shd w:val="clear" w:color="auto" w:fill="auto"/>
            <w:noWrap/>
            <w:vAlign w:val="center"/>
            <w:hideMark/>
          </w:tcPr>
          <w:p w14:paraId="5EF15CAC" w14:textId="77777777" w:rsidR="00E928F6" w:rsidRPr="00F3638A" w:rsidRDefault="00E928F6" w:rsidP="00AB3151">
            <w:pPr>
              <w:spacing w:after="0" w:line="240" w:lineRule="auto"/>
              <w:rPr>
                <w:rFonts w:ascii="Calibri" w:eastAsia="Times New Roman" w:hAnsi="Calibri" w:cs="Times New Roman"/>
                <w:color w:val="000000"/>
                <w:sz w:val="16"/>
                <w:szCs w:val="16"/>
                <w:lang w:eastAsia="en-GB"/>
              </w:rPr>
            </w:pPr>
            <w:r>
              <w:rPr>
                <w:rFonts w:ascii="Calibri" w:hAnsi="Calibri"/>
                <w:color w:val="000000"/>
                <w:sz w:val="16"/>
                <w:szCs w:val="16"/>
              </w:rPr>
              <w:t> </w:t>
            </w:r>
          </w:p>
        </w:tc>
      </w:tr>
      <w:tr w:rsidR="00E928F6" w:rsidRPr="00F3638A" w14:paraId="0221D80F" w14:textId="77777777" w:rsidTr="00AB3151">
        <w:trPr>
          <w:trHeight w:val="225"/>
          <w:jc w:val="center"/>
        </w:trPr>
        <w:tc>
          <w:tcPr>
            <w:tcW w:w="2767" w:type="dxa"/>
            <w:tcBorders>
              <w:top w:val="nil"/>
              <w:left w:val="nil"/>
              <w:bottom w:val="nil"/>
              <w:right w:val="nil"/>
            </w:tcBorders>
            <w:shd w:val="clear" w:color="auto" w:fill="auto"/>
            <w:noWrap/>
            <w:vAlign w:val="bottom"/>
            <w:hideMark/>
          </w:tcPr>
          <w:p w14:paraId="13B9248D" w14:textId="77777777" w:rsidR="00E928F6" w:rsidRPr="00F3638A" w:rsidRDefault="00E928F6" w:rsidP="00AB3151">
            <w:pPr>
              <w:spacing w:after="0" w:line="240" w:lineRule="auto"/>
              <w:rPr>
                <w:rFonts w:ascii="Calibri" w:eastAsia="Times New Roman" w:hAnsi="Calibri" w:cs="Times New Roman"/>
                <w:color w:val="000000"/>
                <w:sz w:val="16"/>
                <w:szCs w:val="16"/>
                <w:lang w:eastAsia="en-GB"/>
              </w:rPr>
            </w:pPr>
          </w:p>
        </w:tc>
        <w:tc>
          <w:tcPr>
            <w:tcW w:w="865" w:type="dxa"/>
            <w:tcBorders>
              <w:top w:val="single" w:sz="4" w:space="0" w:color="auto"/>
              <w:left w:val="nil"/>
              <w:bottom w:val="nil"/>
              <w:right w:val="nil"/>
            </w:tcBorders>
            <w:shd w:val="clear" w:color="auto" w:fill="auto"/>
            <w:noWrap/>
            <w:vAlign w:val="center"/>
            <w:hideMark/>
          </w:tcPr>
          <w:p w14:paraId="40BBFEE1" w14:textId="77777777" w:rsidR="00E928F6" w:rsidRPr="00F3638A" w:rsidRDefault="00E928F6" w:rsidP="00AB3151">
            <w:pPr>
              <w:spacing w:after="0" w:line="240" w:lineRule="auto"/>
              <w:rPr>
                <w:rFonts w:ascii="Calibri" w:eastAsia="Times New Roman" w:hAnsi="Calibri" w:cs="Times New Roman"/>
                <w:color w:val="000000"/>
                <w:sz w:val="16"/>
                <w:szCs w:val="16"/>
                <w:lang w:eastAsia="en-GB"/>
              </w:rPr>
            </w:pPr>
            <w:r>
              <w:rPr>
                <w:rFonts w:ascii="Calibri" w:hAnsi="Calibri"/>
                <w:color w:val="000000"/>
                <w:sz w:val="16"/>
                <w:szCs w:val="16"/>
              </w:rPr>
              <w:t xml:space="preserve"> #persons</w:t>
            </w:r>
          </w:p>
        </w:tc>
        <w:tc>
          <w:tcPr>
            <w:tcW w:w="848" w:type="dxa"/>
            <w:tcBorders>
              <w:top w:val="single" w:sz="4" w:space="0" w:color="auto"/>
              <w:left w:val="nil"/>
              <w:bottom w:val="nil"/>
              <w:right w:val="nil"/>
            </w:tcBorders>
            <w:shd w:val="clear" w:color="auto" w:fill="auto"/>
            <w:noWrap/>
            <w:vAlign w:val="center"/>
            <w:hideMark/>
          </w:tcPr>
          <w:p w14:paraId="072DC66C" w14:textId="77777777" w:rsidR="00E928F6" w:rsidRPr="00F3638A" w:rsidRDefault="00E928F6" w:rsidP="00AB3151">
            <w:pPr>
              <w:spacing w:after="0" w:line="240" w:lineRule="auto"/>
              <w:rPr>
                <w:rFonts w:ascii="Calibri" w:eastAsia="Times New Roman" w:hAnsi="Calibri" w:cs="Times New Roman"/>
                <w:color w:val="000000"/>
                <w:sz w:val="16"/>
                <w:szCs w:val="16"/>
                <w:lang w:eastAsia="en-GB"/>
              </w:rPr>
            </w:pPr>
            <w:r>
              <w:rPr>
                <w:rFonts w:ascii="Calibri" w:hAnsi="Calibri"/>
                <w:color w:val="000000"/>
                <w:sz w:val="16"/>
                <w:szCs w:val="16"/>
              </w:rPr>
              <w:t>% of total</w:t>
            </w:r>
          </w:p>
        </w:tc>
      </w:tr>
      <w:tr w:rsidR="00E928F6" w:rsidRPr="00F3638A" w14:paraId="07ADD7D2" w14:textId="77777777" w:rsidTr="00AB3151">
        <w:trPr>
          <w:trHeight w:val="225"/>
          <w:jc w:val="center"/>
        </w:trPr>
        <w:tc>
          <w:tcPr>
            <w:tcW w:w="2767" w:type="dxa"/>
            <w:tcBorders>
              <w:top w:val="nil"/>
              <w:left w:val="nil"/>
              <w:bottom w:val="nil"/>
              <w:right w:val="nil"/>
            </w:tcBorders>
            <w:shd w:val="clear" w:color="auto" w:fill="auto"/>
            <w:noWrap/>
            <w:vAlign w:val="bottom"/>
            <w:hideMark/>
          </w:tcPr>
          <w:p w14:paraId="676A5B1D" w14:textId="77777777" w:rsidR="00E928F6" w:rsidRPr="00F3638A" w:rsidRDefault="00E928F6" w:rsidP="00AB3151">
            <w:pPr>
              <w:spacing w:after="0" w:line="240" w:lineRule="auto"/>
              <w:rPr>
                <w:rFonts w:ascii="Calibri" w:eastAsia="Times New Roman" w:hAnsi="Calibri" w:cs="Times New Roman"/>
                <w:color w:val="000000"/>
                <w:sz w:val="16"/>
                <w:szCs w:val="16"/>
                <w:lang w:eastAsia="en-GB"/>
              </w:rPr>
            </w:pPr>
            <w:r w:rsidRPr="00F3638A">
              <w:rPr>
                <w:rFonts w:ascii="Calibri" w:eastAsia="Times New Roman" w:hAnsi="Calibri" w:cs="Times New Roman"/>
                <w:color w:val="000000"/>
                <w:sz w:val="16"/>
                <w:szCs w:val="16"/>
                <w:lang w:eastAsia="en-GB"/>
              </w:rPr>
              <w:t>Δworkforce (cumulative)</w:t>
            </w:r>
          </w:p>
        </w:tc>
        <w:tc>
          <w:tcPr>
            <w:tcW w:w="865" w:type="dxa"/>
            <w:tcBorders>
              <w:top w:val="nil"/>
              <w:left w:val="nil"/>
              <w:bottom w:val="nil"/>
              <w:right w:val="nil"/>
            </w:tcBorders>
            <w:shd w:val="clear" w:color="auto" w:fill="auto"/>
            <w:noWrap/>
            <w:vAlign w:val="center"/>
            <w:hideMark/>
          </w:tcPr>
          <w:p w14:paraId="7636530E" w14:textId="77777777" w:rsidR="00E928F6" w:rsidRPr="00F3638A" w:rsidRDefault="00E928F6" w:rsidP="00AB3151">
            <w:pPr>
              <w:spacing w:after="0" w:line="240" w:lineRule="auto"/>
              <w:jc w:val="right"/>
              <w:rPr>
                <w:rFonts w:ascii="Calibri" w:eastAsia="Times New Roman" w:hAnsi="Calibri" w:cs="Times New Roman"/>
                <w:color w:val="000000"/>
                <w:sz w:val="16"/>
                <w:szCs w:val="16"/>
                <w:lang w:eastAsia="en-GB"/>
              </w:rPr>
            </w:pPr>
            <w:r>
              <w:rPr>
                <w:rFonts w:ascii="Calibri" w:hAnsi="Calibri"/>
                <w:color w:val="000000"/>
                <w:sz w:val="16"/>
                <w:szCs w:val="16"/>
              </w:rPr>
              <w:t>15,364</w:t>
            </w:r>
          </w:p>
        </w:tc>
        <w:tc>
          <w:tcPr>
            <w:tcW w:w="848" w:type="dxa"/>
            <w:tcBorders>
              <w:top w:val="nil"/>
              <w:left w:val="nil"/>
              <w:bottom w:val="nil"/>
              <w:right w:val="nil"/>
            </w:tcBorders>
            <w:shd w:val="clear" w:color="auto" w:fill="auto"/>
            <w:noWrap/>
            <w:vAlign w:val="center"/>
            <w:hideMark/>
          </w:tcPr>
          <w:p w14:paraId="1D1D4A08" w14:textId="77777777" w:rsidR="00E928F6" w:rsidRPr="00F3638A" w:rsidRDefault="00E928F6" w:rsidP="00AB3151">
            <w:pPr>
              <w:spacing w:after="0" w:line="240" w:lineRule="auto"/>
              <w:jc w:val="right"/>
              <w:rPr>
                <w:rFonts w:ascii="Calibri" w:eastAsia="Times New Roman" w:hAnsi="Calibri" w:cs="Times New Roman"/>
                <w:color w:val="000000"/>
                <w:sz w:val="16"/>
                <w:szCs w:val="16"/>
                <w:lang w:eastAsia="en-GB"/>
              </w:rPr>
            </w:pPr>
            <w:r>
              <w:rPr>
                <w:rFonts w:ascii="Calibri" w:hAnsi="Calibri"/>
                <w:color w:val="000000"/>
                <w:sz w:val="16"/>
                <w:szCs w:val="16"/>
              </w:rPr>
              <w:t>0.00%</w:t>
            </w:r>
          </w:p>
        </w:tc>
      </w:tr>
      <w:tr w:rsidR="00E928F6" w:rsidRPr="00F3638A" w14:paraId="1381A2B9" w14:textId="77777777" w:rsidTr="00AB3151">
        <w:trPr>
          <w:trHeight w:val="255"/>
          <w:jc w:val="center"/>
        </w:trPr>
        <w:tc>
          <w:tcPr>
            <w:tcW w:w="2767" w:type="dxa"/>
            <w:tcBorders>
              <w:top w:val="nil"/>
              <w:left w:val="nil"/>
              <w:bottom w:val="nil"/>
              <w:right w:val="nil"/>
            </w:tcBorders>
            <w:shd w:val="clear" w:color="auto" w:fill="auto"/>
            <w:noWrap/>
            <w:vAlign w:val="bottom"/>
            <w:hideMark/>
          </w:tcPr>
          <w:p w14:paraId="333D4EA2" w14:textId="77777777" w:rsidR="00E928F6" w:rsidRPr="00F3638A" w:rsidRDefault="00E928F6" w:rsidP="00AB3151">
            <w:pPr>
              <w:spacing w:after="0" w:line="240" w:lineRule="auto"/>
              <w:rPr>
                <w:rFonts w:ascii="Calibri" w:eastAsia="Times New Roman" w:hAnsi="Calibri" w:cs="Times New Roman"/>
                <w:color w:val="000000"/>
                <w:sz w:val="16"/>
                <w:szCs w:val="16"/>
                <w:lang w:eastAsia="en-GB"/>
              </w:rPr>
            </w:pPr>
            <w:r w:rsidRPr="00F3638A">
              <w:rPr>
                <w:rFonts w:ascii="Calibri" w:eastAsia="Times New Roman" w:hAnsi="Calibri" w:cs="Times New Roman"/>
                <w:color w:val="000000"/>
                <w:sz w:val="16"/>
                <w:szCs w:val="16"/>
                <w:lang w:eastAsia="en-GB"/>
              </w:rPr>
              <w:t xml:space="preserve">   - urban</w:t>
            </w:r>
            <w:r w:rsidRPr="00F3638A">
              <w:rPr>
                <w:rFonts w:ascii="Calibri" w:eastAsia="Times New Roman" w:hAnsi="Calibri" w:cs="Times New Roman"/>
                <w:color w:val="000000"/>
                <w:sz w:val="16"/>
                <w:szCs w:val="16"/>
                <w:vertAlign w:val="superscript"/>
                <w:lang w:eastAsia="en-GB"/>
              </w:rPr>
              <w:t>1</w:t>
            </w:r>
          </w:p>
        </w:tc>
        <w:tc>
          <w:tcPr>
            <w:tcW w:w="865" w:type="dxa"/>
            <w:tcBorders>
              <w:top w:val="nil"/>
              <w:left w:val="nil"/>
              <w:bottom w:val="nil"/>
              <w:right w:val="nil"/>
            </w:tcBorders>
            <w:shd w:val="clear" w:color="auto" w:fill="auto"/>
            <w:noWrap/>
            <w:vAlign w:val="center"/>
            <w:hideMark/>
          </w:tcPr>
          <w:p w14:paraId="51FE714C" w14:textId="77777777" w:rsidR="00E928F6" w:rsidRPr="00F3638A" w:rsidRDefault="00E928F6" w:rsidP="00AB3151">
            <w:pPr>
              <w:spacing w:after="0" w:line="240" w:lineRule="auto"/>
              <w:jc w:val="right"/>
              <w:rPr>
                <w:rFonts w:ascii="Calibri" w:eastAsia="Times New Roman" w:hAnsi="Calibri" w:cs="Times New Roman"/>
                <w:color w:val="000000"/>
                <w:sz w:val="16"/>
                <w:szCs w:val="16"/>
                <w:lang w:eastAsia="en-GB"/>
              </w:rPr>
            </w:pPr>
            <w:r>
              <w:rPr>
                <w:rFonts w:ascii="Calibri" w:hAnsi="Calibri"/>
                <w:color w:val="000000"/>
                <w:sz w:val="16"/>
                <w:szCs w:val="16"/>
              </w:rPr>
              <w:t>12,139</w:t>
            </w:r>
          </w:p>
        </w:tc>
        <w:tc>
          <w:tcPr>
            <w:tcW w:w="848" w:type="dxa"/>
            <w:tcBorders>
              <w:top w:val="nil"/>
              <w:left w:val="nil"/>
              <w:bottom w:val="nil"/>
              <w:right w:val="nil"/>
            </w:tcBorders>
            <w:shd w:val="clear" w:color="auto" w:fill="auto"/>
            <w:noWrap/>
            <w:vAlign w:val="center"/>
            <w:hideMark/>
          </w:tcPr>
          <w:p w14:paraId="294D3F49" w14:textId="77777777" w:rsidR="00E928F6" w:rsidRPr="00F3638A" w:rsidRDefault="00E928F6" w:rsidP="00AB3151">
            <w:pPr>
              <w:spacing w:after="0" w:line="240" w:lineRule="auto"/>
              <w:jc w:val="right"/>
              <w:rPr>
                <w:rFonts w:ascii="Calibri" w:eastAsia="Times New Roman" w:hAnsi="Calibri" w:cs="Times New Roman"/>
                <w:color w:val="000000"/>
                <w:sz w:val="16"/>
                <w:szCs w:val="16"/>
                <w:lang w:eastAsia="en-GB"/>
              </w:rPr>
            </w:pPr>
            <w:r>
              <w:rPr>
                <w:rFonts w:ascii="Calibri" w:hAnsi="Calibri"/>
                <w:color w:val="000000"/>
                <w:sz w:val="16"/>
                <w:szCs w:val="16"/>
              </w:rPr>
              <w:t>0.00%</w:t>
            </w:r>
          </w:p>
        </w:tc>
      </w:tr>
      <w:tr w:rsidR="00E928F6" w:rsidRPr="00F3638A" w14:paraId="063E4449" w14:textId="77777777" w:rsidTr="00AB3151">
        <w:trPr>
          <w:trHeight w:val="255"/>
          <w:jc w:val="center"/>
        </w:trPr>
        <w:tc>
          <w:tcPr>
            <w:tcW w:w="2767" w:type="dxa"/>
            <w:tcBorders>
              <w:top w:val="nil"/>
              <w:left w:val="nil"/>
              <w:bottom w:val="nil"/>
              <w:right w:val="nil"/>
            </w:tcBorders>
            <w:shd w:val="clear" w:color="auto" w:fill="auto"/>
            <w:noWrap/>
            <w:vAlign w:val="bottom"/>
            <w:hideMark/>
          </w:tcPr>
          <w:p w14:paraId="6F4C4675" w14:textId="77777777" w:rsidR="00E928F6" w:rsidRPr="00F3638A" w:rsidRDefault="00E928F6" w:rsidP="00AB3151">
            <w:pPr>
              <w:spacing w:after="0" w:line="240" w:lineRule="auto"/>
              <w:rPr>
                <w:rFonts w:ascii="Calibri" w:eastAsia="Times New Roman" w:hAnsi="Calibri" w:cs="Times New Roman"/>
                <w:color w:val="000000"/>
                <w:sz w:val="16"/>
                <w:szCs w:val="16"/>
                <w:lang w:eastAsia="en-GB"/>
              </w:rPr>
            </w:pPr>
            <w:r w:rsidRPr="00F3638A">
              <w:rPr>
                <w:rFonts w:ascii="Calibri" w:eastAsia="Times New Roman" w:hAnsi="Calibri" w:cs="Times New Roman"/>
                <w:color w:val="000000"/>
                <w:sz w:val="16"/>
                <w:szCs w:val="16"/>
                <w:lang w:eastAsia="en-GB"/>
              </w:rPr>
              <w:t xml:space="preserve">   - rural</w:t>
            </w:r>
            <w:r w:rsidRPr="00F3638A">
              <w:rPr>
                <w:rFonts w:ascii="Calibri" w:eastAsia="Times New Roman" w:hAnsi="Calibri" w:cs="Times New Roman"/>
                <w:color w:val="000000"/>
                <w:sz w:val="16"/>
                <w:szCs w:val="16"/>
                <w:vertAlign w:val="superscript"/>
                <w:lang w:eastAsia="en-GB"/>
              </w:rPr>
              <w:t>1</w:t>
            </w:r>
          </w:p>
        </w:tc>
        <w:tc>
          <w:tcPr>
            <w:tcW w:w="865" w:type="dxa"/>
            <w:tcBorders>
              <w:top w:val="nil"/>
              <w:left w:val="nil"/>
              <w:bottom w:val="nil"/>
              <w:right w:val="nil"/>
            </w:tcBorders>
            <w:shd w:val="clear" w:color="auto" w:fill="auto"/>
            <w:noWrap/>
            <w:vAlign w:val="center"/>
            <w:hideMark/>
          </w:tcPr>
          <w:p w14:paraId="5C37D9A2" w14:textId="77777777" w:rsidR="00E928F6" w:rsidRPr="00F3638A" w:rsidRDefault="00E928F6" w:rsidP="00AB3151">
            <w:pPr>
              <w:spacing w:after="0" w:line="240" w:lineRule="auto"/>
              <w:jc w:val="right"/>
              <w:rPr>
                <w:rFonts w:ascii="Calibri" w:eastAsia="Times New Roman" w:hAnsi="Calibri" w:cs="Times New Roman"/>
                <w:color w:val="000000"/>
                <w:sz w:val="16"/>
                <w:szCs w:val="16"/>
                <w:lang w:eastAsia="en-GB"/>
              </w:rPr>
            </w:pPr>
            <w:r>
              <w:rPr>
                <w:rFonts w:ascii="Calibri" w:hAnsi="Calibri"/>
                <w:color w:val="000000"/>
                <w:sz w:val="16"/>
                <w:szCs w:val="16"/>
              </w:rPr>
              <w:t>3,224</w:t>
            </w:r>
          </w:p>
        </w:tc>
        <w:tc>
          <w:tcPr>
            <w:tcW w:w="848" w:type="dxa"/>
            <w:tcBorders>
              <w:top w:val="nil"/>
              <w:left w:val="nil"/>
              <w:bottom w:val="nil"/>
              <w:right w:val="nil"/>
            </w:tcBorders>
            <w:shd w:val="clear" w:color="auto" w:fill="auto"/>
            <w:noWrap/>
            <w:vAlign w:val="center"/>
            <w:hideMark/>
          </w:tcPr>
          <w:p w14:paraId="65A501AD" w14:textId="77777777" w:rsidR="00E928F6" w:rsidRPr="00F3638A" w:rsidRDefault="00E928F6" w:rsidP="00AB3151">
            <w:pPr>
              <w:spacing w:after="0" w:line="240" w:lineRule="auto"/>
              <w:jc w:val="right"/>
              <w:rPr>
                <w:rFonts w:ascii="Calibri" w:eastAsia="Times New Roman" w:hAnsi="Calibri" w:cs="Times New Roman"/>
                <w:color w:val="000000"/>
                <w:sz w:val="16"/>
                <w:szCs w:val="16"/>
                <w:lang w:eastAsia="en-GB"/>
              </w:rPr>
            </w:pPr>
            <w:r>
              <w:rPr>
                <w:rFonts w:ascii="Calibri" w:hAnsi="Calibri"/>
                <w:color w:val="000000"/>
                <w:sz w:val="16"/>
                <w:szCs w:val="16"/>
              </w:rPr>
              <w:t>0.00%</w:t>
            </w:r>
          </w:p>
        </w:tc>
      </w:tr>
      <w:tr w:rsidR="00E928F6" w:rsidRPr="00F3638A" w14:paraId="4AB936E6" w14:textId="77777777" w:rsidTr="00AB3151">
        <w:trPr>
          <w:trHeight w:val="225"/>
          <w:jc w:val="center"/>
        </w:trPr>
        <w:tc>
          <w:tcPr>
            <w:tcW w:w="2767" w:type="dxa"/>
            <w:tcBorders>
              <w:top w:val="nil"/>
              <w:left w:val="nil"/>
              <w:bottom w:val="nil"/>
              <w:right w:val="nil"/>
            </w:tcBorders>
            <w:shd w:val="clear" w:color="auto" w:fill="auto"/>
            <w:noWrap/>
            <w:vAlign w:val="bottom"/>
            <w:hideMark/>
          </w:tcPr>
          <w:p w14:paraId="1DCE505B" w14:textId="77777777" w:rsidR="00E928F6" w:rsidRPr="00F3638A" w:rsidRDefault="00E928F6" w:rsidP="00AB3151">
            <w:pPr>
              <w:spacing w:after="0" w:line="240" w:lineRule="auto"/>
              <w:jc w:val="right"/>
              <w:rPr>
                <w:rFonts w:ascii="Calibri" w:eastAsia="Times New Roman" w:hAnsi="Calibri" w:cs="Times New Roman"/>
                <w:color w:val="000000"/>
                <w:sz w:val="16"/>
                <w:szCs w:val="16"/>
                <w:lang w:eastAsia="en-GB"/>
              </w:rPr>
            </w:pPr>
          </w:p>
        </w:tc>
        <w:tc>
          <w:tcPr>
            <w:tcW w:w="865" w:type="dxa"/>
            <w:tcBorders>
              <w:top w:val="single" w:sz="4" w:space="0" w:color="auto"/>
              <w:left w:val="nil"/>
              <w:bottom w:val="nil"/>
              <w:right w:val="nil"/>
            </w:tcBorders>
            <w:shd w:val="clear" w:color="auto" w:fill="auto"/>
            <w:noWrap/>
            <w:vAlign w:val="center"/>
            <w:hideMark/>
          </w:tcPr>
          <w:p w14:paraId="0EED7081" w14:textId="77777777" w:rsidR="00E928F6" w:rsidRPr="00F3638A" w:rsidRDefault="00E928F6" w:rsidP="00AB3151">
            <w:pPr>
              <w:spacing w:after="0" w:line="240" w:lineRule="auto"/>
              <w:rPr>
                <w:rFonts w:ascii="Calibri" w:eastAsia="Times New Roman" w:hAnsi="Calibri" w:cs="Times New Roman"/>
                <w:color w:val="000000"/>
                <w:sz w:val="16"/>
                <w:szCs w:val="16"/>
                <w:lang w:eastAsia="en-GB"/>
              </w:rPr>
            </w:pPr>
            <w:r>
              <w:rPr>
                <w:rFonts w:ascii="Calibri" w:hAnsi="Calibri"/>
                <w:color w:val="000000"/>
                <w:sz w:val="16"/>
                <w:szCs w:val="16"/>
              </w:rPr>
              <w:t xml:space="preserve"> #persons</w:t>
            </w:r>
          </w:p>
        </w:tc>
        <w:tc>
          <w:tcPr>
            <w:tcW w:w="848" w:type="dxa"/>
            <w:tcBorders>
              <w:top w:val="single" w:sz="4" w:space="0" w:color="auto"/>
              <w:left w:val="nil"/>
              <w:bottom w:val="nil"/>
              <w:right w:val="nil"/>
            </w:tcBorders>
            <w:shd w:val="clear" w:color="auto" w:fill="auto"/>
            <w:noWrap/>
            <w:vAlign w:val="center"/>
            <w:hideMark/>
          </w:tcPr>
          <w:p w14:paraId="4601B63E" w14:textId="77777777" w:rsidR="00E928F6" w:rsidRPr="00F3638A" w:rsidRDefault="00E928F6" w:rsidP="00AB3151">
            <w:pPr>
              <w:spacing w:after="0" w:line="240" w:lineRule="auto"/>
              <w:rPr>
                <w:rFonts w:ascii="Calibri" w:eastAsia="Times New Roman" w:hAnsi="Calibri" w:cs="Times New Roman"/>
                <w:color w:val="000000"/>
                <w:sz w:val="16"/>
                <w:szCs w:val="16"/>
                <w:lang w:eastAsia="en-GB"/>
              </w:rPr>
            </w:pPr>
            <w:r>
              <w:rPr>
                <w:rFonts w:ascii="Calibri" w:hAnsi="Calibri"/>
                <w:color w:val="000000"/>
                <w:sz w:val="16"/>
                <w:szCs w:val="16"/>
              </w:rPr>
              <w:t>% of total</w:t>
            </w:r>
          </w:p>
        </w:tc>
      </w:tr>
      <w:tr w:rsidR="00E928F6" w:rsidRPr="00F3638A" w14:paraId="6746302A" w14:textId="77777777" w:rsidTr="00AB3151">
        <w:trPr>
          <w:trHeight w:val="225"/>
          <w:jc w:val="center"/>
        </w:trPr>
        <w:tc>
          <w:tcPr>
            <w:tcW w:w="2767" w:type="dxa"/>
            <w:tcBorders>
              <w:top w:val="nil"/>
              <w:left w:val="nil"/>
              <w:bottom w:val="nil"/>
              <w:right w:val="nil"/>
            </w:tcBorders>
            <w:shd w:val="clear" w:color="auto" w:fill="auto"/>
            <w:noWrap/>
            <w:vAlign w:val="bottom"/>
            <w:hideMark/>
          </w:tcPr>
          <w:p w14:paraId="3E7BEF3F" w14:textId="77777777" w:rsidR="00E928F6" w:rsidRPr="00F3638A" w:rsidRDefault="00E928F6" w:rsidP="00AB3151">
            <w:pPr>
              <w:spacing w:after="0" w:line="240" w:lineRule="auto"/>
              <w:rPr>
                <w:rFonts w:ascii="Calibri" w:eastAsia="Times New Roman" w:hAnsi="Calibri" w:cs="Times New Roman"/>
                <w:color w:val="000000"/>
                <w:sz w:val="16"/>
                <w:szCs w:val="16"/>
                <w:lang w:eastAsia="en-GB"/>
              </w:rPr>
            </w:pPr>
            <w:r w:rsidRPr="00F3638A">
              <w:rPr>
                <w:rFonts w:ascii="Calibri" w:eastAsia="Times New Roman" w:hAnsi="Calibri" w:cs="Times New Roman"/>
                <w:color w:val="000000"/>
                <w:sz w:val="16"/>
                <w:szCs w:val="16"/>
                <w:lang w:eastAsia="en-GB"/>
              </w:rPr>
              <w:t>Δworkforce (long run, 2035)</w:t>
            </w:r>
          </w:p>
        </w:tc>
        <w:tc>
          <w:tcPr>
            <w:tcW w:w="865" w:type="dxa"/>
            <w:tcBorders>
              <w:top w:val="nil"/>
              <w:left w:val="nil"/>
              <w:bottom w:val="nil"/>
              <w:right w:val="nil"/>
            </w:tcBorders>
            <w:shd w:val="clear" w:color="auto" w:fill="auto"/>
            <w:noWrap/>
            <w:vAlign w:val="center"/>
            <w:hideMark/>
          </w:tcPr>
          <w:p w14:paraId="3396079F" w14:textId="77777777" w:rsidR="00E928F6" w:rsidRPr="00F3638A" w:rsidRDefault="00E928F6" w:rsidP="00AB3151">
            <w:pPr>
              <w:spacing w:after="0" w:line="240" w:lineRule="auto"/>
              <w:jc w:val="right"/>
              <w:rPr>
                <w:rFonts w:ascii="Calibri" w:eastAsia="Times New Roman" w:hAnsi="Calibri" w:cs="Times New Roman"/>
                <w:color w:val="000000"/>
                <w:sz w:val="16"/>
                <w:szCs w:val="16"/>
                <w:lang w:eastAsia="en-GB"/>
              </w:rPr>
            </w:pPr>
            <w:r>
              <w:rPr>
                <w:rFonts w:ascii="Calibri" w:hAnsi="Calibri"/>
                <w:color w:val="000000"/>
                <w:sz w:val="16"/>
                <w:szCs w:val="16"/>
              </w:rPr>
              <w:t>1,299</w:t>
            </w:r>
          </w:p>
        </w:tc>
        <w:tc>
          <w:tcPr>
            <w:tcW w:w="848" w:type="dxa"/>
            <w:tcBorders>
              <w:top w:val="nil"/>
              <w:left w:val="nil"/>
              <w:bottom w:val="nil"/>
              <w:right w:val="nil"/>
            </w:tcBorders>
            <w:shd w:val="clear" w:color="auto" w:fill="auto"/>
            <w:noWrap/>
            <w:vAlign w:val="center"/>
            <w:hideMark/>
          </w:tcPr>
          <w:p w14:paraId="1DAF4065" w14:textId="77777777" w:rsidR="00E928F6" w:rsidRPr="00F3638A" w:rsidRDefault="00E928F6" w:rsidP="00AB3151">
            <w:pPr>
              <w:spacing w:after="0" w:line="240" w:lineRule="auto"/>
              <w:jc w:val="right"/>
              <w:rPr>
                <w:rFonts w:ascii="Calibri" w:eastAsia="Times New Roman" w:hAnsi="Calibri" w:cs="Times New Roman"/>
                <w:color w:val="000000"/>
                <w:sz w:val="16"/>
                <w:szCs w:val="16"/>
                <w:lang w:eastAsia="en-GB"/>
              </w:rPr>
            </w:pPr>
            <w:r>
              <w:rPr>
                <w:rFonts w:ascii="Calibri" w:hAnsi="Calibri"/>
                <w:color w:val="000000"/>
                <w:sz w:val="16"/>
                <w:szCs w:val="16"/>
              </w:rPr>
              <w:t>0.00%</w:t>
            </w:r>
          </w:p>
        </w:tc>
      </w:tr>
      <w:tr w:rsidR="00E928F6" w:rsidRPr="00F3638A" w14:paraId="025BA1D9" w14:textId="77777777" w:rsidTr="00AB3151">
        <w:trPr>
          <w:trHeight w:val="255"/>
          <w:jc w:val="center"/>
        </w:trPr>
        <w:tc>
          <w:tcPr>
            <w:tcW w:w="2767" w:type="dxa"/>
            <w:tcBorders>
              <w:top w:val="nil"/>
              <w:left w:val="nil"/>
              <w:bottom w:val="nil"/>
              <w:right w:val="nil"/>
            </w:tcBorders>
            <w:shd w:val="clear" w:color="auto" w:fill="auto"/>
            <w:noWrap/>
            <w:vAlign w:val="bottom"/>
            <w:hideMark/>
          </w:tcPr>
          <w:p w14:paraId="0AB2B46C" w14:textId="77777777" w:rsidR="00E928F6" w:rsidRPr="00F3638A" w:rsidRDefault="00E928F6" w:rsidP="00AB3151">
            <w:pPr>
              <w:spacing w:after="0" w:line="240" w:lineRule="auto"/>
              <w:rPr>
                <w:rFonts w:ascii="Calibri" w:eastAsia="Times New Roman" w:hAnsi="Calibri" w:cs="Times New Roman"/>
                <w:color w:val="000000"/>
                <w:sz w:val="16"/>
                <w:szCs w:val="16"/>
                <w:lang w:eastAsia="en-GB"/>
              </w:rPr>
            </w:pPr>
            <w:r w:rsidRPr="00F3638A">
              <w:rPr>
                <w:rFonts w:ascii="Calibri" w:eastAsia="Times New Roman" w:hAnsi="Calibri" w:cs="Times New Roman"/>
                <w:color w:val="000000"/>
                <w:sz w:val="16"/>
                <w:szCs w:val="16"/>
                <w:lang w:eastAsia="en-GB"/>
              </w:rPr>
              <w:t xml:space="preserve">   - urban</w:t>
            </w:r>
            <w:r w:rsidRPr="00F3638A">
              <w:rPr>
                <w:rFonts w:ascii="Calibri" w:eastAsia="Times New Roman" w:hAnsi="Calibri" w:cs="Times New Roman"/>
                <w:color w:val="000000"/>
                <w:sz w:val="16"/>
                <w:szCs w:val="16"/>
                <w:vertAlign w:val="superscript"/>
                <w:lang w:eastAsia="en-GB"/>
              </w:rPr>
              <w:t>1</w:t>
            </w:r>
          </w:p>
        </w:tc>
        <w:tc>
          <w:tcPr>
            <w:tcW w:w="865" w:type="dxa"/>
            <w:tcBorders>
              <w:top w:val="nil"/>
              <w:left w:val="nil"/>
              <w:bottom w:val="nil"/>
              <w:right w:val="nil"/>
            </w:tcBorders>
            <w:shd w:val="clear" w:color="auto" w:fill="auto"/>
            <w:noWrap/>
            <w:vAlign w:val="center"/>
            <w:hideMark/>
          </w:tcPr>
          <w:p w14:paraId="04C03BB3" w14:textId="77777777" w:rsidR="00E928F6" w:rsidRPr="00F3638A" w:rsidRDefault="00E928F6" w:rsidP="00AB3151">
            <w:pPr>
              <w:spacing w:after="0" w:line="240" w:lineRule="auto"/>
              <w:jc w:val="right"/>
              <w:rPr>
                <w:rFonts w:ascii="Calibri" w:eastAsia="Times New Roman" w:hAnsi="Calibri" w:cs="Times New Roman"/>
                <w:color w:val="000000"/>
                <w:sz w:val="16"/>
                <w:szCs w:val="16"/>
                <w:lang w:eastAsia="en-GB"/>
              </w:rPr>
            </w:pPr>
            <w:r>
              <w:rPr>
                <w:rFonts w:ascii="Calibri" w:hAnsi="Calibri"/>
                <w:color w:val="000000"/>
                <w:sz w:val="16"/>
                <w:szCs w:val="16"/>
              </w:rPr>
              <w:t>1,090</w:t>
            </w:r>
          </w:p>
        </w:tc>
        <w:tc>
          <w:tcPr>
            <w:tcW w:w="848" w:type="dxa"/>
            <w:tcBorders>
              <w:top w:val="nil"/>
              <w:left w:val="nil"/>
              <w:bottom w:val="nil"/>
              <w:right w:val="nil"/>
            </w:tcBorders>
            <w:shd w:val="clear" w:color="auto" w:fill="auto"/>
            <w:noWrap/>
            <w:vAlign w:val="center"/>
            <w:hideMark/>
          </w:tcPr>
          <w:p w14:paraId="5DBEF8CC" w14:textId="77777777" w:rsidR="00E928F6" w:rsidRPr="00F3638A" w:rsidRDefault="00E928F6" w:rsidP="00AB3151">
            <w:pPr>
              <w:spacing w:after="0" w:line="240" w:lineRule="auto"/>
              <w:jc w:val="right"/>
              <w:rPr>
                <w:rFonts w:ascii="Calibri" w:eastAsia="Times New Roman" w:hAnsi="Calibri" w:cs="Times New Roman"/>
                <w:color w:val="000000"/>
                <w:sz w:val="16"/>
                <w:szCs w:val="16"/>
                <w:lang w:eastAsia="en-GB"/>
              </w:rPr>
            </w:pPr>
            <w:r>
              <w:rPr>
                <w:rFonts w:ascii="Calibri" w:hAnsi="Calibri"/>
                <w:color w:val="000000"/>
                <w:sz w:val="16"/>
                <w:szCs w:val="16"/>
              </w:rPr>
              <w:t>0.01%</w:t>
            </w:r>
          </w:p>
        </w:tc>
      </w:tr>
      <w:tr w:rsidR="00E928F6" w:rsidRPr="00F3638A" w14:paraId="7723F19C" w14:textId="77777777" w:rsidTr="00AB3151">
        <w:trPr>
          <w:trHeight w:val="255"/>
          <w:jc w:val="center"/>
        </w:trPr>
        <w:tc>
          <w:tcPr>
            <w:tcW w:w="2767" w:type="dxa"/>
            <w:tcBorders>
              <w:top w:val="nil"/>
              <w:left w:val="nil"/>
              <w:bottom w:val="nil"/>
              <w:right w:val="nil"/>
            </w:tcBorders>
            <w:shd w:val="clear" w:color="auto" w:fill="auto"/>
            <w:noWrap/>
            <w:vAlign w:val="bottom"/>
            <w:hideMark/>
          </w:tcPr>
          <w:p w14:paraId="105CBF5A" w14:textId="77777777" w:rsidR="00E928F6" w:rsidRPr="00F3638A" w:rsidRDefault="00E928F6" w:rsidP="00AB3151">
            <w:pPr>
              <w:spacing w:after="0" w:line="240" w:lineRule="auto"/>
              <w:rPr>
                <w:rFonts w:ascii="Calibri" w:eastAsia="Times New Roman" w:hAnsi="Calibri" w:cs="Times New Roman"/>
                <w:color w:val="000000"/>
                <w:sz w:val="16"/>
                <w:szCs w:val="16"/>
                <w:lang w:eastAsia="en-GB"/>
              </w:rPr>
            </w:pPr>
            <w:r w:rsidRPr="00F3638A">
              <w:rPr>
                <w:rFonts w:ascii="Calibri" w:eastAsia="Times New Roman" w:hAnsi="Calibri" w:cs="Times New Roman"/>
                <w:color w:val="000000"/>
                <w:sz w:val="16"/>
                <w:szCs w:val="16"/>
                <w:lang w:eastAsia="en-GB"/>
              </w:rPr>
              <w:t xml:space="preserve">   - rural</w:t>
            </w:r>
            <w:r w:rsidRPr="00F3638A">
              <w:rPr>
                <w:rFonts w:ascii="Calibri" w:eastAsia="Times New Roman" w:hAnsi="Calibri" w:cs="Times New Roman"/>
                <w:color w:val="000000"/>
                <w:sz w:val="16"/>
                <w:szCs w:val="16"/>
                <w:vertAlign w:val="superscript"/>
                <w:lang w:eastAsia="en-GB"/>
              </w:rPr>
              <w:t>1</w:t>
            </w:r>
          </w:p>
        </w:tc>
        <w:tc>
          <w:tcPr>
            <w:tcW w:w="865" w:type="dxa"/>
            <w:tcBorders>
              <w:top w:val="nil"/>
              <w:left w:val="nil"/>
              <w:bottom w:val="nil"/>
              <w:right w:val="nil"/>
            </w:tcBorders>
            <w:shd w:val="clear" w:color="auto" w:fill="auto"/>
            <w:noWrap/>
            <w:vAlign w:val="center"/>
            <w:hideMark/>
          </w:tcPr>
          <w:p w14:paraId="5125980B" w14:textId="77777777" w:rsidR="00E928F6" w:rsidRPr="00F3638A" w:rsidRDefault="00E928F6" w:rsidP="00AB3151">
            <w:pPr>
              <w:spacing w:after="0" w:line="240" w:lineRule="auto"/>
              <w:jc w:val="right"/>
              <w:rPr>
                <w:rFonts w:ascii="Calibri" w:eastAsia="Times New Roman" w:hAnsi="Calibri" w:cs="Times New Roman"/>
                <w:color w:val="000000"/>
                <w:sz w:val="16"/>
                <w:szCs w:val="16"/>
                <w:lang w:eastAsia="en-GB"/>
              </w:rPr>
            </w:pPr>
            <w:r>
              <w:rPr>
                <w:rFonts w:ascii="Calibri" w:hAnsi="Calibri"/>
                <w:color w:val="000000"/>
                <w:sz w:val="16"/>
                <w:szCs w:val="16"/>
              </w:rPr>
              <w:t>209</w:t>
            </w:r>
          </w:p>
        </w:tc>
        <w:tc>
          <w:tcPr>
            <w:tcW w:w="848" w:type="dxa"/>
            <w:tcBorders>
              <w:top w:val="nil"/>
              <w:left w:val="nil"/>
              <w:bottom w:val="nil"/>
              <w:right w:val="nil"/>
            </w:tcBorders>
            <w:shd w:val="clear" w:color="auto" w:fill="auto"/>
            <w:noWrap/>
            <w:vAlign w:val="center"/>
            <w:hideMark/>
          </w:tcPr>
          <w:p w14:paraId="2A46BF41" w14:textId="77777777" w:rsidR="00E928F6" w:rsidRPr="00F3638A" w:rsidRDefault="00E928F6" w:rsidP="00AB3151">
            <w:pPr>
              <w:spacing w:after="0" w:line="240" w:lineRule="auto"/>
              <w:jc w:val="right"/>
              <w:rPr>
                <w:rFonts w:ascii="Calibri" w:eastAsia="Times New Roman" w:hAnsi="Calibri" w:cs="Times New Roman"/>
                <w:color w:val="000000"/>
                <w:sz w:val="16"/>
                <w:szCs w:val="16"/>
                <w:lang w:eastAsia="en-GB"/>
              </w:rPr>
            </w:pPr>
            <w:r>
              <w:rPr>
                <w:rFonts w:ascii="Calibri" w:hAnsi="Calibri"/>
                <w:color w:val="000000"/>
                <w:sz w:val="16"/>
                <w:szCs w:val="16"/>
              </w:rPr>
              <w:t>0.00%</w:t>
            </w:r>
          </w:p>
        </w:tc>
      </w:tr>
    </w:tbl>
    <w:p w14:paraId="38F8D513" w14:textId="77777777" w:rsidR="00E928F6" w:rsidRDefault="00E928F6" w:rsidP="00E928F6"/>
    <w:p w14:paraId="3D1306DB" w14:textId="77777777" w:rsidR="00E928F6" w:rsidRDefault="00E928F6" w:rsidP="00E928F6"/>
    <w:p w14:paraId="1DFAC7F1" w14:textId="77777777" w:rsidR="00E928F6" w:rsidRDefault="00E928F6" w:rsidP="00E928F6"/>
    <w:p w14:paraId="38D52DDC" w14:textId="77777777" w:rsidR="00E928F6" w:rsidRDefault="00E928F6" w:rsidP="00E928F6">
      <w:pPr>
        <w:rPr>
          <w:b/>
        </w:rPr>
      </w:pPr>
      <w:r>
        <w:rPr>
          <w:b/>
        </w:rPr>
        <w:br w:type="page"/>
      </w:r>
    </w:p>
    <w:p w14:paraId="654D2B6F" w14:textId="77777777" w:rsidR="00E928F6" w:rsidRPr="00E27222" w:rsidRDefault="00E928F6" w:rsidP="00E928F6">
      <w:pPr>
        <w:rPr>
          <w:b/>
        </w:rPr>
      </w:pPr>
      <w:r w:rsidRPr="00E27222">
        <w:rPr>
          <w:b/>
        </w:rPr>
        <w:t>References for Appendices</w:t>
      </w:r>
    </w:p>
    <w:p w14:paraId="5C882B59" w14:textId="77777777" w:rsidR="00E928F6" w:rsidRPr="002901F6" w:rsidRDefault="00E928F6" w:rsidP="00E928F6">
      <w:pPr>
        <w:spacing w:line="240" w:lineRule="auto"/>
      </w:pPr>
      <w:r>
        <w:t xml:space="preserve">[1] </w:t>
      </w:r>
      <w:r w:rsidRPr="002901F6">
        <w:t xml:space="preserve">Kosulwat V, </w:t>
      </w:r>
      <w:r w:rsidRPr="00083728">
        <w:t>Rojroongwasinkul</w:t>
      </w:r>
      <w:r w:rsidRPr="002901F6">
        <w:t xml:space="preserve"> N, Boonpraderm A</w:t>
      </w:r>
      <w:r>
        <w:t>.</w:t>
      </w:r>
      <w:r w:rsidRPr="002901F6">
        <w:t xml:space="preserve"> Food consumption data of Thailand (in Thai). Bangkok. National Bureau of Agricultural Commodity and Food Standards, Ministry of Agriculture and Cooperatives.</w:t>
      </w:r>
      <w:r>
        <w:t xml:space="preserve"> </w:t>
      </w:r>
      <w:r w:rsidRPr="002901F6">
        <w:t>2006</w:t>
      </w:r>
      <w:r>
        <w:t>.</w:t>
      </w:r>
    </w:p>
    <w:p w14:paraId="6EF3CFFE" w14:textId="77777777" w:rsidR="00E928F6" w:rsidRDefault="00E928F6" w:rsidP="00E928F6">
      <w:r>
        <w:t xml:space="preserve">[2] </w:t>
      </w:r>
      <w:r w:rsidRPr="006D3493">
        <w:t xml:space="preserve">Jitnarin N, Kosulwat V, </w:t>
      </w:r>
      <w:r w:rsidRPr="00083728">
        <w:t>Rojroongwasinkul</w:t>
      </w:r>
      <w:r w:rsidRPr="006D3493">
        <w:t xml:space="preserve"> N, Boonpraderm A, Haddock CK, Poston WSC.</w:t>
      </w:r>
      <w:r w:rsidRPr="002901F6">
        <w:t xml:space="preserve"> Risk Factors for Overweight and Obesity among Thai Adults: Results of the National Thai Food Consumption Survey. Nutrition</w:t>
      </w:r>
      <w:r>
        <w:t>.</w:t>
      </w:r>
      <w:r w:rsidRPr="002901F6">
        <w:t xml:space="preserve"> </w:t>
      </w:r>
      <w:r>
        <w:t>2010;</w:t>
      </w:r>
      <w:r w:rsidRPr="002901F6">
        <w:t>2(1):60-74.</w:t>
      </w:r>
    </w:p>
    <w:p w14:paraId="1A7F3B3C" w14:textId="77777777" w:rsidR="00E928F6" w:rsidRPr="002901F6" w:rsidRDefault="00E928F6" w:rsidP="00E928F6">
      <w:pPr>
        <w:spacing w:line="240" w:lineRule="auto"/>
        <w:rPr>
          <w:bCs/>
        </w:rPr>
      </w:pPr>
      <w:r>
        <w:t xml:space="preserve">[3] </w:t>
      </w:r>
      <w:r w:rsidRPr="002901F6">
        <w:t xml:space="preserve">NSO. 2011 </w:t>
      </w:r>
      <w:r w:rsidRPr="002901F6">
        <w:rPr>
          <w:bCs/>
        </w:rPr>
        <w:t>Household Socio-Economic Survey</w:t>
      </w:r>
      <w:r>
        <w:rPr>
          <w:bCs/>
        </w:rPr>
        <w:t xml:space="preserve"> (</w:t>
      </w:r>
      <w:r w:rsidRPr="002901F6">
        <w:rPr>
          <w:bCs/>
        </w:rPr>
        <w:t>Electronic data</w:t>
      </w:r>
      <w:r>
        <w:rPr>
          <w:bCs/>
        </w:rPr>
        <w:t>)</w:t>
      </w:r>
      <w:r w:rsidRPr="002901F6">
        <w:rPr>
          <w:bCs/>
        </w:rPr>
        <w:t>. National Statistical O</w:t>
      </w:r>
      <w:r>
        <w:rPr>
          <w:bCs/>
        </w:rPr>
        <w:t>ffice</w:t>
      </w:r>
      <w:r w:rsidRPr="002901F6">
        <w:rPr>
          <w:bCs/>
        </w:rPr>
        <w:t xml:space="preserve"> Thailand. Bangkok.</w:t>
      </w:r>
      <w:r>
        <w:rPr>
          <w:bCs/>
        </w:rPr>
        <w:t xml:space="preserve"> </w:t>
      </w:r>
      <w:r w:rsidRPr="002901F6">
        <w:t>2014</w:t>
      </w:r>
      <w:r>
        <w:t>.</w:t>
      </w:r>
    </w:p>
    <w:p w14:paraId="1E103F4C" w14:textId="77777777" w:rsidR="00E928F6" w:rsidRDefault="00E928F6" w:rsidP="00E928F6">
      <w:r>
        <w:t xml:space="preserve">[4] </w:t>
      </w:r>
      <w:r w:rsidRPr="002901F6">
        <w:t>Mensink RP, Zock PL, Kester AD, Katan MB.</w:t>
      </w:r>
      <w:r>
        <w:t xml:space="preserve"> </w:t>
      </w:r>
      <w:r w:rsidRPr="002901F6">
        <w:t xml:space="preserve">Effects of dietary fatty acids and carbohydrates on the ratio of serum </w:t>
      </w:r>
      <w:r>
        <w:t>total-to-HDL</w:t>
      </w:r>
      <w:r w:rsidRPr="002901F6">
        <w:t xml:space="preserve"> cholesterol and on serum lipids and apolipoproteins: a meta-analysis of 60 controlled trials. </w:t>
      </w:r>
      <w:r w:rsidRPr="002D1A48">
        <w:t>Am J Clin Nutr</w:t>
      </w:r>
      <w:r>
        <w:t>.</w:t>
      </w:r>
      <w:r w:rsidRPr="002901F6">
        <w:t xml:space="preserve"> 2003;77:1146 55.</w:t>
      </w:r>
    </w:p>
    <w:p w14:paraId="7058F98F" w14:textId="77777777" w:rsidR="00E928F6" w:rsidRDefault="00E928F6" w:rsidP="00E928F6">
      <w:pPr>
        <w:spacing w:line="240" w:lineRule="auto"/>
      </w:pPr>
      <w:r>
        <w:t xml:space="preserve">[5] </w:t>
      </w:r>
      <w:r w:rsidRPr="00D96EAF">
        <w:t>Basu S, Babiarz KS, Ebrahim S, Vellakkal S, Stuckler D, Goldhaber-Fiebert JD. Palm oil taxes and</w:t>
      </w:r>
      <w:r>
        <w:t xml:space="preserve"> </w:t>
      </w:r>
      <w:r w:rsidRPr="00D96EAF">
        <w:t>cardiovascular disease mortality in India: economic-epidemiologic model. BMJ</w:t>
      </w:r>
      <w:r>
        <w:t>.</w:t>
      </w:r>
      <w:r w:rsidRPr="00D96EAF">
        <w:t xml:space="preserve"> 2013</w:t>
      </w:r>
      <w:r>
        <w:t>;</w:t>
      </w:r>
      <w:r w:rsidRPr="00D96EAF">
        <w:t>347:f6048</w:t>
      </w:r>
    </w:p>
    <w:p w14:paraId="206AD092" w14:textId="77777777" w:rsidR="00E928F6" w:rsidRPr="002901F6" w:rsidRDefault="00E928F6" w:rsidP="00E928F6">
      <w:pPr>
        <w:spacing w:line="240" w:lineRule="auto"/>
      </w:pPr>
      <w:r>
        <w:t xml:space="preserve">[6] </w:t>
      </w:r>
      <w:r w:rsidRPr="002901F6">
        <w:t>NHESO. Thailand National Health and Examination Survey 2008-2009. National Health Examination Survey Office. Health Systems Research Institute. Thailand.</w:t>
      </w:r>
      <w:r>
        <w:t xml:space="preserve"> </w:t>
      </w:r>
      <w:r w:rsidRPr="002901F6">
        <w:t>2009.</w:t>
      </w:r>
    </w:p>
    <w:p w14:paraId="3CD040FD" w14:textId="77777777" w:rsidR="00E928F6" w:rsidRDefault="00E928F6" w:rsidP="00E928F6">
      <w:pPr>
        <w:spacing w:line="240" w:lineRule="auto"/>
      </w:pPr>
      <w:r>
        <w:t xml:space="preserve">[7] </w:t>
      </w:r>
      <w:r w:rsidRPr="002901F6">
        <w:t>Aekplakorn W, Chariyalertsak S, Kessomboon P, Sangthong R, Inthawong R, Putwatana P. Prevalence and Management of Diabetes and Metabolic Risk Factors in Thai Adults. Diabetes Care 2011</w:t>
      </w:r>
      <w:r>
        <w:t>;</w:t>
      </w:r>
      <w:r w:rsidRPr="002901F6">
        <w:t>34(9):1980-5.</w:t>
      </w:r>
    </w:p>
    <w:p w14:paraId="1C59FC7C" w14:textId="77777777" w:rsidR="00E928F6" w:rsidRPr="002901F6" w:rsidRDefault="00E928F6" w:rsidP="00E928F6">
      <w:pPr>
        <w:spacing w:line="240" w:lineRule="auto"/>
      </w:pPr>
      <w:r>
        <w:t xml:space="preserve"> [8] </w:t>
      </w:r>
      <w:r w:rsidRPr="002901F6">
        <w:t>Lim SS, Gaziano TA, Gakidou E, Reddy KS, Farzadfar F, Lozano R. Prevention of cardiovascular disease in high-risk individuals in low-income and middle-income countries: health effects and costs.  Lancet 2007</w:t>
      </w:r>
      <w:r>
        <w:t>;</w:t>
      </w:r>
      <w:r w:rsidRPr="002901F6">
        <w:t>370(9604):2054-62.</w:t>
      </w:r>
    </w:p>
    <w:p w14:paraId="4337DAF7" w14:textId="77777777" w:rsidR="00E928F6" w:rsidRPr="002901F6" w:rsidRDefault="00E928F6" w:rsidP="00E928F6">
      <w:pPr>
        <w:spacing w:line="240" w:lineRule="auto"/>
      </w:pPr>
      <w:r>
        <w:t>[9]</w:t>
      </w:r>
      <w:r w:rsidRPr="005417A0">
        <w:t xml:space="preserve"> </w:t>
      </w:r>
      <w:r w:rsidRPr="002901F6">
        <w:t>Lewington S, Whitlock G, Clarke R, Sherliker P, Emberson J, Halsey J. Blood cholesterol and vascular mortality by age, sex, and blood pressure: a meta-analysis of individual data from 61 prospective studies with 55 000 vascular deaths. Lancet 2007</w:t>
      </w:r>
      <w:r>
        <w:t>;</w:t>
      </w:r>
      <w:r w:rsidRPr="002901F6">
        <w:t>370(9604):1829-39.</w:t>
      </w:r>
    </w:p>
    <w:p w14:paraId="50D81F3B" w14:textId="77777777" w:rsidR="00E928F6" w:rsidRPr="00824434" w:rsidRDefault="00E928F6" w:rsidP="00E928F6">
      <w:pPr>
        <w:spacing w:line="240" w:lineRule="auto"/>
        <w:rPr>
          <w:rFonts w:cstheme="minorHAnsi"/>
        </w:rPr>
      </w:pPr>
      <w:r>
        <w:t xml:space="preserve">[10] </w:t>
      </w:r>
      <w:r w:rsidRPr="00824434">
        <w:rPr>
          <w:rFonts w:cstheme="minorHAnsi"/>
        </w:rPr>
        <w:t>Prentice RL, Kalbfleisch JD, Peterson Jr JD, Flournoy N, Farewelland VT, Breslow NE. The Analysis of Failure Times in the</w:t>
      </w:r>
      <w:r>
        <w:rPr>
          <w:rFonts w:cstheme="minorHAnsi"/>
        </w:rPr>
        <w:t xml:space="preserve"> </w:t>
      </w:r>
      <w:r w:rsidRPr="00824434">
        <w:rPr>
          <w:rFonts w:cstheme="minorHAnsi"/>
        </w:rPr>
        <w:t>Presence of Competing Risks. Biometrics 1978</w:t>
      </w:r>
      <w:r>
        <w:rPr>
          <w:rFonts w:cstheme="minorHAnsi"/>
        </w:rPr>
        <w:t>;</w:t>
      </w:r>
      <w:r w:rsidRPr="00824434">
        <w:rPr>
          <w:rFonts w:cstheme="minorHAnsi"/>
        </w:rPr>
        <w:t>34(4):541-54</w:t>
      </w:r>
    </w:p>
    <w:p w14:paraId="0E32EAAF" w14:textId="77777777" w:rsidR="00E928F6" w:rsidRPr="00824434" w:rsidRDefault="00E928F6" w:rsidP="00E928F6">
      <w:pPr>
        <w:spacing w:line="240" w:lineRule="auto"/>
        <w:rPr>
          <w:rFonts w:cstheme="minorHAnsi"/>
        </w:rPr>
      </w:pPr>
      <w:r>
        <w:t xml:space="preserve">[11] </w:t>
      </w:r>
      <w:r w:rsidRPr="00384B1A">
        <w:rPr>
          <w:rFonts w:cstheme="minorHAnsi"/>
        </w:rPr>
        <w:t xml:space="preserve">Lozano R, Naghavi M, Foreman K, Lim S, Shibuya K, Aboyans V, et al. </w:t>
      </w:r>
      <w:r w:rsidRPr="00824434">
        <w:rPr>
          <w:rFonts w:cstheme="minorHAnsi"/>
        </w:rPr>
        <w:t>Global and regional mortality from 235 causes of death for 20 age groups in 1990 and 2010: a systematic analysis for the Global Burden of Disease Study 2010. Lancet 2012</w:t>
      </w:r>
      <w:r>
        <w:rPr>
          <w:rFonts w:cstheme="minorHAnsi"/>
        </w:rPr>
        <w:t>;</w:t>
      </w:r>
      <w:r w:rsidRPr="00824434">
        <w:rPr>
          <w:rFonts w:cstheme="minorHAnsi"/>
        </w:rPr>
        <w:t>380(9859):2095-2128.</w:t>
      </w:r>
    </w:p>
    <w:p w14:paraId="526203A8" w14:textId="77777777" w:rsidR="00E928F6" w:rsidRPr="00E87A04" w:rsidRDefault="00E928F6" w:rsidP="00E928F6">
      <w:pPr>
        <w:spacing w:line="240" w:lineRule="auto"/>
        <w:rPr>
          <w:rFonts w:cstheme="minorHAnsi"/>
          <w:lang w:val="it-IT"/>
        </w:rPr>
      </w:pPr>
      <w:r>
        <w:t xml:space="preserve">[12] </w:t>
      </w:r>
      <w:r w:rsidRPr="002901F6">
        <w:t xml:space="preserve">WHO. World Health Organization Mortality Database. World Health Organization. </w:t>
      </w:r>
      <w:r w:rsidRPr="00E87A04">
        <w:rPr>
          <w:lang w:val="it-IT"/>
        </w:rPr>
        <w:t xml:space="preserve">Geneva. 2014. </w:t>
      </w:r>
      <w:hyperlink r:id="rId10" w:history="1">
        <w:r w:rsidRPr="00E87A04">
          <w:rPr>
            <w:rStyle w:val="Hyperlink"/>
            <w:lang w:val="it-IT"/>
          </w:rPr>
          <w:t>http://www.who.int/healthinfo/mortality_data/en/</w:t>
        </w:r>
      </w:hyperlink>
    </w:p>
    <w:p w14:paraId="153313D5" w14:textId="77777777" w:rsidR="00E928F6" w:rsidRPr="002901F6" w:rsidRDefault="00E928F6" w:rsidP="00E928F6">
      <w:pPr>
        <w:spacing w:line="240" w:lineRule="auto"/>
      </w:pPr>
      <w:r w:rsidRPr="00E87A04">
        <w:rPr>
          <w:lang w:val="it-IT"/>
        </w:rPr>
        <w:t xml:space="preserve">[13] NESDB. </w:t>
      </w:r>
      <w:r w:rsidRPr="002901F6">
        <w:t>Population projection for Thailand 2010-2040</w:t>
      </w:r>
      <w:r w:rsidRPr="002901F6">
        <w:rPr>
          <w:bCs/>
        </w:rPr>
        <w:t>. Office of the National Economic and Social Development Board. Bangkok.</w:t>
      </w:r>
      <w:r>
        <w:rPr>
          <w:bCs/>
        </w:rPr>
        <w:t xml:space="preserve"> </w:t>
      </w:r>
      <w:r w:rsidRPr="002901F6">
        <w:t>2013a.</w:t>
      </w:r>
    </w:p>
    <w:p w14:paraId="638C9703" w14:textId="77777777" w:rsidR="00E928F6" w:rsidRPr="002901F6" w:rsidRDefault="00E928F6" w:rsidP="00E928F6">
      <w:pPr>
        <w:spacing w:line="240" w:lineRule="auto"/>
      </w:pPr>
      <w:r>
        <w:t xml:space="preserve">[14] </w:t>
      </w:r>
      <w:r w:rsidRPr="002901F6">
        <w:t>NESDB. Population projections at regional and municipality level 2010-2035</w:t>
      </w:r>
      <w:r w:rsidRPr="002901F6">
        <w:rPr>
          <w:bCs/>
        </w:rPr>
        <w:t>. Electronic data. Office of the National Economic and Social Development Board. Bangkok.</w:t>
      </w:r>
      <w:r>
        <w:rPr>
          <w:bCs/>
        </w:rPr>
        <w:t xml:space="preserve"> </w:t>
      </w:r>
      <w:r w:rsidRPr="002901F6">
        <w:t>2013b.</w:t>
      </w:r>
    </w:p>
    <w:p w14:paraId="238A369E" w14:textId="77777777" w:rsidR="00E928F6" w:rsidRDefault="00E928F6" w:rsidP="00E928F6">
      <w:pPr>
        <w:spacing w:line="240" w:lineRule="auto"/>
      </w:pPr>
      <w:r>
        <w:t xml:space="preserve"> [15] Jensen H, Keogh-Brown MR, Shankar B, </w:t>
      </w:r>
      <w:r w:rsidRPr="007A0C7F">
        <w:t>Basu S, Cuevas S, Dangour AD</w:t>
      </w:r>
      <w:r>
        <w:t>. Palm oil and dietary change: Application of an integrated macroeconomic, environmental, demographic, and health modelling framework for Thailand. Food Policy (In revision)</w:t>
      </w:r>
    </w:p>
    <w:p w14:paraId="085E0DCA" w14:textId="77777777" w:rsidR="00E928F6" w:rsidRPr="002901F6" w:rsidRDefault="00E928F6" w:rsidP="00E928F6">
      <w:pPr>
        <w:spacing w:line="240" w:lineRule="auto"/>
        <w:rPr>
          <w:rFonts w:cstheme="minorHAnsi"/>
        </w:rPr>
      </w:pPr>
      <w:r>
        <w:t xml:space="preserve">[16] </w:t>
      </w:r>
      <w:r w:rsidRPr="002901F6">
        <w:rPr>
          <w:rFonts w:cstheme="minorHAnsi"/>
        </w:rPr>
        <w:t>UN. World Population Prospects, the 2015 Revision</w:t>
      </w:r>
      <w:r>
        <w:rPr>
          <w:rFonts w:cstheme="minorHAnsi"/>
        </w:rPr>
        <w:t xml:space="preserve"> (Electronic Data)</w:t>
      </w:r>
      <w:r w:rsidRPr="002901F6">
        <w:rPr>
          <w:rFonts w:cstheme="minorHAnsi"/>
        </w:rPr>
        <w:t xml:space="preserve">. United Nations. URL: </w:t>
      </w:r>
      <w:hyperlink r:id="rId11" w:history="1">
        <w:r w:rsidRPr="002901F6">
          <w:rPr>
            <w:rStyle w:val="Hyperlink"/>
            <w:rFonts w:cstheme="minorHAnsi"/>
          </w:rPr>
          <w:t>http://esa.un.org/unpd/wpp/index.htm</w:t>
        </w:r>
      </w:hyperlink>
      <w:r w:rsidRPr="002901F6">
        <w:rPr>
          <w:rFonts w:cstheme="minorHAnsi"/>
        </w:rPr>
        <w:t>. 2015. (accessed 14. September 2015)</w:t>
      </w:r>
      <w:r w:rsidRPr="006C13A3">
        <w:rPr>
          <w:rFonts w:cstheme="minorHAnsi"/>
        </w:rPr>
        <w:t xml:space="preserve"> </w:t>
      </w:r>
    </w:p>
    <w:p w14:paraId="1B43AF50" w14:textId="77777777" w:rsidR="00E928F6" w:rsidRDefault="00E928F6" w:rsidP="00E928F6">
      <w:pPr>
        <w:spacing w:line="240" w:lineRule="auto"/>
        <w:jc w:val="both"/>
        <w:rPr>
          <w:rFonts w:cstheme="minorHAnsi"/>
        </w:rPr>
      </w:pPr>
      <w:r>
        <w:t xml:space="preserve">[17] </w:t>
      </w:r>
      <w:r>
        <w:rPr>
          <w:rFonts w:ascii="AdvOT46dcae81" w:hAnsi="AdvOT46dcae81" w:cs="AdvOT46dcae81"/>
          <w:sz w:val="21"/>
          <w:szCs w:val="21"/>
        </w:rPr>
        <w:t>WHO.</w:t>
      </w:r>
      <w:r w:rsidRPr="000D37AE">
        <w:rPr>
          <w:rFonts w:ascii="AdvOT46dcae81" w:hAnsi="AdvOT46dcae81" w:cs="AdvOT46dcae81"/>
          <w:sz w:val="21"/>
          <w:szCs w:val="21"/>
        </w:rPr>
        <w:t xml:space="preserve"> WHO methods and data sources for global burden of disease estimates 2001-2011</w:t>
      </w:r>
      <w:r>
        <w:rPr>
          <w:rFonts w:ascii="AdvOT46dcae81" w:hAnsi="AdvOT46dcae81" w:cs="AdvOT46dcae81"/>
          <w:sz w:val="21"/>
          <w:szCs w:val="21"/>
        </w:rPr>
        <w:t>.</w:t>
      </w:r>
      <w:r w:rsidRPr="000D37AE">
        <w:t xml:space="preserve"> </w:t>
      </w:r>
      <w:r w:rsidRPr="000D37AE">
        <w:rPr>
          <w:rFonts w:ascii="AdvOT46dcae81" w:hAnsi="AdvOT46dcae81" w:cs="AdvOT46dcae81"/>
          <w:sz w:val="21"/>
          <w:szCs w:val="21"/>
        </w:rPr>
        <w:t>Global Health Estimates Technical Paper WHO/HIS/HSI/GHE/2013.4</w:t>
      </w:r>
      <w:r>
        <w:rPr>
          <w:rFonts w:ascii="AdvOT46dcae81" w:hAnsi="AdvOT46dcae81" w:cs="AdvOT46dcae81"/>
          <w:sz w:val="21"/>
          <w:szCs w:val="21"/>
        </w:rPr>
        <w:t xml:space="preserve">. </w:t>
      </w:r>
      <w:r w:rsidRPr="002901F6">
        <w:t>World Health Organization. Geneva</w:t>
      </w:r>
      <w:r>
        <w:rPr>
          <w:rFonts w:ascii="AdvOT46dcae81" w:hAnsi="AdvOT46dcae81" w:cs="AdvOT46dcae81"/>
          <w:sz w:val="21"/>
          <w:szCs w:val="21"/>
        </w:rPr>
        <w:t>. 2013</w:t>
      </w:r>
    </w:p>
    <w:p w14:paraId="0EA95AFE" w14:textId="77777777" w:rsidR="00E928F6" w:rsidRPr="002901F6" w:rsidRDefault="00E928F6" w:rsidP="00E928F6">
      <w:pPr>
        <w:spacing w:line="240" w:lineRule="auto"/>
      </w:pPr>
      <w:r>
        <w:t xml:space="preserve">[18] </w:t>
      </w:r>
      <w:r w:rsidRPr="002901F6">
        <w:t xml:space="preserve">Riewpaiboon A, Riewpaiboon W, Ponssongnern K, van den Berg B. Economic valuation of informal care in Asia: A case study of care for disabled stroke survivors in Thailand. </w:t>
      </w:r>
      <w:r w:rsidRPr="006F3F53">
        <w:t>Soc Sci Med</w:t>
      </w:r>
      <w:r>
        <w:t>.</w:t>
      </w:r>
      <w:r w:rsidRPr="006F3F53">
        <w:t xml:space="preserve"> </w:t>
      </w:r>
      <w:r w:rsidRPr="002901F6">
        <w:t>2009.</w:t>
      </w:r>
      <w:r>
        <w:t>;</w:t>
      </w:r>
      <w:r w:rsidRPr="002901F6">
        <w:t>69(4):648-53.</w:t>
      </w:r>
    </w:p>
    <w:p w14:paraId="12148E54" w14:textId="77777777" w:rsidR="00E928F6" w:rsidRPr="002901F6" w:rsidRDefault="00E928F6" w:rsidP="00E928F6">
      <w:pPr>
        <w:spacing w:line="240" w:lineRule="auto"/>
      </w:pPr>
      <w:r>
        <w:t xml:space="preserve">[19] </w:t>
      </w:r>
      <w:r w:rsidRPr="002901F6">
        <w:t>Anukoolsawat P, Sritara P, Teerawattananon Y. Costs of Lifetime Treatment of Acute Coronary Syndrome at Ramathibodi Hospital. Thai Heart J</w:t>
      </w:r>
      <w:r>
        <w:t>.</w:t>
      </w:r>
      <w:r w:rsidRPr="002901F6">
        <w:t xml:space="preserve"> </w:t>
      </w:r>
      <w:r>
        <w:t>2006;</w:t>
      </w:r>
      <w:r w:rsidRPr="002901F6">
        <w:t>19</w:t>
      </w:r>
      <w:r>
        <w:t>(</w:t>
      </w:r>
      <w:r w:rsidRPr="002901F6">
        <w:t>4):132-143.</w:t>
      </w:r>
    </w:p>
    <w:p w14:paraId="39A4EE01" w14:textId="77777777" w:rsidR="00E928F6" w:rsidRPr="002901F6" w:rsidRDefault="00E928F6" w:rsidP="00E928F6">
      <w:pPr>
        <w:spacing w:line="240" w:lineRule="auto"/>
      </w:pPr>
      <w:r>
        <w:t xml:space="preserve">[20] </w:t>
      </w:r>
      <w:r w:rsidRPr="002901F6">
        <w:t xml:space="preserve">Khiaocharoen O, Pannarunothai S, Zungsontiporn C. Cost of acute and sub-acute care for stroke patients. </w:t>
      </w:r>
      <w:r w:rsidRPr="006D3493">
        <w:t>J Med Assoc Thai</w:t>
      </w:r>
      <w:r>
        <w:t>.</w:t>
      </w:r>
      <w:r w:rsidRPr="006D3493">
        <w:t xml:space="preserve"> </w:t>
      </w:r>
      <w:r>
        <w:t>2012;</w:t>
      </w:r>
      <w:r w:rsidRPr="002901F6">
        <w:t>95(10):1266-77.</w:t>
      </w:r>
    </w:p>
    <w:p w14:paraId="074B6CC4" w14:textId="77777777" w:rsidR="00E928F6" w:rsidRPr="002901F6" w:rsidRDefault="00E928F6" w:rsidP="00E928F6">
      <w:pPr>
        <w:spacing w:line="240" w:lineRule="auto"/>
      </w:pPr>
      <w:r>
        <w:t xml:space="preserve">[21] </w:t>
      </w:r>
      <w:r w:rsidRPr="002901F6">
        <w:t>NSO. Key statistics of Thailand 2003-2007. National Statistical O</w:t>
      </w:r>
      <w:r>
        <w:t>ffice</w:t>
      </w:r>
      <w:r w:rsidRPr="002901F6">
        <w:t xml:space="preserve"> Thailand. Bangkok.</w:t>
      </w:r>
      <w:r>
        <w:t xml:space="preserve"> </w:t>
      </w:r>
      <w:r w:rsidRPr="002901F6">
        <w:t>2008.</w:t>
      </w:r>
    </w:p>
    <w:p w14:paraId="73984ADB" w14:textId="77777777" w:rsidR="00E928F6" w:rsidRDefault="00E928F6" w:rsidP="00E928F6"/>
    <w:p w14:paraId="347CA17B" w14:textId="77777777" w:rsidR="00E928F6" w:rsidRDefault="00E928F6" w:rsidP="00E928F6">
      <w:pPr>
        <w:spacing w:line="240" w:lineRule="auto"/>
      </w:pPr>
    </w:p>
    <w:p w14:paraId="31B88A26" w14:textId="77777777" w:rsidR="005F5427" w:rsidRDefault="00BD4CBB"/>
    <w:sectPr w:rsidR="005F5427" w:rsidSect="00E27222">
      <w:footerReference w:type="default" r:id="rId1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83BFE5" w14:textId="77777777" w:rsidR="00BD4CBB" w:rsidRDefault="00BD4CBB" w:rsidP="00E928F6">
      <w:pPr>
        <w:spacing w:after="0" w:line="240" w:lineRule="auto"/>
      </w:pPr>
      <w:r>
        <w:separator/>
      </w:r>
    </w:p>
  </w:endnote>
  <w:endnote w:type="continuationSeparator" w:id="0">
    <w:p w14:paraId="629B9152" w14:textId="77777777" w:rsidR="00BD4CBB" w:rsidRDefault="00BD4CBB" w:rsidP="00E92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dvOT46dcae81">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9332958"/>
      <w:docPartObj>
        <w:docPartGallery w:val="Page Numbers (Bottom of Page)"/>
        <w:docPartUnique/>
      </w:docPartObj>
    </w:sdtPr>
    <w:sdtEndPr>
      <w:rPr>
        <w:noProof/>
      </w:rPr>
    </w:sdtEndPr>
    <w:sdtContent>
      <w:p w14:paraId="2956682C" w14:textId="535BBECB" w:rsidR="00DE708C" w:rsidRDefault="00DE708C">
        <w:pPr>
          <w:pStyle w:val="Footer"/>
          <w:jc w:val="center"/>
        </w:pPr>
        <w:r>
          <w:t>A</w:t>
        </w:r>
        <w:r>
          <w:fldChar w:fldCharType="begin"/>
        </w:r>
        <w:r>
          <w:instrText xml:space="preserve"> PAGE   \* MERGEFORMAT </w:instrText>
        </w:r>
        <w:r>
          <w:fldChar w:fldCharType="separate"/>
        </w:r>
        <w:r w:rsidR="00BD4CBB">
          <w:rPr>
            <w:noProof/>
          </w:rPr>
          <w:t>1</w:t>
        </w:r>
        <w:r>
          <w:rPr>
            <w:noProof/>
          </w:rPr>
          <w:fldChar w:fldCharType="end"/>
        </w:r>
      </w:p>
    </w:sdtContent>
  </w:sdt>
  <w:p w14:paraId="014A1F0C" w14:textId="77777777" w:rsidR="00BB4B59" w:rsidRDefault="00BD4C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7AC07E" w14:textId="77777777" w:rsidR="00BD4CBB" w:rsidRDefault="00BD4CBB" w:rsidP="00E928F6">
      <w:pPr>
        <w:spacing w:after="0" w:line="240" w:lineRule="auto"/>
      </w:pPr>
      <w:r>
        <w:separator/>
      </w:r>
    </w:p>
  </w:footnote>
  <w:footnote w:type="continuationSeparator" w:id="0">
    <w:p w14:paraId="70ADA648" w14:textId="77777777" w:rsidR="00BD4CBB" w:rsidRDefault="00BD4CBB" w:rsidP="00E928F6">
      <w:pPr>
        <w:spacing w:after="0" w:line="240" w:lineRule="auto"/>
      </w:pPr>
      <w:r>
        <w:continuationSeparator/>
      </w:r>
    </w:p>
  </w:footnote>
  <w:footnote w:id="1">
    <w:p w14:paraId="574D4AA8" w14:textId="77777777" w:rsidR="00E928F6" w:rsidRPr="002C40D5" w:rsidRDefault="00E928F6" w:rsidP="00E928F6">
      <w:pPr>
        <w:pStyle w:val="FootnoteText"/>
      </w:pPr>
      <w:r>
        <w:rPr>
          <w:rStyle w:val="FootnoteReference"/>
        </w:rPr>
        <w:footnoteRef/>
      </w:r>
      <w:r>
        <w:t xml:space="preserve"> The 2004-5 TFCS data set was conducted in 2003-2005 by Institute of Nutrition, Mahidol University with support from the National Bureau of Agricultural Commodity and Food Standards, Thailand. TFCS data extracts were kindly supplied by Dr. Nipa </w:t>
      </w:r>
      <w:r w:rsidRPr="00083728">
        <w:t>Rojroongwasinkul</w:t>
      </w:r>
      <w:r>
        <w:t>, Institute of Nutrition, Mahidol University.</w:t>
      </w:r>
    </w:p>
  </w:footnote>
  <w:footnote w:id="2">
    <w:p w14:paraId="4B35FCA7" w14:textId="77777777" w:rsidR="00E928F6" w:rsidRPr="00F73D06" w:rsidRDefault="00E928F6" w:rsidP="00E928F6">
      <w:pPr>
        <w:pStyle w:val="FootnoteText"/>
      </w:pPr>
      <w:r>
        <w:rPr>
          <w:rStyle w:val="FootnoteReference"/>
        </w:rPr>
        <w:footnoteRef/>
      </w:r>
      <w:r>
        <w:t xml:space="preserve"> A few initial Total-to-HDL ratio biomarker outliers were eliminated from the database.</w:t>
      </w:r>
    </w:p>
  </w:footnote>
  <w:footnote w:id="3">
    <w:p w14:paraId="712A628A" w14:textId="77777777" w:rsidR="00E928F6" w:rsidRPr="00A20FF7" w:rsidRDefault="00E928F6" w:rsidP="00E928F6">
      <w:pPr>
        <w:pStyle w:val="FootnoteText"/>
      </w:pPr>
      <w:r>
        <w:rPr>
          <w:rStyle w:val="FootnoteReference"/>
        </w:rPr>
        <w:footnoteRef/>
      </w:r>
      <w:r>
        <w:t xml:space="preserve"> The severity of stroke differs strongly between cases. This is evidenced by the distribution of Thai stroke cases over four Barthel index-based disability categories [18]. In order to capture the distribution of case severity, the four Barthel-categories of the latter paper (all defined by Barthel index scores&lt;95) were mapped to the four least severe categories (out of five) of 2010 Global Burden of Disease YLD disability weights for stroke [17]. Together, the two distributions of Thai-specific case severity shares and severity-specific YLD disease burdens were used to compute weighted Thai YLD disability weights for stroke (to be used for our patient disease burden calculations). In terms of MI, the two categories of 2010 Global Burden of Disease YLD disability weights were defined for stage 1 (first 2 days, most severe) and stage 2 (following 26 days, much less severe). For MI, we therefore decided to compute a weighted YLD disability weight using the relative duration of the two stages as weights.</w:t>
      </w:r>
    </w:p>
  </w:footnote>
  <w:footnote w:id="4">
    <w:p w14:paraId="02133A1A" w14:textId="77777777" w:rsidR="00E928F6" w:rsidRPr="0046656F" w:rsidRDefault="00E928F6" w:rsidP="00E928F6">
      <w:pPr>
        <w:pStyle w:val="FootnoteText"/>
      </w:pPr>
      <w:r>
        <w:rPr>
          <w:rStyle w:val="FootnoteReference"/>
        </w:rPr>
        <w:footnoteRef/>
      </w:r>
      <w:r>
        <w:t xml:space="preserve"> Caregiver time losses for myocardial infarction (MI) were considered small due to short illness duration, and therefore not included in the study. E.g. the 2010 GBD study only attributes MI disease burden to the first 28 days of illness [17].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otal_Editing_Time" w:val="1"/>
  </w:docVars>
  <w:rsids>
    <w:rsidRoot w:val="00E928F6"/>
    <w:rsid w:val="000107A0"/>
    <w:rsid w:val="00057A2A"/>
    <w:rsid w:val="000D42D7"/>
    <w:rsid w:val="00302646"/>
    <w:rsid w:val="003A2C93"/>
    <w:rsid w:val="004337D1"/>
    <w:rsid w:val="0049123D"/>
    <w:rsid w:val="0049706B"/>
    <w:rsid w:val="00573EAE"/>
    <w:rsid w:val="005F1FF8"/>
    <w:rsid w:val="008C6272"/>
    <w:rsid w:val="00984531"/>
    <w:rsid w:val="00A2055F"/>
    <w:rsid w:val="00AA358E"/>
    <w:rsid w:val="00AF32BA"/>
    <w:rsid w:val="00B03CC9"/>
    <w:rsid w:val="00BB76D3"/>
    <w:rsid w:val="00BD4CBB"/>
    <w:rsid w:val="00C373D2"/>
    <w:rsid w:val="00DD416C"/>
    <w:rsid w:val="00DE708C"/>
    <w:rsid w:val="00E165A7"/>
    <w:rsid w:val="00E36C58"/>
    <w:rsid w:val="00E6375D"/>
    <w:rsid w:val="00E87A04"/>
    <w:rsid w:val="00E928F6"/>
    <w:rsid w:val="00EA2DD3"/>
    <w:rsid w:val="00EC0E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FFD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8F6"/>
  </w:style>
  <w:style w:type="paragraph" w:styleId="Heading1">
    <w:name w:val="heading 1"/>
    <w:basedOn w:val="Normal"/>
    <w:next w:val="Normal"/>
    <w:link w:val="Heading1Char"/>
    <w:uiPriority w:val="9"/>
    <w:qFormat/>
    <w:rsid w:val="00E928F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28F6"/>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E928F6"/>
    <w:rPr>
      <w:color w:val="0000FF"/>
      <w:u w:val="single"/>
    </w:rPr>
  </w:style>
  <w:style w:type="paragraph" w:styleId="FootnoteText">
    <w:name w:val="footnote text"/>
    <w:basedOn w:val="Normal"/>
    <w:link w:val="FootnoteTextChar"/>
    <w:uiPriority w:val="99"/>
    <w:unhideWhenUsed/>
    <w:rsid w:val="00E928F6"/>
    <w:pPr>
      <w:spacing w:after="0" w:line="240" w:lineRule="auto"/>
    </w:pPr>
    <w:rPr>
      <w:rFonts w:eastAsiaTheme="minorEastAsia"/>
      <w:sz w:val="20"/>
      <w:szCs w:val="20"/>
      <w:lang w:val="en-US"/>
    </w:rPr>
  </w:style>
  <w:style w:type="character" w:customStyle="1" w:styleId="FootnoteTextChar">
    <w:name w:val="Footnote Text Char"/>
    <w:basedOn w:val="DefaultParagraphFont"/>
    <w:link w:val="FootnoteText"/>
    <w:uiPriority w:val="99"/>
    <w:rsid w:val="00E928F6"/>
    <w:rPr>
      <w:rFonts w:eastAsiaTheme="minorEastAsia"/>
      <w:sz w:val="20"/>
      <w:szCs w:val="20"/>
      <w:lang w:val="en-US"/>
    </w:rPr>
  </w:style>
  <w:style w:type="character" w:styleId="FootnoteReference">
    <w:name w:val="footnote reference"/>
    <w:basedOn w:val="DefaultParagraphFont"/>
    <w:uiPriority w:val="99"/>
    <w:semiHidden/>
    <w:unhideWhenUsed/>
    <w:rsid w:val="00E928F6"/>
    <w:rPr>
      <w:vertAlign w:val="superscript"/>
    </w:rPr>
  </w:style>
  <w:style w:type="paragraph" w:styleId="Footer">
    <w:name w:val="footer"/>
    <w:basedOn w:val="Normal"/>
    <w:link w:val="FooterChar"/>
    <w:uiPriority w:val="99"/>
    <w:unhideWhenUsed/>
    <w:rsid w:val="00E928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28F6"/>
  </w:style>
  <w:style w:type="table" w:styleId="TableGrid">
    <w:name w:val="Table Grid"/>
    <w:basedOn w:val="TableNormal"/>
    <w:uiPriority w:val="39"/>
    <w:rsid w:val="00E928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E70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708C"/>
  </w:style>
  <w:style w:type="paragraph" w:styleId="BalloonText">
    <w:name w:val="Balloon Text"/>
    <w:basedOn w:val="Normal"/>
    <w:link w:val="BalloonTextChar"/>
    <w:uiPriority w:val="99"/>
    <w:semiHidden/>
    <w:unhideWhenUsed/>
    <w:rsid w:val="00057A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7A2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8F6"/>
  </w:style>
  <w:style w:type="paragraph" w:styleId="Heading1">
    <w:name w:val="heading 1"/>
    <w:basedOn w:val="Normal"/>
    <w:next w:val="Normal"/>
    <w:link w:val="Heading1Char"/>
    <w:uiPriority w:val="9"/>
    <w:qFormat/>
    <w:rsid w:val="00E928F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28F6"/>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E928F6"/>
    <w:rPr>
      <w:color w:val="0000FF"/>
      <w:u w:val="single"/>
    </w:rPr>
  </w:style>
  <w:style w:type="paragraph" w:styleId="FootnoteText">
    <w:name w:val="footnote text"/>
    <w:basedOn w:val="Normal"/>
    <w:link w:val="FootnoteTextChar"/>
    <w:uiPriority w:val="99"/>
    <w:unhideWhenUsed/>
    <w:rsid w:val="00E928F6"/>
    <w:pPr>
      <w:spacing w:after="0" w:line="240" w:lineRule="auto"/>
    </w:pPr>
    <w:rPr>
      <w:rFonts w:eastAsiaTheme="minorEastAsia"/>
      <w:sz w:val="20"/>
      <w:szCs w:val="20"/>
      <w:lang w:val="en-US"/>
    </w:rPr>
  </w:style>
  <w:style w:type="character" w:customStyle="1" w:styleId="FootnoteTextChar">
    <w:name w:val="Footnote Text Char"/>
    <w:basedOn w:val="DefaultParagraphFont"/>
    <w:link w:val="FootnoteText"/>
    <w:uiPriority w:val="99"/>
    <w:rsid w:val="00E928F6"/>
    <w:rPr>
      <w:rFonts w:eastAsiaTheme="minorEastAsia"/>
      <w:sz w:val="20"/>
      <w:szCs w:val="20"/>
      <w:lang w:val="en-US"/>
    </w:rPr>
  </w:style>
  <w:style w:type="character" w:styleId="FootnoteReference">
    <w:name w:val="footnote reference"/>
    <w:basedOn w:val="DefaultParagraphFont"/>
    <w:uiPriority w:val="99"/>
    <w:semiHidden/>
    <w:unhideWhenUsed/>
    <w:rsid w:val="00E928F6"/>
    <w:rPr>
      <w:vertAlign w:val="superscript"/>
    </w:rPr>
  </w:style>
  <w:style w:type="paragraph" w:styleId="Footer">
    <w:name w:val="footer"/>
    <w:basedOn w:val="Normal"/>
    <w:link w:val="FooterChar"/>
    <w:uiPriority w:val="99"/>
    <w:unhideWhenUsed/>
    <w:rsid w:val="00E928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28F6"/>
  </w:style>
  <w:style w:type="table" w:styleId="TableGrid">
    <w:name w:val="Table Grid"/>
    <w:basedOn w:val="TableNormal"/>
    <w:uiPriority w:val="39"/>
    <w:rsid w:val="00E928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E70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708C"/>
  </w:style>
  <w:style w:type="paragraph" w:styleId="BalloonText">
    <w:name w:val="Balloon Text"/>
    <w:basedOn w:val="Normal"/>
    <w:link w:val="BalloonTextChar"/>
    <w:uiPriority w:val="99"/>
    <w:semiHidden/>
    <w:unhideWhenUsed/>
    <w:rsid w:val="00057A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7A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sa.un.org/unpd/wpp/index.htm" TargetMode="External"/><Relationship Id="rId5" Type="http://schemas.openxmlformats.org/officeDocument/2006/relationships/webSettings" Target="webSettings.xml"/><Relationship Id="rId10" Type="http://schemas.openxmlformats.org/officeDocument/2006/relationships/hyperlink" Target="http://www.who.int/healthinfo/mortality_data/en/"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LSHTM%20Work\POSHE\Papers\Disease%20Burden\Population%20Health%20Metrics\Figures%20June%2018\Health%20Impacts%20Nut%20Match%20and%20Tax%20Revised%20080618.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LSHTM%20Work\POSHE\Papers\Disease%20Burden\Population%20Health%20Metrics\Figures%20June%2018\Health%20Impacts%20Nut%20Match%20and%20Tax%20Revised%2008061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PH"/>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Household Income (mn USD)</a:t>
            </a: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2"/>
          <c:order val="0"/>
          <c:tx>
            <c:strRef>
              <c:f>'Both Level Diff'!$M$71</c:f>
              <c:strCache>
                <c:ptCount val="1"/>
                <c:pt idx="0">
                  <c:v>Year 2016</c:v>
                </c:pt>
              </c:strCache>
            </c:strRef>
          </c:tx>
          <c:spPr>
            <a:solidFill>
              <a:schemeClr val="accent3"/>
            </a:solidFill>
            <a:ln>
              <a:noFill/>
            </a:ln>
            <a:effectLst/>
            <a:sp3d/>
          </c:spPr>
          <c:invertIfNegative val="0"/>
          <c:cat>
            <c:strRef>
              <c:f>'Both Level Diff'!$J$72:$J$80</c:f>
              <c:strCache>
                <c:ptCount val="9"/>
                <c:pt idx="0">
                  <c:v>Bangkok</c:v>
                </c:pt>
                <c:pt idx="1">
                  <c:v>Central Exc Bkk Urban</c:v>
                </c:pt>
                <c:pt idx="2">
                  <c:v>Central Exc Bkk Rural</c:v>
                </c:pt>
                <c:pt idx="3">
                  <c:v>North Urban</c:v>
                </c:pt>
                <c:pt idx="4">
                  <c:v>North Rural</c:v>
                </c:pt>
                <c:pt idx="5">
                  <c:v>Northeast Urban</c:v>
                </c:pt>
                <c:pt idx="6">
                  <c:v>Northeast Rural</c:v>
                </c:pt>
                <c:pt idx="7">
                  <c:v>South Urban</c:v>
                </c:pt>
                <c:pt idx="8">
                  <c:v>South Rural</c:v>
                </c:pt>
              </c:strCache>
            </c:strRef>
          </c:cat>
          <c:val>
            <c:numRef>
              <c:f>'Both Level Diff'!$M$72:$M$80</c:f>
              <c:numCache>
                <c:formatCode>#,##0</c:formatCode>
                <c:ptCount val="9"/>
                <c:pt idx="0">
                  <c:v>-0.10441230337164598</c:v>
                </c:pt>
                <c:pt idx="1">
                  <c:v>-5.288343740903656E-2</c:v>
                </c:pt>
                <c:pt idx="2">
                  <c:v>-0.10769609117414802</c:v>
                </c:pt>
                <c:pt idx="3">
                  <c:v>-2.1333354783564573E-2</c:v>
                </c:pt>
                <c:pt idx="4">
                  <c:v>-6.2392472918872954E-2</c:v>
                </c:pt>
                <c:pt idx="5">
                  <c:v>-3.9323603115917649E-2</c:v>
                </c:pt>
                <c:pt idx="6">
                  <c:v>-0.15450553588743787</c:v>
                </c:pt>
                <c:pt idx="7">
                  <c:v>1.8474604463335709E-2</c:v>
                </c:pt>
                <c:pt idx="8">
                  <c:v>1.0062091478175716E-2</c:v>
                </c:pt>
              </c:numCache>
            </c:numRef>
          </c:val>
          <c:extLst xmlns:c16r2="http://schemas.microsoft.com/office/drawing/2015/06/chart">
            <c:ext xmlns:c16="http://schemas.microsoft.com/office/drawing/2014/chart" uri="{C3380CC4-5D6E-409C-BE32-E72D297353CC}">
              <c16:uniqueId val="{00000000-6646-4B1C-B452-56374ACC29E5}"/>
            </c:ext>
          </c:extLst>
        </c:ser>
        <c:ser>
          <c:idx val="3"/>
          <c:order val="1"/>
          <c:tx>
            <c:strRef>
              <c:f>'Both Level Diff'!$N$71</c:f>
              <c:strCache>
                <c:ptCount val="1"/>
                <c:pt idx="0">
                  <c:v>Year 2035</c:v>
                </c:pt>
              </c:strCache>
            </c:strRef>
          </c:tx>
          <c:spPr>
            <a:solidFill>
              <a:schemeClr val="accent4"/>
            </a:solidFill>
            <a:ln>
              <a:noFill/>
            </a:ln>
            <a:effectLst/>
            <a:sp3d/>
          </c:spPr>
          <c:invertIfNegative val="0"/>
          <c:cat>
            <c:strRef>
              <c:f>'Both Level Diff'!$J$72:$J$80</c:f>
              <c:strCache>
                <c:ptCount val="9"/>
                <c:pt idx="0">
                  <c:v>Bangkok</c:v>
                </c:pt>
                <c:pt idx="1">
                  <c:v>Central Exc Bkk Urban</c:v>
                </c:pt>
                <c:pt idx="2">
                  <c:v>Central Exc Bkk Rural</c:v>
                </c:pt>
                <c:pt idx="3">
                  <c:v>North Urban</c:v>
                </c:pt>
                <c:pt idx="4">
                  <c:v>North Rural</c:v>
                </c:pt>
                <c:pt idx="5">
                  <c:v>Northeast Urban</c:v>
                </c:pt>
                <c:pt idx="6">
                  <c:v>Northeast Rural</c:v>
                </c:pt>
                <c:pt idx="7">
                  <c:v>South Urban</c:v>
                </c:pt>
                <c:pt idx="8">
                  <c:v>South Rural</c:v>
                </c:pt>
              </c:strCache>
            </c:strRef>
          </c:cat>
          <c:val>
            <c:numRef>
              <c:f>'Both Level Diff'!$N$72:$N$80</c:f>
              <c:numCache>
                <c:formatCode>#,##0</c:formatCode>
                <c:ptCount val="9"/>
                <c:pt idx="0">
                  <c:v>5.9798292187915649</c:v>
                </c:pt>
                <c:pt idx="1">
                  <c:v>4.1069539838645142</c:v>
                </c:pt>
                <c:pt idx="2">
                  <c:v>2.5552287528553279</c:v>
                </c:pt>
                <c:pt idx="3">
                  <c:v>2.1058665207747254</c:v>
                </c:pt>
                <c:pt idx="4">
                  <c:v>1.8897134263825137</c:v>
                </c:pt>
                <c:pt idx="5">
                  <c:v>2.2775693873991258</c:v>
                </c:pt>
                <c:pt idx="6">
                  <c:v>2.3148811779537937</c:v>
                </c:pt>
                <c:pt idx="7">
                  <c:v>2.9038099219833384</c:v>
                </c:pt>
                <c:pt idx="8">
                  <c:v>2.3652879770306754</c:v>
                </c:pt>
              </c:numCache>
            </c:numRef>
          </c:val>
          <c:extLst xmlns:c16r2="http://schemas.microsoft.com/office/drawing/2015/06/chart">
            <c:ext xmlns:c16="http://schemas.microsoft.com/office/drawing/2014/chart" uri="{C3380CC4-5D6E-409C-BE32-E72D297353CC}">
              <c16:uniqueId val="{00000001-6646-4B1C-B452-56374ACC29E5}"/>
            </c:ext>
          </c:extLst>
        </c:ser>
        <c:dLbls>
          <c:showLegendKey val="0"/>
          <c:showVal val="0"/>
          <c:showCatName val="0"/>
          <c:showSerName val="0"/>
          <c:showPercent val="0"/>
          <c:showBubbleSize val="0"/>
        </c:dLbls>
        <c:gapWidth val="150"/>
        <c:shape val="box"/>
        <c:axId val="388395776"/>
        <c:axId val="748221568"/>
        <c:axId val="0"/>
      </c:bar3DChart>
      <c:catAx>
        <c:axId val="388395776"/>
        <c:scaling>
          <c:orientation val="minMax"/>
        </c:scaling>
        <c:delete val="0"/>
        <c:axPos val="b"/>
        <c:numFmt formatCode="General" sourceLinked="1"/>
        <c:majorTickMark val="none"/>
        <c:minorTickMark val="none"/>
        <c:tickLblPos val="nextTo"/>
        <c:spPr>
          <a:noFill/>
          <a:ln>
            <a:noFill/>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48221568"/>
        <c:crosses val="autoZero"/>
        <c:auto val="1"/>
        <c:lblAlgn val="ctr"/>
        <c:lblOffset val="100"/>
        <c:noMultiLvlLbl val="0"/>
      </c:catAx>
      <c:valAx>
        <c:axId val="748221568"/>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83957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lumMod val="85000"/>
      </a:schemeClr>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PH"/>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HH</a:t>
            </a:r>
            <a:r>
              <a:rPr lang="en-GB" baseline="0"/>
              <a:t> Consumption (mn USD)</a:t>
            </a:r>
            <a:endParaRPr lang="en-GB"/>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2"/>
          <c:order val="0"/>
          <c:tx>
            <c:strRef>
              <c:f>'Both Level Diff'!$M$155</c:f>
              <c:strCache>
                <c:ptCount val="1"/>
                <c:pt idx="0">
                  <c:v>Year 2016</c:v>
                </c:pt>
              </c:strCache>
            </c:strRef>
          </c:tx>
          <c:spPr>
            <a:solidFill>
              <a:schemeClr val="accent3"/>
            </a:solidFill>
            <a:ln>
              <a:noFill/>
            </a:ln>
            <a:effectLst/>
            <a:sp3d/>
          </c:spPr>
          <c:invertIfNegative val="0"/>
          <c:cat>
            <c:strRef>
              <c:f>'Both Level Diff'!$J$159:$J$167</c:f>
              <c:strCache>
                <c:ptCount val="9"/>
                <c:pt idx="0">
                  <c:v>Bangkok</c:v>
                </c:pt>
                <c:pt idx="1">
                  <c:v>Central Exc Bkk Urban</c:v>
                </c:pt>
                <c:pt idx="2">
                  <c:v>Central Exc Bkk Rural</c:v>
                </c:pt>
                <c:pt idx="3">
                  <c:v>North Urban</c:v>
                </c:pt>
                <c:pt idx="4">
                  <c:v>North Rural</c:v>
                </c:pt>
                <c:pt idx="5">
                  <c:v>Northeast Urban</c:v>
                </c:pt>
                <c:pt idx="6">
                  <c:v>Northeast Rural</c:v>
                </c:pt>
                <c:pt idx="7">
                  <c:v>South Urban</c:v>
                </c:pt>
                <c:pt idx="8">
                  <c:v>South Rural</c:v>
                </c:pt>
              </c:strCache>
            </c:strRef>
          </c:cat>
          <c:val>
            <c:numRef>
              <c:f>'Both Level Diff'!$M$159:$M$167</c:f>
              <c:numCache>
                <c:formatCode>#,##0</c:formatCode>
                <c:ptCount val="9"/>
                <c:pt idx="0">
                  <c:v>-5.96050256935996E-2</c:v>
                </c:pt>
                <c:pt idx="1">
                  <c:v>-2.8747549691615859E-2</c:v>
                </c:pt>
                <c:pt idx="2">
                  <c:v>-7.2258797841641353E-2</c:v>
                </c:pt>
                <c:pt idx="3">
                  <c:v>-9.105759938393021E-3</c:v>
                </c:pt>
                <c:pt idx="4">
                  <c:v>-3.6721567495987983E-2</c:v>
                </c:pt>
                <c:pt idx="5">
                  <c:v>-1.9768285659665707E-2</c:v>
                </c:pt>
                <c:pt idx="6">
                  <c:v>-9.6463708312512608E-2</c:v>
                </c:pt>
                <c:pt idx="7">
                  <c:v>2.3579992841405328E-2</c:v>
                </c:pt>
                <c:pt idx="8">
                  <c:v>2.2660518996417522E-2</c:v>
                </c:pt>
              </c:numCache>
            </c:numRef>
          </c:val>
          <c:extLst xmlns:c16r2="http://schemas.microsoft.com/office/drawing/2015/06/chart">
            <c:ext xmlns:c16="http://schemas.microsoft.com/office/drawing/2014/chart" uri="{C3380CC4-5D6E-409C-BE32-E72D297353CC}">
              <c16:uniqueId val="{00000000-6751-40E5-B825-2B1A6A8C6550}"/>
            </c:ext>
          </c:extLst>
        </c:ser>
        <c:ser>
          <c:idx val="3"/>
          <c:order val="1"/>
          <c:tx>
            <c:strRef>
              <c:f>'Both Level Diff'!$N$155</c:f>
              <c:strCache>
                <c:ptCount val="1"/>
                <c:pt idx="0">
                  <c:v>Year 2035</c:v>
                </c:pt>
              </c:strCache>
            </c:strRef>
          </c:tx>
          <c:spPr>
            <a:solidFill>
              <a:schemeClr val="accent4"/>
            </a:solidFill>
            <a:ln>
              <a:noFill/>
            </a:ln>
            <a:effectLst/>
            <a:sp3d/>
          </c:spPr>
          <c:invertIfNegative val="0"/>
          <c:cat>
            <c:strRef>
              <c:f>'Both Level Diff'!$J$159:$J$167</c:f>
              <c:strCache>
                <c:ptCount val="9"/>
                <c:pt idx="0">
                  <c:v>Bangkok</c:v>
                </c:pt>
                <c:pt idx="1">
                  <c:v>Central Exc Bkk Urban</c:v>
                </c:pt>
                <c:pt idx="2">
                  <c:v>Central Exc Bkk Rural</c:v>
                </c:pt>
                <c:pt idx="3">
                  <c:v>North Urban</c:v>
                </c:pt>
                <c:pt idx="4">
                  <c:v>North Rural</c:v>
                </c:pt>
                <c:pt idx="5">
                  <c:v>Northeast Urban</c:v>
                </c:pt>
                <c:pt idx="6">
                  <c:v>Northeast Rural</c:v>
                </c:pt>
                <c:pt idx="7">
                  <c:v>South Urban</c:v>
                </c:pt>
                <c:pt idx="8">
                  <c:v>South Rural</c:v>
                </c:pt>
              </c:strCache>
            </c:strRef>
          </c:cat>
          <c:val>
            <c:numRef>
              <c:f>'Both Level Diff'!$N$159:$N$167</c:f>
              <c:numCache>
                <c:formatCode>#,##0</c:formatCode>
                <c:ptCount val="9"/>
                <c:pt idx="0">
                  <c:v>6.2724752065987559</c:v>
                </c:pt>
                <c:pt idx="1">
                  <c:v>4.6667331810749602</c:v>
                </c:pt>
                <c:pt idx="2">
                  <c:v>3.0759697731264168</c:v>
                </c:pt>
                <c:pt idx="3">
                  <c:v>2.1601590785503504</c:v>
                </c:pt>
                <c:pt idx="4">
                  <c:v>1.9615608997337404</c:v>
                </c:pt>
                <c:pt idx="5">
                  <c:v>2.4100459019900882</c:v>
                </c:pt>
                <c:pt idx="6">
                  <c:v>2.6652850666578161</c:v>
                </c:pt>
                <c:pt idx="7">
                  <c:v>2.9799589417525567</c:v>
                </c:pt>
                <c:pt idx="8">
                  <c:v>2.682872556411894</c:v>
                </c:pt>
              </c:numCache>
            </c:numRef>
          </c:val>
          <c:extLst xmlns:c16r2="http://schemas.microsoft.com/office/drawing/2015/06/chart">
            <c:ext xmlns:c16="http://schemas.microsoft.com/office/drawing/2014/chart" uri="{C3380CC4-5D6E-409C-BE32-E72D297353CC}">
              <c16:uniqueId val="{00000001-6751-40E5-B825-2B1A6A8C6550}"/>
            </c:ext>
          </c:extLst>
        </c:ser>
        <c:dLbls>
          <c:showLegendKey val="0"/>
          <c:showVal val="0"/>
          <c:showCatName val="0"/>
          <c:showSerName val="0"/>
          <c:showPercent val="0"/>
          <c:showBubbleSize val="0"/>
        </c:dLbls>
        <c:gapWidth val="150"/>
        <c:shape val="box"/>
        <c:axId val="366157184"/>
        <c:axId val="366158976"/>
        <c:axId val="0"/>
      </c:bar3DChart>
      <c:catAx>
        <c:axId val="366157184"/>
        <c:scaling>
          <c:orientation val="minMax"/>
        </c:scaling>
        <c:delete val="0"/>
        <c:axPos val="b"/>
        <c:numFmt formatCode="General" sourceLinked="1"/>
        <c:majorTickMark val="none"/>
        <c:minorTickMark val="none"/>
        <c:tickLblPos val="nextTo"/>
        <c:spPr>
          <a:noFill/>
          <a:ln>
            <a:noFill/>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6158976"/>
        <c:crosses val="autoZero"/>
        <c:auto val="1"/>
        <c:lblAlgn val="ctr"/>
        <c:lblOffset val="100"/>
        <c:noMultiLvlLbl val="0"/>
      </c:catAx>
      <c:valAx>
        <c:axId val="366158976"/>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61571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lumMod val="85000"/>
      </a:schemeClr>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340E08-46A6-42A0-90B7-390222344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1996</Words>
  <Characters>11902</Characters>
  <Application>Microsoft Office Word</Application>
  <DocSecurity>0</DocSecurity>
  <Lines>410</Lines>
  <Paragraphs>277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Keogh-Brown</dc:creator>
  <cp:keywords/>
  <dc:description/>
  <cp:lastModifiedBy>S3G_Reference_Citation_Sequence</cp:lastModifiedBy>
  <cp:revision>3</cp:revision>
  <cp:lastPrinted>2019-03-06T11:58:00Z</cp:lastPrinted>
  <dcterms:created xsi:type="dcterms:W3CDTF">2019-03-11T15:46:00Z</dcterms:created>
  <dcterms:modified xsi:type="dcterms:W3CDTF">2019-07-22T22:22:00Z</dcterms:modified>
</cp:coreProperties>
</file>