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2D6" w:rsidRDefault="00BC230B" w:rsidP="001042D6">
      <w:pPr>
        <w:jc w:val="center"/>
        <w:rPr>
          <w:rFonts w:ascii="Times New Roman" w:hAnsi="Times New Roman" w:cs="Times New Roman"/>
          <w:sz w:val="28"/>
        </w:rPr>
      </w:pPr>
      <w:r>
        <w:rPr>
          <w:rFonts w:ascii="Times New Roman" w:hAnsi="Times New Roman" w:cs="Times New Roman"/>
          <w:sz w:val="28"/>
        </w:rPr>
        <w:t>Additional</w:t>
      </w:r>
      <w:r w:rsidR="001042D6" w:rsidRPr="001042D6">
        <w:rPr>
          <w:rFonts w:ascii="Times New Roman" w:hAnsi="Times New Roman" w:cs="Times New Roman"/>
          <w:sz w:val="28"/>
        </w:rPr>
        <w:t xml:space="preserve"> information for Cooper </w:t>
      </w:r>
      <w:r w:rsidR="001042D6" w:rsidRPr="001042D6">
        <w:rPr>
          <w:rFonts w:ascii="Times New Roman" w:hAnsi="Times New Roman" w:cs="Times New Roman"/>
          <w:i/>
          <w:sz w:val="28"/>
        </w:rPr>
        <w:t>et al.</w:t>
      </w:r>
      <w:r w:rsidR="001042D6" w:rsidRPr="001042D6">
        <w:rPr>
          <w:rFonts w:ascii="Times New Roman" w:hAnsi="Times New Roman" w:cs="Times New Roman"/>
          <w:sz w:val="28"/>
        </w:rPr>
        <w:t xml:space="preserve"> 2019: </w:t>
      </w:r>
      <w:bookmarkStart w:id="0" w:name="_Hlk514239172"/>
    </w:p>
    <w:p w:rsidR="001042D6" w:rsidRDefault="000C55F7" w:rsidP="001042D6">
      <w:pPr>
        <w:rPr>
          <w:rFonts w:ascii="Times New Roman" w:hAnsi="Times New Roman" w:cs="Times New Roman"/>
          <w:sz w:val="28"/>
          <w:szCs w:val="24"/>
        </w:rPr>
      </w:pPr>
      <w:r>
        <w:rPr>
          <w:noProof/>
          <w:lang w:val="en-IN" w:eastAsia="en-IN"/>
        </w:rPr>
        <w:drawing>
          <wp:anchor distT="0" distB="0" distL="114300" distR="114300" simplePos="0" relativeHeight="251658240" behindDoc="1" locked="0" layoutInCell="1" allowOverlap="1">
            <wp:simplePos x="0" y="0"/>
            <wp:positionH relativeFrom="column">
              <wp:posOffset>558800</wp:posOffset>
            </wp:positionH>
            <wp:positionV relativeFrom="paragraph">
              <wp:posOffset>511810</wp:posOffset>
            </wp:positionV>
            <wp:extent cx="4319905" cy="4572000"/>
            <wp:effectExtent l="0" t="0" r="44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9905" cy="4572000"/>
                    </a:xfrm>
                    <a:prstGeom prst="rect">
                      <a:avLst/>
                    </a:prstGeom>
                    <a:noFill/>
                    <a:ln>
                      <a:noFill/>
                    </a:ln>
                  </pic:spPr>
                </pic:pic>
              </a:graphicData>
            </a:graphic>
          </wp:anchor>
        </w:drawing>
      </w:r>
      <w:r w:rsidRPr="000C55F7">
        <w:rPr>
          <w:rFonts w:ascii="Times New Roman" w:hAnsi="Times New Roman" w:cs="Times New Roman"/>
          <w:sz w:val="28"/>
          <w:szCs w:val="24"/>
        </w:rPr>
        <w:t>Conserved gene signalling and a derived patterning mechanism underlie</w:t>
      </w:r>
      <w:bookmarkStart w:id="1" w:name="_GoBack"/>
      <w:bookmarkEnd w:id="1"/>
      <w:r w:rsidRPr="000C55F7">
        <w:rPr>
          <w:rFonts w:ascii="Times New Roman" w:hAnsi="Times New Roman" w:cs="Times New Roman"/>
          <w:sz w:val="28"/>
          <w:szCs w:val="24"/>
        </w:rPr>
        <w:t xml:space="preserve"> the development of avian footpad scales</w:t>
      </w:r>
    </w:p>
    <w:p w:rsidR="001042D6" w:rsidRPr="001042D6" w:rsidRDefault="001042D6" w:rsidP="001042D6">
      <w:pPr>
        <w:tabs>
          <w:tab w:val="left" w:pos="2552"/>
        </w:tabs>
        <w:spacing w:line="480" w:lineRule="auto"/>
        <w:jc w:val="center"/>
        <w:rPr>
          <w:rFonts w:ascii="Times New Roman" w:hAnsi="Times New Roman" w:cs="Times New Roman"/>
          <w:sz w:val="28"/>
          <w:szCs w:val="24"/>
        </w:rPr>
      </w:pPr>
    </w:p>
    <w:bookmarkEnd w:id="0"/>
    <w:p w:rsidR="001042D6" w:rsidRPr="00277E90" w:rsidRDefault="00BC230B" w:rsidP="001042D6">
      <w:pPr>
        <w:spacing w:line="480" w:lineRule="auto"/>
        <w:rPr>
          <w:rFonts w:ascii="Times New Roman" w:hAnsi="Times New Roman" w:cs="Times New Roman"/>
          <w:sz w:val="24"/>
          <w:szCs w:val="24"/>
        </w:rPr>
      </w:pPr>
      <w:r>
        <w:rPr>
          <w:rFonts w:ascii="Times New Roman" w:hAnsi="Times New Roman" w:cs="Times New Roman"/>
          <w:b/>
          <w:sz w:val="24"/>
          <w:szCs w:val="24"/>
        </w:rPr>
        <w:t>Additional</w:t>
      </w:r>
      <w:r w:rsidR="001042D6">
        <w:rPr>
          <w:rFonts w:ascii="Times New Roman" w:hAnsi="Times New Roman" w:cs="Times New Roman"/>
          <w:b/>
          <w:sz w:val="24"/>
          <w:szCs w:val="24"/>
        </w:rPr>
        <w:t xml:space="preserve"> Figure 1: Haematoxylin and eosin staining of chick appendage </w:t>
      </w:r>
      <w:proofErr w:type="spellStart"/>
      <w:r w:rsidR="001042D6">
        <w:rPr>
          <w:rFonts w:ascii="Times New Roman" w:hAnsi="Times New Roman" w:cs="Times New Roman"/>
          <w:b/>
          <w:sz w:val="24"/>
          <w:szCs w:val="24"/>
        </w:rPr>
        <w:t>placodes</w:t>
      </w:r>
      <w:proofErr w:type="spellEnd"/>
      <w:r w:rsidR="001042D6">
        <w:rPr>
          <w:rFonts w:ascii="Times New Roman" w:hAnsi="Times New Roman" w:cs="Times New Roman"/>
          <w:b/>
          <w:sz w:val="24"/>
          <w:szCs w:val="24"/>
        </w:rPr>
        <w:t xml:space="preserve">. </w:t>
      </w:r>
      <w:r w:rsidR="001042D6">
        <w:rPr>
          <w:rFonts w:ascii="Times New Roman" w:hAnsi="Times New Roman" w:cs="Times New Roman"/>
          <w:sz w:val="24"/>
          <w:szCs w:val="24"/>
        </w:rPr>
        <w:t xml:space="preserve">Paraffin embedded </w:t>
      </w:r>
      <w:proofErr w:type="spellStart"/>
      <w:r w:rsidR="001042D6">
        <w:rPr>
          <w:rFonts w:ascii="Times New Roman" w:hAnsi="Times New Roman" w:cs="Times New Roman"/>
          <w:sz w:val="24"/>
          <w:szCs w:val="24"/>
        </w:rPr>
        <w:t>E10.5</w:t>
      </w:r>
      <w:proofErr w:type="spellEnd"/>
      <w:r w:rsidR="001042D6">
        <w:rPr>
          <w:rFonts w:ascii="Times New Roman" w:hAnsi="Times New Roman" w:cs="Times New Roman"/>
          <w:sz w:val="24"/>
          <w:szCs w:val="24"/>
        </w:rPr>
        <w:t xml:space="preserve"> chicken embryos were microtome sectioned and stained with haematoxylin and eosin. As previously </w:t>
      </w:r>
      <w:proofErr w:type="spellStart"/>
      <w:r w:rsidR="001042D6">
        <w:rPr>
          <w:rFonts w:ascii="Times New Roman" w:hAnsi="Times New Roman" w:cs="Times New Roman"/>
          <w:sz w:val="24"/>
          <w:szCs w:val="24"/>
        </w:rPr>
        <w:t>shown</w:t>
      </w:r>
      <w:r w:rsidR="00DD3153">
        <w:rPr>
          <w:rFonts w:ascii="Times New Roman" w:hAnsi="Times New Roman" w:cs="Times New Roman"/>
          <w:sz w:val="24"/>
          <w:szCs w:val="24"/>
        </w:rPr>
        <w:fldChar w:fldCharType="begin" w:fldLock="1"/>
      </w:r>
      <w:r w:rsidR="001042D6">
        <w:rPr>
          <w:rFonts w:ascii="Times New Roman" w:hAnsi="Times New Roman" w:cs="Times New Roman"/>
          <w:sz w:val="24"/>
          <w:szCs w:val="24"/>
        </w:rPr>
        <w:instrText>ADDIN CSL_CITATION {"citationItems":[{"id":"ITEM-1","itemData":{"DOI":"10.1111/ede.12123","ISBN":"1525-142X","ISSN":"1525142X","PMID":"25963196","abstract":"Feathers are an evolutionary novelty found in all extant birds. Despite recent progress investigating feather development and a revolution in dinosaur paleontology, the relationship of feathers to other amniote skin appendages, particularly reptile scales, remains unclear. Disagreement arises primarily from the observation that feathers and avian scutate scales exhibit an anatomical placode--defined as an epidermal thickening--in early development, whereas alligator and other avian scales do not. To investigate the homology of feathers and archosaur scales we examined patterns of nuclear β-catenin localization during early development of feathers and different bird and alligator scales. In birds, nuclear β-catenin is first localized to the feather placode, and then exhibits a dynamic pattern of localization in both epidermis and dermis of the feather bud. We found that asymmetric avian scutate scales and alligator scales share similar patterns of nuclear β-catenin localization with feathers. This supports the hypothesis that feathers, scutate scales, and alligator scales are homologous during early developmental stages, and are derived from early developmental stages of an asymmetric scale present in the archosaur ancestor. Furthermore, given that the earliest stage of β-catenin localization in feathers and archosaur scales is also found in placodes of several mammalian skin appendages, including hair and mammary glands, we hypothesize that a common skin appendage placode originated in the common ancestor of all amniotes. We suggest a skin placode should not be defined by anatomical features, but as a local, organized molecular signaling center from which an epidermal appendage develops.","author":[{"dropping-particle":"","family":"Musser","given":"Jacob M.","non-dropping-particle":"","parse-names":false,"suffix":""},{"dropping-particle":"","family":"Wagner","given":"Gunter P.","non-dropping-particle":"","parse-names":false,"suffix":""},{"dropping-particle":"","family":"Prum","given":"Richard O.","non-dropping-particle":"","parse-names":false,"suffix":""}],"container-title":"Evolution and Development","id":"ITEM-1","issue":"3","issued":{"date-parts":[["2015"]]},"page":"185-194","title":"Nuclear β-catenin localization supports homology of feathers, avian scutate scales, and alligator scales in early development","type":"article-journal","volume":"17"},"uris":["http://www.mendeley.com/documents/?uuid=00215c14-a458-4bbe-ab51-646740807d3b"]}],"mendeley":{"formattedCitation":"&lt;sup&gt;6&lt;/sup&gt;","plainTextFormattedCitation":"6","previouslyFormattedCitation":"&lt;sup&gt;6&lt;/sup&gt;"},"properties":{"noteIndex":0},"schema":"https://github.com/citation-style-language/schema/raw/master/csl-citation.json"}</w:instrText>
      </w:r>
      <w:r w:rsidR="00DD3153">
        <w:rPr>
          <w:rFonts w:ascii="Times New Roman" w:hAnsi="Times New Roman" w:cs="Times New Roman"/>
          <w:sz w:val="24"/>
          <w:szCs w:val="24"/>
        </w:rPr>
        <w:fldChar w:fldCharType="separate"/>
      </w:r>
      <w:r w:rsidR="001042D6" w:rsidRPr="00846506">
        <w:rPr>
          <w:rFonts w:ascii="Times New Roman" w:hAnsi="Times New Roman" w:cs="Times New Roman"/>
          <w:noProof/>
          <w:sz w:val="24"/>
          <w:szCs w:val="24"/>
          <w:vertAlign w:val="superscript"/>
        </w:rPr>
        <w:t>6</w:t>
      </w:r>
      <w:proofErr w:type="spellEnd"/>
      <w:r w:rsidR="00DD3153">
        <w:rPr>
          <w:rFonts w:ascii="Times New Roman" w:hAnsi="Times New Roman" w:cs="Times New Roman"/>
          <w:sz w:val="24"/>
          <w:szCs w:val="24"/>
        </w:rPr>
        <w:fldChar w:fldCharType="end"/>
      </w:r>
      <w:r w:rsidR="001042D6">
        <w:rPr>
          <w:rFonts w:ascii="Times New Roman" w:hAnsi="Times New Roman" w:cs="Times New Roman"/>
          <w:sz w:val="24"/>
          <w:szCs w:val="24"/>
        </w:rPr>
        <w:t xml:space="preserve">, feathers and scutate scales develop from a placode with localised columnar epithelial cells (A, B). Additionally, we observed localised thickening of columnar basal epithelial cells specific to </w:t>
      </w:r>
      <w:r w:rsidR="000C55F7">
        <w:rPr>
          <w:rFonts w:ascii="Times New Roman" w:hAnsi="Times New Roman" w:cs="Times New Roman"/>
          <w:sz w:val="24"/>
          <w:szCs w:val="24"/>
        </w:rPr>
        <w:t xml:space="preserve">early </w:t>
      </w:r>
      <w:r w:rsidR="001042D6">
        <w:rPr>
          <w:rFonts w:ascii="Times New Roman" w:hAnsi="Times New Roman" w:cs="Times New Roman"/>
          <w:sz w:val="24"/>
          <w:szCs w:val="24"/>
        </w:rPr>
        <w:t xml:space="preserve">reticulate scale </w:t>
      </w:r>
      <w:r w:rsidR="000C55F7">
        <w:rPr>
          <w:rFonts w:ascii="Times New Roman" w:hAnsi="Times New Roman" w:cs="Times New Roman"/>
          <w:sz w:val="24"/>
          <w:szCs w:val="24"/>
        </w:rPr>
        <w:t>development</w:t>
      </w:r>
      <w:r w:rsidR="001042D6">
        <w:rPr>
          <w:rFonts w:ascii="Times New Roman" w:hAnsi="Times New Roman" w:cs="Times New Roman"/>
          <w:sz w:val="24"/>
          <w:szCs w:val="24"/>
        </w:rPr>
        <w:t xml:space="preserve"> (C). Black dashed lines separate the basal epithelium from the mesenchyme. Scale bar lengths are: A, B, C =</w:t>
      </w:r>
      <w:proofErr w:type="spellStart"/>
      <w:r w:rsidR="001042D6">
        <w:rPr>
          <w:rFonts w:ascii="Times New Roman" w:hAnsi="Times New Roman" w:cs="Times New Roman"/>
          <w:sz w:val="24"/>
          <w:szCs w:val="24"/>
        </w:rPr>
        <w:t>150µm</w:t>
      </w:r>
      <w:proofErr w:type="spellEnd"/>
      <w:r w:rsidR="001042D6">
        <w:rPr>
          <w:rFonts w:ascii="Times New Roman" w:hAnsi="Times New Roman" w:cs="Times New Roman"/>
          <w:sz w:val="24"/>
          <w:szCs w:val="24"/>
        </w:rPr>
        <w:t xml:space="preserve">, and Ai, Bi, Ci = </w:t>
      </w:r>
      <w:proofErr w:type="spellStart"/>
      <w:r w:rsidR="001042D6">
        <w:rPr>
          <w:rFonts w:ascii="Times New Roman" w:hAnsi="Times New Roman" w:cs="Times New Roman"/>
          <w:sz w:val="24"/>
          <w:szCs w:val="24"/>
        </w:rPr>
        <w:t>75µm</w:t>
      </w:r>
      <w:proofErr w:type="spellEnd"/>
      <w:r w:rsidR="001042D6">
        <w:rPr>
          <w:rFonts w:ascii="Times New Roman" w:hAnsi="Times New Roman" w:cs="Times New Roman"/>
          <w:sz w:val="24"/>
          <w:szCs w:val="24"/>
        </w:rPr>
        <w:t xml:space="preserve">.   </w:t>
      </w:r>
      <w:r w:rsidR="001042D6">
        <w:rPr>
          <w:rFonts w:ascii="Times New Roman" w:hAnsi="Times New Roman" w:cs="Times New Roman"/>
          <w:b/>
          <w:sz w:val="24"/>
          <w:szCs w:val="24"/>
        </w:rPr>
        <w:t xml:space="preserve"> </w:t>
      </w:r>
      <w:r w:rsidR="001042D6">
        <w:rPr>
          <w:rFonts w:ascii="Times New Roman" w:hAnsi="Times New Roman" w:cs="Times New Roman"/>
          <w:sz w:val="24"/>
          <w:szCs w:val="24"/>
        </w:rPr>
        <w:t xml:space="preserve"> </w:t>
      </w:r>
    </w:p>
    <w:p w:rsidR="001042D6" w:rsidRDefault="001042D6" w:rsidP="001042D6">
      <w:pPr>
        <w:jc w:val="center"/>
        <w:rPr>
          <w:rFonts w:ascii="Times New Roman" w:hAnsi="Times New Roman" w:cs="Times New Roman"/>
          <w:b/>
          <w:sz w:val="24"/>
        </w:rPr>
      </w:pPr>
    </w:p>
    <w:p w:rsidR="001042D6" w:rsidRDefault="001042D6" w:rsidP="001042D6">
      <w:pPr>
        <w:jc w:val="center"/>
        <w:rPr>
          <w:rFonts w:ascii="Times New Roman" w:hAnsi="Times New Roman" w:cs="Times New Roman"/>
          <w:b/>
          <w:sz w:val="24"/>
        </w:rPr>
      </w:pPr>
    </w:p>
    <w:p w:rsidR="001042D6" w:rsidRDefault="00C43934" w:rsidP="001042D6">
      <w:pPr>
        <w:jc w:val="center"/>
        <w:rPr>
          <w:rFonts w:ascii="Times New Roman" w:hAnsi="Times New Roman" w:cs="Times New Roman"/>
          <w:b/>
          <w:sz w:val="24"/>
        </w:rPr>
      </w:pPr>
      <w:r>
        <w:rPr>
          <w:noProof/>
          <w:lang w:val="en-IN" w:eastAsia="en-IN"/>
        </w:rPr>
        <w:lastRenderedPageBreak/>
        <w:drawing>
          <wp:inline distT="0" distB="0" distL="0" distR="0">
            <wp:extent cx="5734050" cy="6051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4050" cy="6051550"/>
                    </a:xfrm>
                    <a:prstGeom prst="rect">
                      <a:avLst/>
                    </a:prstGeom>
                    <a:noFill/>
                    <a:ln>
                      <a:noFill/>
                    </a:ln>
                  </pic:spPr>
                </pic:pic>
              </a:graphicData>
            </a:graphic>
          </wp:inline>
        </w:drawing>
      </w:r>
    </w:p>
    <w:p w:rsidR="009F2E55" w:rsidRDefault="00BC230B" w:rsidP="001042D6">
      <w:pPr>
        <w:spacing w:line="480" w:lineRule="auto"/>
        <w:rPr>
          <w:rFonts w:ascii="Times New Roman" w:hAnsi="Times New Roman" w:cs="Times New Roman"/>
          <w:sz w:val="24"/>
          <w:szCs w:val="24"/>
        </w:rPr>
      </w:pPr>
      <w:r>
        <w:rPr>
          <w:rFonts w:ascii="Times New Roman" w:hAnsi="Times New Roman" w:cs="Times New Roman"/>
          <w:b/>
          <w:sz w:val="24"/>
          <w:szCs w:val="24"/>
        </w:rPr>
        <w:t>Additional</w:t>
      </w:r>
      <w:r w:rsidR="001042D6">
        <w:rPr>
          <w:rFonts w:ascii="Times New Roman" w:hAnsi="Times New Roman" w:cs="Times New Roman"/>
          <w:b/>
          <w:sz w:val="24"/>
          <w:szCs w:val="24"/>
        </w:rPr>
        <w:t xml:space="preserve"> Figure 2: Additional conserved gene expression during reticulate scale development. </w:t>
      </w:r>
      <w:r w:rsidR="001042D6" w:rsidRPr="00F43190">
        <w:rPr>
          <w:rFonts w:ascii="Times New Roman" w:hAnsi="Times New Roman" w:cs="Times New Roman"/>
          <w:sz w:val="24"/>
          <w:szCs w:val="24"/>
        </w:rPr>
        <w:t>Similarly</w:t>
      </w:r>
      <w:r w:rsidR="001042D6">
        <w:rPr>
          <w:rFonts w:ascii="Times New Roman" w:hAnsi="Times New Roman" w:cs="Times New Roman"/>
          <w:sz w:val="24"/>
          <w:szCs w:val="24"/>
        </w:rPr>
        <w:t xml:space="preserve"> to feather </w:t>
      </w:r>
      <w:proofErr w:type="spellStart"/>
      <w:r w:rsidR="001042D6">
        <w:rPr>
          <w:rFonts w:ascii="Times New Roman" w:hAnsi="Times New Roman" w:cs="Times New Roman"/>
          <w:sz w:val="24"/>
          <w:szCs w:val="24"/>
        </w:rPr>
        <w:t>development</w:t>
      </w:r>
      <w:r w:rsidR="00DD3153">
        <w:rPr>
          <w:rFonts w:ascii="Times New Roman" w:hAnsi="Times New Roman" w:cs="Times New Roman"/>
          <w:sz w:val="24"/>
          <w:szCs w:val="24"/>
        </w:rPr>
        <w:fldChar w:fldCharType="begin" w:fldLock="1"/>
      </w:r>
      <w:r w:rsidR="001042D6">
        <w:rPr>
          <w:rFonts w:ascii="Times New Roman" w:hAnsi="Times New Roman" w:cs="Times New Roman"/>
          <w:sz w:val="24"/>
          <w:szCs w:val="24"/>
        </w:rPr>
        <w:instrText>ADDIN CSL_CITATION {"citationItems":[{"id":"ITEM-1","itemData":{"DOI":"10.1002/jez.10157","ISSN":"0022-104X","PMID":"12210117","abstract":"To examine the role of development in the origin of evolutionary novelties, we investigated the developmental mechanisms involved in the formation of a complex morphological novelty-branched feathers. We demonstrate that the anterior-posterior expression polarity of Sonic hedgehog (Shh) and Bone morphogenetic protein 2 (Bmp2) in the primordia of feathers, avian scales, and alligator scales is conserved and phylogenetically primitive to archosaurian integumentary appendages. In feather development, derived patterns of Shh-Bmp2 signaling are associated with the development of evolutionarily novel feather structures. Longitudinal Shh-Bmp2 expression domains in the marginal plate epithelium between barb ridges provide a prepattern of the barbs and rachis. Thus, control of Shh-Bmp2 signaling is a fundamental component of the mechanism determining feather form (i.e., plumulaceous vs. pennaceous structure). We show that Shh signaling is necessary for the formation and proper differentiation of a barb ridge and that it is mediated by Bmp signaling. BMP signaling is necessary and sufficient to negatively regulate Shh expression within forming feather germs and this epistatic relationship is conserved in scale morphogenesis. Ectopic SHH and BMP2 signaling leads to opposing effects on proliferation and differentiation within the feather germ, suggesting that the integrative signaling between Shh and Bmp2 is a means to regulate controlled growth and differentiation of forming skin appendages. We conclude that Shh and Bmp signaling is necessary for the formation of barb ridges in feathers and that Shh and Bmp2 signaling constitutes a functionally conserved developmental signaling module in archosaur epidermal appendage development. We propose a model in which branched feather form evolved by repeated, evolutionary re-utilization of a Shh-Bmp2 signaling module in new developmental contexts. Feather animation Quicktime movies can be viewed at http://fallon.anatomy.wisc.edu/feather.html.","author":[{"dropping-particle":"","family":"Harris","given":"Matthew P","non-dropping-particle":"","parse-names":false,"suffix":""},{"dropping-particle":"","family":"Fallon","given":"John F","non-dropping-particle":"","parse-names":false,"suffix":""},{"dropping-particle":"","family":"Prum","given":"Richard O","non-dropping-particle":"","parse-names":false,"suffix":""}],"container-title":"The Journal of experimental zoology","id":"ITEM-1","issue":"2","issued":{"date-parts":[["2002","8","15"]]},"page":"160-76","title":"Shh-Bmp2 signaling module and the evolutionary origin and diversification of feathers.","type":"article-journal","volume":"294"},"uris":["http://www.mendeley.com/documents/?uuid=8c26905b-6181-41a3-9bd2-2f532f9c6ad2"]}],"mendeley":{"formattedCitation":"&lt;sup&gt;28&lt;/sup&gt;","plainTextFormattedCitation":"28","previouslyFormattedCitation":"&lt;sup&gt;28&lt;/sup&gt;"},"properties":{"noteIndex":0},"schema":"https://github.com/citation-style-language/schema/raw/master/csl-citation.json"}</w:instrText>
      </w:r>
      <w:r w:rsidR="00DD3153">
        <w:rPr>
          <w:rFonts w:ascii="Times New Roman" w:hAnsi="Times New Roman" w:cs="Times New Roman"/>
          <w:sz w:val="24"/>
          <w:szCs w:val="24"/>
        </w:rPr>
        <w:fldChar w:fldCharType="separate"/>
      </w:r>
      <w:r w:rsidR="001042D6" w:rsidRPr="00A2176D">
        <w:rPr>
          <w:rFonts w:ascii="Times New Roman" w:hAnsi="Times New Roman" w:cs="Times New Roman"/>
          <w:noProof/>
          <w:sz w:val="24"/>
          <w:szCs w:val="24"/>
          <w:vertAlign w:val="superscript"/>
        </w:rPr>
        <w:t>28</w:t>
      </w:r>
      <w:proofErr w:type="spellEnd"/>
      <w:r w:rsidR="00DD3153">
        <w:rPr>
          <w:rFonts w:ascii="Times New Roman" w:hAnsi="Times New Roman" w:cs="Times New Roman"/>
          <w:sz w:val="24"/>
          <w:szCs w:val="24"/>
        </w:rPr>
        <w:fldChar w:fldCharType="end"/>
      </w:r>
      <w:r w:rsidR="001042D6">
        <w:rPr>
          <w:rFonts w:ascii="Times New Roman" w:hAnsi="Times New Roman" w:cs="Times New Roman"/>
          <w:sz w:val="24"/>
          <w:szCs w:val="24"/>
        </w:rPr>
        <w:t xml:space="preserve">, we observed expression of </w:t>
      </w:r>
      <w:proofErr w:type="spellStart"/>
      <w:r w:rsidR="001042D6">
        <w:rPr>
          <w:rFonts w:ascii="Times New Roman" w:hAnsi="Times New Roman" w:cs="Times New Roman"/>
          <w:i/>
          <w:sz w:val="24"/>
          <w:szCs w:val="24"/>
        </w:rPr>
        <w:t>B</w:t>
      </w:r>
      <w:r w:rsidR="001042D6" w:rsidRPr="00F43190">
        <w:rPr>
          <w:rFonts w:ascii="Times New Roman" w:hAnsi="Times New Roman" w:cs="Times New Roman"/>
          <w:i/>
          <w:sz w:val="24"/>
          <w:szCs w:val="24"/>
        </w:rPr>
        <w:t>mp2</w:t>
      </w:r>
      <w:proofErr w:type="spellEnd"/>
      <w:r w:rsidR="001042D6">
        <w:rPr>
          <w:rFonts w:ascii="Times New Roman" w:hAnsi="Times New Roman" w:cs="Times New Roman"/>
          <w:sz w:val="24"/>
          <w:szCs w:val="24"/>
        </w:rPr>
        <w:t xml:space="preserve"> in the epithel</w:t>
      </w:r>
      <w:r w:rsidR="000C55F7">
        <w:rPr>
          <w:rFonts w:ascii="Times New Roman" w:hAnsi="Times New Roman" w:cs="Times New Roman"/>
          <w:sz w:val="24"/>
          <w:szCs w:val="24"/>
        </w:rPr>
        <w:t>ial thickening</w:t>
      </w:r>
      <w:r w:rsidR="001042D6">
        <w:rPr>
          <w:rFonts w:ascii="Times New Roman" w:hAnsi="Times New Roman" w:cs="Times New Roman"/>
          <w:sz w:val="24"/>
          <w:szCs w:val="24"/>
        </w:rPr>
        <w:t xml:space="preserve"> during chick reticulate placode development (</w:t>
      </w:r>
      <w:proofErr w:type="spellStart"/>
      <w:r w:rsidR="001042D6">
        <w:rPr>
          <w:rFonts w:ascii="Times New Roman" w:hAnsi="Times New Roman" w:cs="Times New Roman"/>
          <w:sz w:val="24"/>
          <w:szCs w:val="24"/>
        </w:rPr>
        <w:t>E10.5</w:t>
      </w:r>
      <w:proofErr w:type="spellEnd"/>
      <w:r w:rsidR="001042D6">
        <w:rPr>
          <w:rFonts w:ascii="Times New Roman" w:hAnsi="Times New Roman" w:cs="Times New Roman"/>
          <w:sz w:val="24"/>
          <w:szCs w:val="24"/>
        </w:rPr>
        <w:t>) (A-C), and the mesenchyme during morphogenesis (</w:t>
      </w:r>
      <w:proofErr w:type="spellStart"/>
      <w:r w:rsidR="001042D6">
        <w:rPr>
          <w:rFonts w:ascii="Times New Roman" w:hAnsi="Times New Roman" w:cs="Times New Roman"/>
          <w:sz w:val="24"/>
          <w:szCs w:val="24"/>
        </w:rPr>
        <w:t>E12</w:t>
      </w:r>
      <w:proofErr w:type="spellEnd"/>
      <w:r w:rsidR="001042D6">
        <w:rPr>
          <w:rFonts w:ascii="Times New Roman" w:hAnsi="Times New Roman" w:cs="Times New Roman"/>
          <w:sz w:val="24"/>
          <w:szCs w:val="24"/>
        </w:rPr>
        <w:t xml:space="preserve">) (D-F). Furthermore, we observed mesenchymal expression of </w:t>
      </w:r>
      <w:proofErr w:type="spellStart"/>
      <w:r w:rsidR="001042D6" w:rsidRPr="00F43190">
        <w:rPr>
          <w:rFonts w:ascii="Times New Roman" w:hAnsi="Times New Roman" w:cs="Times New Roman"/>
          <w:i/>
          <w:sz w:val="24"/>
          <w:szCs w:val="24"/>
        </w:rPr>
        <w:t>Spry2</w:t>
      </w:r>
      <w:proofErr w:type="spellEnd"/>
      <w:r w:rsidR="001042D6">
        <w:rPr>
          <w:rFonts w:ascii="Times New Roman" w:hAnsi="Times New Roman" w:cs="Times New Roman"/>
          <w:sz w:val="24"/>
          <w:szCs w:val="24"/>
        </w:rPr>
        <w:t xml:space="preserve">, a regulator of fibroblast growth factor </w:t>
      </w:r>
      <w:proofErr w:type="spellStart"/>
      <w:r w:rsidR="001042D6">
        <w:rPr>
          <w:rFonts w:ascii="Times New Roman" w:hAnsi="Times New Roman" w:cs="Times New Roman"/>
          <w:sz w:val="24"/>
          <w:szCs w:val="24"/>
        </w:rPr>
        <w:t>signalling</w:t>
      </w:r>
      <w:r w:rsidR="00DD3153">
        <w:rPr>
          <w:rFonts w:ascii="Times New Roman" w:hAnsi="Times New Roman" w:cs="Times New Roman"/>
          <w:sz w:val="24"/>
          <w:szCs w:val="24"/>
        </w:rPr>
        <w:fldChar w:fldCharType="begin" w:fldLock="1"/>
      </w:r>
      <w:r w:rsidR="001042D6">
        <w:rPr>
          <w:rFonts w:ascii="Times New Roman" w:hAnsi="Times New Roman" w:cs="Times New Roman"/>
          <w:sz w:val="24"/>
          <w:szCs w:val="24"/>
        </w:rPr>
        <w:instrText>ADDIN CSL_CITATION {"citationItems":[{"id":"ITEM-1","itemData":{"DOI":"10.1371/journal.pone.0017660","ISSN":"1932-6203","PMID":"21412430","abstract":"BACKGROUND: Fibroblast growth factors (FGF) are essential key players during embryonic development. Through their specific cognate receptors (FGFR) they activate intracellular cascades, finely regulated by modulators such as Sprouty. Several FGF ligands (FGF1, 2, 7, 9, 10 and 18) signaling through the four known FGFRs, have been implicated in lung morphogenesis. Although much is known about mammalian lung, so far, the avian model has not been explored for lung studies. METHODOLOGY/PRINCIPAL FINDINGS: In this study we provide the first description of fgf10, fgfr1-4 and spry2 expression patterns in early stages of chick lung development by in situ hybridization and observe that they are expressed similarly to their mammalian counterparts. Furthermore, aiming to determine a role for FGF signaling in chick lung development, in vitro FGFR inhibition studies were performed. Lung explants treated with an FGF receptor antagonist (SU5402) presented an impairment of secondary branch formation after 48 h of culture; moreover, abnormal lung growth with a cystic appearance of secondary bronchi and reduction of the mesenchymal tissue was observed. Branching and morphometric analysis of lung explants confirmed that FGFR inhibition impaired branching morphogenesis and induced a significant reduction of the mesenchyme. CONCLUSIONS/SIGNIFICANCE: This work demonstrates that FGFRs are essential for the epithelial-mesenchymal interactions that determine epithelial branching and mesenchymal growth and validate the avian embryo as a good model for pulmonary studies, namely to explore the FGF pathway as a therapeutic target.","author":[{"dropping-particle":"","family":"Moura","given":"Rute S","non-dropping-particle":"","parse-names":false,"suffix":""},{"dropping-particle":"","family":"Coutinho-Borges","given":"José P","non-dropping-particle":"","parse-names":false,"suffix":""},{"dropping-particle":"","family":"Pacheco","given":"Ana P","non-dropping-particle":"","parse-names":false,"suffix":""},{"dropping-particle":"","family":"Damota","given":"Paulo O","non-dropping-particle":"","parse-names":false,"suffix":""},{"dropping-particle":"","family":"Correia-Pinto","given":"Jorge","non-dropping-particle":"","parse-names":false,"suffix":""}],"container-title":"PloS one","id":"ITEM-1","issue":"3","issued":{"date-parts":[["2011","1"]]},"page":"e17660","title":"FGF signaling pathway in the developing chick lung: expression and inhibition studies.","type":"article-journal","volume":"6"},"uris":["http://www.mendeley.com/documents/?uuid=12342ca5-eb9c-4b54-83be-850f4575b9b7"]},{"id":"ITEM-2","itemData":{"DOI":"10.1016/j.ydbio.2005.09.011","ISBN":"0012-1606 (Print)\\r0012-1606 (Linking)","ISSN":"00121606","PMID":"16216232","abstract":"Fibroblast growth factors (FGF) are secreted molecules which function through the activation of specific tyrosine kinases receptors, the FGF receptors that transduce the signal by activating different pathways including the Ras/MAP kinase and the phospholipase-C gamma pathways. FGFs are involved in the regulation of many developmental processes including patterning, morphogenesis, differentiation, cell proliferation or migration. Such a diverse set of activities requires a tight control of the transduction signal which is achieved through the induction of different feedback inhibitors such as the Sproutys, Sef and MAP kinase phosphatase 3 which are responsible for the attenuation of FGF signals, limiting FGF activities in time and space. ?? 2005 Elsevier Inc. All rights reserved.","author":[{"dropping-particle":"","family":"Thisse","given":"Bernard","non-dropping-particle":"","parse-names":false,"suffix":""},{"dropping-particle":"","family":"Thisse","given":"Christine","non-dropping-particle":"","parse-names":false,"suffix":""}],"container-title":"Developmental Biology","id":"ITEM-2","issue":"2","issued":{"date-parts":[["2005"]]},"page":"390-402","title":"Functions and regulations of fibroblast growth factor signaling during embryonic development","type":"article-journal","volume":"287"},"uris":["http://www.mendeley.com/documents/?uuid=31cb9b49-dffa-45ee-864a-621b91c9fc3f"]}],"mendeley":{"formattedCitation":"&lt;sup&gt;48,49&lt;/sup&gt;","plainTextFormattedCitation":"48,49","previouslyFormattedCitation":"&lt;sup&gt;48,49&lt;/sup&gt;"},"properties":{"noteIndex":0},"schema":"https://github.com/citation-style-language/schema/raw/master/csl-citation.json"}</w:instrText>
      </w:r>
      <w:r w:rsidR="00DD3153">
        <w:rPr>
          <w:rFonts w:ascii="Times New Roman" w:hAnsi="Times New Roman" w:cs="Times New Roman"/>
          <w:sz w:val="24"/>
          <w:szCs w:val="24"/>
        </w:rPr>
        <w:fldChar w:fldCharType="separate"/>
      </w:r>
      <w:r w:rsidR="001042D6" w:rsidRPr="00CD1F48">
        <w:rPr>
          <w:rFonts w:ascii="Times New Roman" w:hAnsi="Times New Roman" w:cs="Times New Roman"/>
          <w:noProof/>
          <w:sz w:val="24"/>
          <w:szCs w:val="24"/>
          <w:vertAlign w:val="superscript"/>
        </w:rPr>
        <w:t>48,49</w:t>
      </w:r>
      <w:proofErr w:type="spellEnd"/>
      <w:r w:rsidR="00DD3153">
        <w:rPr>
          <w:rFonts w:ascii="Times New Roman" w:hAnsi="Times New Roman" w:cs="Times New Roman"/>
          <w:sz w:val="24"/>
          <w:szCs w:val="24"/>
        </w:rPr>
        <w:fldChar w:fldCharType="end"/>
      </w:r>
      <w:r w:rsidR="001042D6">
        <w:rPr>
          <w:rFonts w:ascii="Times New Roman" w:hAnsi="Times New Roman" w:cs="Times New Roman"/>
          <w:sz w:val="24"/>
          <w:szCs w:val="24"/>
        </w:rPr>
        <w:t xml:space="preserve">. In the </w:t>
      </w:r>
      <w:r w:rsidR="000C55F7">
        <w:rPr>
          <w:rFonts w:ascii="Times New Roman" w:hAnsi="Times New Roman" w:cs="Times New Roman"/>
          <w:sz w:val="24"/>
          <w:szCs w:val="24"/>
        </w:rPr>
        <w:t>epithelial thickening</w:t>
      </w:r>
      <w:r w:rsidR="001042D6">
        <w:rPr>
          <w:rFonts w:ascii="Times New Roman" w:hAnsi="Times New Roman" w:cs="Times New Roman"/>
          <w:sz w:val="24"/>
          <w:szCs w:val="24"/>
        </w:rPr>
        <w:t xml:space="preserve"> stage (</w:t>
      </w:r>
      <w:proofErr w:type="spellStart"/>
      <w:r w:rsidR="001042D6">
        <w:rPr>
          <w:rFonts w:ascii="Times New Roman" w:hAnsi="Times New Roman" w:cs="Times New Roman"/>
          <w:sz w:val="24"/>
          <w:szCs w:val="24"/>
        </w:rPr>
        <w:t>E10.5</w:t>
      </w:r>
      <w:proofErr w:type="spellEnd"/>
      <w:r w:rsidR="001042D6">
        <w:rPr>
          <w:rFonts w:ascii="Times New Roman" w:hAnsi="Times New Roman" w:cs="Times New Roman"/>
          <w:sz w:val="24"/>
          <w:szCs w:val="24"/>
        </w:rPr>
        <w:t xml:space="preserve">) (G-I), </w:t>
      </w:r>
      <w:proofErr w:type="spellStart"/>
      <w:r w:rsidR="001042D6" w:rsidRPr="00F43190">
        <w:rPr>
          <w:rFonts w:ascii="Times New Roman" w:hAnsi="Times New Roman" w:cs="Times New Roman"/>
          <w:i/>
          <w:sz w:val="24"/>
          <w:szCs w:val="24"/>
        </w:rPr>
        <w:t>Spry2</w:t>
      </w:r>
      <w:proofErr w:type="spellEnd"/>
      <w:r w:rsidR="001042D6">
        <w:rPr>
          <w:rFonts w:ascii="Times New Roman" w:hAnsi="Times New Roman" w:cs="Times New Roman"/>
          <w:i/>
          <w:sz w:val="24"/>
          <w:szCs w:val="24"/>
        </w:rPr>
        <w:t xml:space="preserve"> </w:t>
      </w:r>
      <w:r w:rsidR="001042D6">
        <w:rPr>
          <w:rFonts w:ascii="Times New Roman" w:hAnsi="Times New Roman" w:cs="Times New Roman"/>
          <w:sz w:val="24"/>
          <w:szCs w:val="24"/>
        </w:rPr>
        <w:t>expression was mesenchymal, and during morphogenesis weak expression was also observed in the epithelium (</w:t>
      </w:r>
      <w:proofErr w:type="spellStart"/>
      <w:r w:rsidR="001042D6">
        <w:rPr>
          <w:rFonts w:ascii="Times New Roman" w:hAnsi="Times New Roman" w:cs="Times New Roman"/>
          <w:sz w:val="24"/>
          <w:szCs w:val="24"/>
        </w:rPr>
        <w:t>E12</w:t>
      </w:r>
      <w:proofErr w:type="spellEnd"/>
      <w:r w:rsidR="001042D6">
        <w:rPr>
          <w:rFonts w:ascii="Times New Roman" w:hAnsi="Times New Roman" w:cs="Times New Roman"/>
          <w:sz w:val="24"/>
          <w:szCs w:val="24"/>
        </w:rPr>
        <w:t xml:space="preserve">) (J-L). White dashed lines separate the basal epithelium from the underlying mesenchyme. Scale bar lengths are as follows: A, D, G, </w:t>
      </w:r>
      <w:proofErr w:type="gramStart"/>
      <w:r w:rsidR="001042D6">
        <w:rPr>
          <w:rFonts w:ascii="Times New Roman" w:hAnsi="Times New Roman" w:cs="Times New Roman"/>
          <w:sz w:val="24"/>
          <w:szCs w:val="24"/>
        </w:rPr>
        <w:t>J</w:t>
      </w:r>
      <w:proofErr w:type="gramEnd"/>
      <w:r w:rsidR="001042D6">
        <w:rPr>
          <w:rFonts w:ascii="Times New Roman" w:hAnsi="Times New Roman" w:cs="Times New Roman"/>
          <w:sz w:val="24"/>
          <w:szCs w:val="24"/>
        </w:rPr>
        <w:t xml:space="preserve"> = </w:t>
      </w:r>
      <w:proofErr w:type="spellStart"/>
      <w:r w:rsidR="001042D6">
        <w:rPr>
          <w:rFonts w:ascii="Times New Roman" w:hAnsi="Times New Roman" w:cs="Times New Roman"/>
          <w:sz w:val="24"/>
          <w:szCs w:val="24"/>
        </w:rPr>
        <w:t>1000µm</w:t>
      </w:r>
      <w:proofErr w:type="spellEnd"/>
      <w:r w:rsidR="001042D6">
        <w:rPr>
          <w:rFonts w:ascii="Times New Roman" w:hAnsi="Times New Roman" w:cs="Times New Roman"/>
          <w:sz w:val="24"/>
          <w:szCs w:val="24"/>
        </w:rPr>
        <w:t xml:space="preserve">, B, E, H, K = </w:t>
      </w:r>
      <w:proofErr w:type="spellStart"/>
      <w:r w:rsidR="001042D6">
        <w:rPr>
          <w:rFonts w:ascii="Times New Roman" w:hAnsi="Times New Roman" w:cs="Times New Roman"/>
          <w:sz w:val="24"/>
          <w:szCs w:val="24"/>
        </w:rPr>
        <w:t>300µm</w:t>
      </w:r>
      <w:proofErr w:type="spellEnd"/>
      <w:r w:rsidR="001042D6">
        <w:rPr>
          <w:rFonts w:ascii="Times New Roman" w:hAnsi="Times New Roman" w:cs="Times New Roman"/>
          <w:sz w:val="24"/>
          <w:szCs w:val="24"/>
        </w:rPr>
        <w:t xml:space="preserve">, C, I = </w:t>
      </w:r>
      <w:proofErr w:type="spellStart"/>
      <w:r w:rsidR="001042D6">
        <w:rPr>
          <w:rFonts w:ascii="Times New Roman" w:hAnsi="Times New Roman" w:cs="Times New Roman"/>
          <w:sz w:val="24"/>
          <w:szCs w:val="24"/>
        </w:rPr>
        <w:t>150µm</w:t>
      </w:r>
      <w:proofErr w:type="spellEnd"/>
      <w:r w:rsidR="001042D6">
        <w:rPr>
          <w:rFonts w:ascii="Times New Roman" w:hAnsi="Times New Roman" w:cs="Times New Roman"/>
          <w:sz w:val="24"/>
          <w:szCs w:val="24"/>
        </w:rPr>
        <w:t xml:space="preserve">, F, L = </w:t>
      </w:r>
      <w:proofErr w:type="spellStart"/>
      <w:r w:rsidR="001042D6">
        <w:rPr>
          <w:rFonts w:ascii="Times New Roman" w:hAnsi="Times New Roman" w:cs="Times New Roman"/>
          <w:sz w:val="24"/>
          <w:szCs w:val="24"/>
        </w:rPr>
        <w:t>75µm</w:t>
      </w:r>
      <w:proofErr w:type="spellEnd"/>
      <w:r w:rsidR="001042D6">
        <w:rPr>
          <w:rFonts w:ascii="Times New Roman" w:hAnsi="Times New Roman" w:cs="Times New Roman"/>
          <w:sz w:val="24"/>
          <w:szCs w:val="24"/>
        </w:rPr>
        <w:t>.</w:t>
      </w:r>
    </w:p>
    <w:p w:rsidR="009F2E55" w:rsidRDefault="009F2E55" w:rsidP="001042D6">
      <w:pPr>
        <w:spacing w:line="480" w:lineRule="auto"/>
        <w:rPr>
          <w:rFonts w:ascii="Times New Roman" w:hAnsi="Times New Roman" w:cs="Times New Roman"/>
          <w:sz w:val="24"/>
          <w:szCs w:val="24"/>
        </w:rPr>
      </w:pPr>
    </w:p>
    <w:p w:rsidR="001042D6" w:rsidRDefault="001042D6" w:rsidP="001042D6">
      <w:pPr>
        <w:spacing w:line="480" w:lineRule="auto"/>
        <w:rPr>
          <w:rFonts w:ascii="Times New Roman" w:hAnsi="Times New Roman" w:cs="Times New Roman"/>
          <w:b/>
          <w:sz w:val="24"/>
          <w:szCs w:val="24"/>
        </w:rPr>
      </w:pPr>
      <w:r>
        <w:rPr>
          <w:noProof/>
          <w:lang w:val="en-IN" w:eastAsia="en-IN"/>
        </w:rPr>
        <w:drawing>
          <wp:anchor distT="0" distB="0" distL="114300" distR="114300" simplePos="0" relativeHeight="251659264" behindDoc="1" locked="0" layoutInCell="1" allowOverlap="1">
            <wp:simplePos x="0" y="0"/>
            <wp:positionH relativeFrom="margin">
              <wp:align>center</wp:align>
            </wp:positionH>
            <wp:positionV relativeFrom="paragraph">
              <wp:posOffset>98</wp:posOffset>
            </wp:positionV>
            <wp:extent cx="4349115" cy="2884170"/>
            <wp:effectExtent l="0" t="0" r="0" b="0"/>
            <wp:wrapTight wrapText="bothSides">
              <wp:wrapPolygon edited="0">
                <wp:start x="0" y="0"/>
                <wp:lineTo x="0" y="21400"/>
                <wp:lineTo x="21477" y="21400"/>
                <wp:lineTo x="214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9115" cy="2884170"/>
                    </a:xfrm>
                    <a:prstGeom prst="rect">
                      <a:avLst/>
                    </a:prstGeom>
                    <a:noFill/>
                    <a:ln>
                      <a:noFill/>
                    </a:ln>
                  </pic:spPr>
                </pic:pic>
              </a:graphicData>
            </a:graphic>
          </wp:anchor>
        </w:drawing>
      </w:r>
    </w:p>
    <w:p w:rsidR="001042D6" w:rsidRDefault="001042D6" w:rsidP="001042D6">
      <w:pPr>
        <w:spacing w:line="480" w:lineRule="auto"/>
        <w:rPr>
          <w:rFonts w:ascii="Times New Roman" w:hAnsi="Times New Roman" w:cs="Times New Roman"/>
          <w:b/>
          <w:sz w:val="24"/>
          <w:szCs w:val="24"/>
        </w:rPr>
      </w:pPr>
    </w:p>
    <w:p w:rsidR="001042D6" w:rsidRDefault="001042D6" w:rsidP="001042D6">
      <w:pPr>
        <w:spacing w:line="480" w:lineRule="auto"/>
        <w:rPr>
          <w:rFonts w:ascii="Times New Roman" w:hAnsi="Times New Roman" w:cs="Times New Roman"/>
          <w:b/>
          <w:sz w:val="24"/>
          <w:szCs w:val="24"/>
        </w:rPr>
      </w:pPr>
    </w:p>
    <w:p w:rsidR="001042D6" w:rsidRDefault="001042D6" w:rsidP="001042D6">
      <w:pPr>
        <w:spacing w:line="480" w:lineRule="auto"/>
        <w:rPr>
          <w:rFonts w:ascii="Times New Roman" w:hAnsi="Times New Roman" w:cs="Times New Roman"/>
          <w:b/>
          <w:sz w:val="24"/>
          <w:szCs w:val="24"/>
        </w:rPr>
      </w:pPr>
    </w:p>
    <w:p w:rsidR="001042D6" w:rsidRDefault="001042D6" w:rsidP="001042D6">
      <w:pPr>
        <w:spacing w:line="480" w:lineRule="auto"/>
        <w:rPr>
          <w:rFonts w:ascii="Times New Roman" w:hAnsi="Times New Roman" w:cs="Times New Roman"/>
          <w:b/>
          <w:sz w:val="24"/>
          <w:szCs w:val="24"/>
        </w:rPr>
      </w:pPr>
    </w:p>
    <w:p w:rsidR="001042D6" w:rsidRDefault="001042D6" w:rsidP="001042D6">
      <w:pPr>
        <w:spacing w:line="480" w:lineRule="auto"/>
        <w:rPr>
          <w:rFonts w:ascii="Times New Roman" w:hAnsi="Times New Roman" w:cs="Times New Roman"/>
          <w:b/>
          <w:sz w:val="24"/>
          <w:szCs w:val="24"/>
        </w:rPr>
      </w:pPr>
    </w:p>
    <w:p w:rsidR="001042D6" w:rsidRDefault="001042D6" w:rsidP="001042D6">
      <w:pPr>
        <w:spacing w:line="480" w:lineRule="auto"/>
        <w:rPr>
          <w:rFonts w:ascii="Times New Roman" w:hAnsi="Times New Roman" w:cs="Times New Roman"/>
          <w:b/>
          <w:sz w:val="24"/>
          <w:szCs w:val="24"/>
        </w:rPr>
      </w:pPr>
    </w:p>
    <w:p w:rsidR="001042D6" w:rsidRDefault="00BC230B" w:rsidP="001042D6">
      <w:pPr>
        <w:spacing w:line="480" w:lineRule="auto"/>
        <w:rPr>
          <w:rFonts w:ascii="Times New Roman" w:hAnsi="Times New Roman" w:cs="Times New Roman"/>
          <w:sz w:val="24"/>
          <w:szCs w:val="24"/>
        </w:rPr>
      </w:pPr>
      <w:r>
        <w:rPr>
          <w:rFonts w:ascii="Times New Roman" w:hAnsi="Times New Roman" w:cs="Times New Roman"/>
          <w:b/>
          <w:sz w:val="24"/>
          <w:szCs w:val="24"/>
        </w:rPr>
        <w:t>Additional</w:t>
      </w:r>
      <w:r w:rsidR="001042D6">
        <w:rPr>
          <w:rFonts w:ascii="Times New Roman" w:hAnsi="Times New Roman" w:cs="Times New Roman"/>
          <w:b/>
          <w:sz w:val="24"/>
          <w:szCs w:val="24"/>
        </w:rPr>
        <w:t xml:space="preserve"> Figure </w:t>
      </w:r>
      <w:r w:rsidR="00650A82">
        <w:rPr>
          <w:rFonts w:ascii="Times New Roman" w:hAnsi="Times New Roman" w:cs="Times New Roman"/>
          <w:b/>
          <w:sz w:val="24"/>
          <w:szCs w:val="24"/>
        </w:rPr>
        <w:t>3</w:t>
      </w:r>
      <w:r w:rsidR="001042D6" w:rsidRPr="003053F4">
        <w:rPr>
          <w:rFonts w:ascii="Times New Roman" w:hAnsi="Times New Roman" w:cs="Times New Roman"/>
          <w:b/>
          <w:sz w:val="24"/>
          <w:szCs w:val="24"/>
        </w:rPr>
        <w:t>: A hypothesis for the evolutionary relationship</w:t>
      </w:r>
      <w:r w:rsidR="001042D6">
        <w:rPr>
          <w:rFonts w:ascii="Times New Roman" w:hAnsi="Times New Roman" w:cs="Times New Roman"/>
          <w:b/>
          <w:sz w:val="24"/>
          <w:szCs w:val="24"/>
        </w:rPr>
        <w:t>s</w:t>
      </w:r>
      <w:r w:rsidR="001042D6" w:rsidRPr="003053F4">
        <w:rPr>
          <w:rFonts w:ascii="Times New Roman" w:hAnsi="Times New Roman" w:cs="Times New Roman"/>
          <w:b/>
          <w:sz w:val="24"/>
          <w:szCs w:val="24"/>
        </w:rPr>
        <w:t xml:space="preserve"> between squamate and avian appendage</w:t>
      </w:r>
      <w:r w:rsidR="001042D6">
        <w:rPr>
          <w:rFonts w:ascii="Times New Roman" w:hAnsi="Times New Roman" w:cs="Times New Roman"/>
          <w:b/>
          <w:sz w:val="24"/>
          <w:szCs w:val="24"/>
        </w:rPr>
        <w:t xml:space="preserve"> types. </w:t>
      </w:r>
      <w:r w:rsidR="001042D6">
        <w:rPr>
          <w:rFonts w:ascii="Times New Roman" w:hAnsi="Times New Roman" w:cs="Times New Roman"/>
          <w:sz w:val="24"/>
          <w:szCs w:val="24"/>
        </w:rPr>
        <w:t xml:space="preserve">We propose that feathers, scutate scales and reticulate scales diversified after the divergence of </w:t>
      </w:r>
      <w:proofErr w:type="spellStart"/>
      <w:r w:rsidR="001042D6">
        <w:rPr>
          <w:rFonts w:ascii="Times New Roman" w:hAnsi="Times New Roman" w:cs="Times New Roman"/>
          <w:sz w:val="24"/>
          <w:szCs w:val="24"/>
        </w:rPr>
        <w:t>Lepidosauria</w:t>
      </w:r>
      <w:proofErr w:type="spellEnd"/>
      <w:r w:rsidR="001042D6">
        <w:rPr>
          <w:rFonts w:ascii="Times New Roman" w:hAnsi="Times New Roman" w:cs="Times New Roman"/>
          <w:sz w:val="24"/>
          <w:szCs w:val="24"/>
        </w:rPr>
        <w:t xml:space="preserve"> (which includes squamates), and prior to the divergence of </w:t>
      </w:r>
      <w:proofErr w:type="spellStart"/>
      <w:r w:rsidR="001042D6">
        <w:rPr>
          <w:rFonts w:ascii="Times New Roman" w:hAnsi="Times New Roman" w:cs="Times New Roman"/>
          <w:sz w:val="24"/>
          <w:szCs w:val="24"/>
        </w:rPr>
        <w:t>Ornithischia</w:t>
      </w:r>
      <w:proofErr w:type="spellEnd"/>
      <w:r w:rsidR="001042D6">
        <w:rPr>
          <w:rFonts w:ascii="Times New Roman" w:hAnsi="Times New Roman" w:cs="Times New Roman"/>
          <w:sz w:val="24"/>
          <w:szCs w:val="24"/>
        </w:rPr>
        <w:t>, as they have been observed in both ornithischian and t</w:t>
      </w:r>
      <w:r w:rsidR="001042D6" w:rsidRPr="00D11A8E">
        <w:rPr>
          <w:rFonts w:ascii="Times New Roman" w:hAnsi="Times New Roman" w:cs="Times New Roman"/>
          <w:sz w:val="24"/>
          <w:szCs w:val="24"/>
        </w:rPr>
        <w:t>heropod</w:t>
      </w:r>
      <w:r w:rsidR="001042D6">
        <w:rPr>
          <w:rFonts w:ascii="Times New Roman" w:hAnsi="Times New Roman" w:cs="Times New Roman"/>
          <w:sz w:val="24"/>
          <w:szCs w:val="24"/>
        </w:rPr>
        <w:t xml:space="preserve"> </w:t>
      </w:r>
      <w:proofErr w:type="spellStart"/>
      <w:r w:rsidR="001042D6">
        <w:rPr>
          <w:rFonts w:ascii="Times New Roman" w:hAnsi="Times New Roman" w:cs="Times New Roman"/>
          <w:sz w:val="24"/>
          <w:szCs w:val="24"/>
        </w:rPr>
        <w:t>fossils</w:t>
      </w:r>
      <w:r w:rsidR="00DD3153" w:rsidRPr="00D11A8E">
        <w:rPr>
          <w:rFonts w:ascii="Times New Roman" w:hAnsi="Times New Roman" w:cs="Times New Roman"/>
          <w:sz w:val="24"/>
          <w:szCs w:val="24"/>
        </w:rPr>
        <w:fldChar w:fldCharType="begin" w:fldLock="1"/>
      </w:r>
      <w:r w:rsidR="001042D6">
        <w:rPr>
          <w:rFonts w:ascii="Times New Roman" w:hAnsi="Times New Roman" w:cs="Times New Roman"/>
          <w:sz w:val="24"/>
          <w:szCs w:val="24"/>
        </w:rPr>
        <w:instrText>ADDIN CSL_CITATION {"citationItems":[{"id":"ITEM-1","itemData":{"author":[{"dropping-particle":"","family":"Godefroit","given":"Pascal","non-dropping-particle":"","parse-names":false,"suffix":""},{"dropping-particle":"","family":"Sinitsa","given":"Sofia M.","non-dropping-particle":"","parse-names":false,"suffix":""},{"dropping-particle":"","family":"Dhouailly","given":"Danielle","non-dropping-particle":"","parse-names":false,"suffix":""},{"dropping-particle":"","family":"Bolotsky","given":"Yuri L.","non-dropping-particle":"","parse-names":false,"suffix":""},{"dropping-particle":"V.","family":"Sizov","given":"Alexander","non-dropping-particle":"","parse-names":false,"suffix":""},{"dropping-particle":"","family":"McNamara","given":"Maria E.","non-dropping-particle":"","parse-names":false,"suffix":""},{"dropping-particle":"","family":"Benton","given":"Michael J.","non-dropping-particle":"","parse-names":false,"suffix":""},{"dropping-particle":"","family":"Spagna","given":"Paul","non-dropping-particle":"","parse-names":false,"suffix":""}],"container-title":"Science (New York, N.Y.)","id":"ITEM-1","issue":"6195","issued":{"date-parts":[["2014"]]},"page":"451-456","title":"A Jurassic ornithischian dinosaur from Siberiawith both feathers and scales","type":"article-journal","volume":"345"},"uris":["http://www.mendeley.com/documents/?uuid=05c643fd-5749-4597-99c7-54f35ec7dcf2"]},{"id":"ITEM-2","itemData":{"DOI":"10.1016/j.cretres.2015.03.008","ISSN":"1095998X","abstract":"The podotheca is the structure of scales covering the foot in extant birds. It is usually assumed that this structure is present in the whole clade of theropod dinosaurs; however, the knowledge of the origin of the podotheca is based on scarce direct evidence and its point of emergence within Theropoda is ambiguous. Here we discuss the relatively complete and well preserved podotheca of the basal tetanurae Concavenator corcovatus, which allows the description of its structure and its osteological correlation. We describe the skin pattern around the autopod of Concavenator and we compare it with available fossil skin impressions and the skin of extant crocodiles and birds. These scale impressions present a similar pattern to those observed in the autopod of avian theropods, so our results suggest that Concavenator have a bird-like podotheca. On the other hand, there is a current debate about the ichnological-osteological correlation in dinosaurs, derived from the lack of knowledge about the position of the phalanges in relation to the plantar pads of the podotheca. We describe, in Concavenator, an arthral condition of the position of the plantar pads. This condition would be the basal condition in the tetanurans and, thus, the ichnological record could be interpreted with an additional criterion. The autopod of Concavenator provides the first evidence of this type of structure in a non-avian theropod and it sheds light on the origin and distribution of this structure in the theropod large lineage.","author":[{"dropping-particle":"","family":"Cuesta","given":"Elena","non-dropping-particle":"","parse-names":false,"suffix":""},{"dropping-particle":"","family":"Díaz-Martínez","given":"Ignacio","non-dropping-particle":"","parse-names":false,"suffix":""},{"dropping-particle":"","family":"Ortega","given":"Francisco","non-dropping-particle":"","parse-names":false,"suffix":""},{"dropping-particle":"","family":"Sanz","given":"José L.","non-dropping-particle":"","parse-names":false,"suffix":""}],"container-title":"Cretaceous Research","id":"ITEM-2","issued":{"date-parts":[["2015"]]},"page":"53-59","title":"Did all theropods have chicken-like feet? First evidence of a non-avian dinosaur podotheca","type":"article-journal","volume":"56"},"uris":["http://www.mendeley.com/documents/?uuid=32c51963-6c29-411a-9c9c-5d69711c7b7a"]}],"mendeley":{"formattedCitation":"&lt;sup&gt;37,39&lt;/sup&gt;","plainTextFormattedCitation":"37,39","previouslyFormattedCitation":"&lt;sup&gt;37,39&lt;/sup&gt;"},"properties":{"noteIndex":0},"schema":"https://github.com/citation-style-language/schema/raw/master/csl-citation.json"}</w:instrText>
      </w:r>
      <w:r w:rsidR="00DD3153" w:rsidRPr="00D11A8E">
        <w:rPr>
          <w:rFonts w:ascii="Times New Roman" w:hAnsi="Times New Roman" w:cs="Times New Roman"/>
          <w:sz w:val="24"/>
          <w:szCs w:val="24"/>
        </w:rPr>
        <w:fldChar w:fldCharType="separate"/>
      </w:r>
      <w:r w:rsidR="001042D6" w:rsidRPr="00CD1F48">
        <w:rPr>
          <w:rFonts w:ascii="Times New Roman" w:hAnsi="Times New Roman" w:cs="Times New Roman"/>
          <w:noProof/>
          <w:sz w:val="24"/>
          <w:szCs w:val="24"/>
          <w:vertAlign w:val="superscript"/>
        </w:rPr>
        <w:t>37,39</w:t>
      </w:r>
      <w:proofErr w:type="spellEnd"/>
      <w:r w:rsidR="00DD3153" w:rsidRPr="00D11A8E">
        <w:rPr>
          <w:rFonts w:ascii="Times New Roman" w:hAnsi="Times New Roman" w:cs="Times New Roman"/>
          <w:sz w:val="24"/>
          <w:szCs w:val="24"/>
        </w:rPr>
        <w:fldChar w:fldCharType="end"/>
      </w:r>
      <w:r w:rsidR="001042D6" w:rsidRPr="00D11A8E">
        <w:rPr>
          <w:rFonts w:ascii="Times New Roman" w:hAnsi="Times New Roman" w:cs="Times New Roman"/>
          <w:sz w:val="24"/>
          <w:szCs w:val="24"/>
        </w:rPr>
        <w:t>.</w:t>
      </w:r>
      <w:r w:rsidR="001042D6">
        <w:rPr>
          <w:rFonts w:ascii="Times New Roman" w:hAnsi="Times New Roman" w:cs="Times New Roman"/>
          <w:sz w:val="24"/>
          <w:szCs w:val="24"/>
        </w:rPr>
        <w:t xml:space="preserve"> These structures are retained in extant avian species, which arose from theropod </w:t>
      </w:r>
      <w:proofErr w:type="spellStart"/>
      <w:r w:rsidR="001042D6">
        <w:rPr>
          <w:rFonts w:ascii="Times New Roman" w:hAnsi="Times New Roman" w:cs="Times New Roman"/>
          <w:sz w:val="24"/>
          <w:szCs w:val="24"/>
        </w:rPr>
        <w:t>dinosaurs</w:t>
      </w:r>
      <w:r w:rsidR="00DD3153" w:rsidRPr="00D11A8E">
        <w:rPr>
          <w:rFonts w:ascii="Times New Roman" w:hAnsi="Times New Roman" w:cs="Times New Roman"/>
          <w:sz w:val="24"/>
          <w:szCs w:val="24"/>
        </w:rPr>
        <w:fldChar w:fldCharType="begin" w:fldLock="1"/>
      </w:r>
      <w:r w:rsidR="001042D6">
        <w:rPr>
          <w:rFonts w:ascii="Times New Roman" w:hAnsi="Times New Roman" w:cs="Times New Roman"/>
          <w:sz w:val="24"/>
          <w:szCs w:val="24"/>
        </w:rPr>
        <w:instrText>ADDIN CSL_CITATION {"citationItems":[{"id":"ITEM-1","itemData":{"DOI":"10.1016/j.cub.2015.08.003","ISBN":"1879-0445 (Electronic) 0960-9822 (Linking)","ISSN":"09609822","PMID":"26439352","abstract":"Birds are one of the most recognizable and diverse groups of modern vertebrates. Over the past two decades, a wealth of new fossil discoveries and phylogenetic and macroevolutionary studies has transformed our understanding of how birds originated and became so successful. Birds evolved from theropod dinosaurs during the Jurassic (around 165-150 million years ago) and their classic small, lightweight, feathered, and winged body plan was pieced together gradually over tens of millions of years of evolution rather than in one burst of innovation. Early birds diversified throughout the Jurassic and Cretaceous, becoming capable fliers with supercharged growth rates, but were decimated at the end-Cretaceous extinction alongside their close dinosaurian relatives. After the mass extinction, modern birds (members of the avian crown group) explosively diversified, culminating in more than 10,000 species distributed worldwide today.","author":[{"dropping-particle":"","family":"Brusatte","given":"Stephen L.","non-dropping-particle":"","parse-names":false,"suffix":""},{"dropping-particle":"","family":"O'Connor","given":"Jingmai K.","non-dropping-particle":"","parse-names":false,"suffix":""},{"dropping-particle":"","family":"Jarvis","given":"Erich D.","non-dropping-particle":"","parse-names":false,"suffix":""}],"container-title":"Current Biology","id":"ITEM-1","issue":"19","issued":{"date-parts":[["2015"]]},"page":"R888-R898","publisher":"Elsevier Ltd","title":"The origin and diversification of birds","type":"article-journal","volume":"25"},"uris":["http://www.mendeley.com/documents/?uuid=8ebddfb9-5c2b-4f9b-b52a-737bfd9cc141"]}],"mendeley":{"formattedCitation":"&lt;sup&gt;47&lt;/sup&gt;","plainTextFormattedCitation":"47","previouslyFormattedCitation":"&lt;sup&gt;47&lt;/sup&gt;"},"properties":{"noteIndex":0},"schema":"https://github.com/citation-style-language/schema/raw/master/csl-citation.json"}</w:instrText>
      </w:r>
      <w:r w:rsidR="00DD3153" w:rsidRPr="00D11A8E">
        <w:rPr>
          <w:rFonts w:ascii="Times New Roman" w:hAnsi="Times New Roman" w:cs="Times New Roman"/>
          <w:sz w:val="24"/>
          <w:szCs w:val="24"/>
        </w:rPr>
        <w:fldChar w:fldCharType="separate"/>
      </w:r>
      <w:r w:rsidR="001042D6" w:rsidRPr="00CD1F48">
        <w:rPr>
          <w:rFonts w:ascii="Times New Roman" w:hAnsi="Times New Roman" w:cs="Times New Roman"/>
          <w:noProof/>
          <w:sz w:val="24"/>
          <w:szCs w:val="24"/>
          <w:vertAlign w:val="superscript"/>
        </w:rPr>
        <w:t>47</w:t>
      </w:r>
      <w:proofErr w:type="spellEnd"/>
      <w:r w:rsidR="00DD3153" w:rsidRPr="00D11A8E">
        <w:rPr>
          <w:rFonts w:ascii="Times New Roman" w:hAnsi="Times New Roman" w:cs="Times New Roman"/>
          <w:sz w:val="24"/>
          <w:szCs w:val="24"/>
        </w:rPr>
        <w:fldChar w:fldCharType="end"/>
      </w:r>
      <w:r w:rsidR="001042D6">
        <w:rPr>
          <w:rFonts w:ascii="Times New Roman" w:hAnsi="Times New Roman" w:cs="Times New Roman"/>
          <w:sz w:val="24"/>
          <w:szCs w:val="24"/>
        </w:rPr>
        <w:t xml:space="preserve">. </w:t>
      </w:r>
    </w:p>
    <w:p w:rsidR="001042D6" w:rsidRPr="001042D6" w:rsidRDefault="001042D6" w:rsidP="001042D6">
      <w:pPr>
        <w:jc w:val="center"/>
        <w:rPr>
          <w:rFonts w:ascii="Times New Roman" w:hAnsi="Times New Roman" w:cs="Times New Roman"/>
          <w:b/>
          <w:sz w:val="24"/>
        </w:rPr>
      </w:pPr>
    </w:p>
    <w:sectPr w:rsidR="001042D6" w:rsidRPr="001042D6" w:rsidSect="001042D6">
      <w:pgSz w:w="11906" w:h="16838"/>
      <w:pgMar w:top="851" w:right="1440" w:bottom="993"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revisionView w:markup="0"/>
  <w:defaultTabStop w:val="720"/>
  <w:characterSpacingControl w:val="doNotCompress"/>
  <w:compat/>
  <w:rsids>
    <w:rsidRoot w:val="001042D6"/>
    <w:rsid w:val="000C55F7"/>
    <w:rsid w:val="001042D6"/>
    <w:rsid w:val="004E540E"/>
    <w:rsid w:val="00650A82"/>
    <w:rsid w:val="00940B6C"/>
    <w:rsid w:val="009F2E55"/>
    <w:rsid w:val="00B15606"/>
    <w:rsid w:val="00BB60DE"/>
    <w:rsid w:val="00BC230B"/>
    <w:rsid w:val="00C43934"/>
    <w:rsid w:val="00DC2D4C"/>
    <w:rsid w:val="00DD3153"/>
    <w:rsid w:val="00E9511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1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3376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2802</Words>
  <Characters>15975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Cooper</dc:creator>
  <cp:keywords/>
  <dc:description/>
  <cp:lastModifiedBy>0013358</cp:lastModifiedBy>
  <cp:revision>8</cp:revision>
  <dcterms:created xsi:type="dcterms:W3CDTF">2019-01-18T10:44:00Z</dcterms:created>
  <dcterms:modified xsi:type="dcterms:W3CDTF">2019-07-20T11:18:00Z</dcterms:modified>
</cp:coreProperties>
</file>