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58" w:rsidRPr="00A85BE8" w:rsidRDefault="00C903D4" w:rsidP="00C1467D">
      <w:pPr>
        <w:adjustRightInd w:val="0"/>
        <w:snapToGrid w:val="0"/>
        <w:spacing w:line="360" w:lineRule="auto"/>
        <w:jc w:val="center"/>
        <w:rPr>
          <w:sz w:val="24"/>
        </w:rPr>
      </w:pPr>
      <w:r w:rsidRPr="00A85BE8">
        <w:rPr>
          <w:sz w:val="24"/>
        </w:rPr>
        <w:t>Protocol of the study</w:t>
      </w:r>
    </w:p>
    <w:p w:rsidR="00531138" w:rsidRPr="00A85BE8" w:rsidRDefault="0049666D" w:rsidP="00C1467D">
      <w:pPr>
        <w:adjustRightInd w:val="0"/>
        <w:snapToGrid w:val="0"/>
        <w:spacing w:line="360" w:lineRule="auto"/>
        <w:rPr>
          <w:sz w:val="24"/>
        </w:rPr>
      </w:pPr>
      <w:r w:rsidRPr="00A85BE8">
        <w:rPr>
          <w:sz w:val="24"/>
        </w:rPr>
        <w:t xml:space="preserve">A prospective, randomized, controlled, multi-center study to compare the </w:t>
      </w:r>
      <w:r w:rsidR="00290E82" w:rsidRPr="00A85BE8">
        <w:rPr>
          <w:sz w:val="24"/>
        </w:rPr>
        <w:t>different doses</w:t>
      </w:r>
      <w:r w:rsidR="00531138" w:rsidRPr="00A85BE8">
        <w:rPr>
          <w:sz w:val="24"/>
        </w:rPr>
        <w:t xml:space="preserve"> of ATG used in haploidentical hematopo</w:t>
      </w:r>
      <w:r w:rsidR="00EB35F8" w:rsidRPr="00A85BE8">
        <w:rPr>
          <w:sz w:val="24"/>
        </w:rPr>
        <w:t>ietic stem cell transplantation</w:t>
      </w:r>
    </w:p>
    <w:p w:rsidR="00E63EAF" w:rsidRPr="00A85BE8" w:rsidRDefault="00E63EAF" w:rsidP="0057002E">
      <w:pPr>
        <w:adjustRightInd w:val="0"/>
        <w:snapToGrid w:val="0"/>
        <w:spacing w:line="360" w:lineRule="auto"/>
        <w:rPr>
          <w:sz w:val="24"/>
        </w:rPr>
      </w:pPr>
    </w:p>
    <w:p w:rsidR="00EB35F8" w:rsidRPr="00A85BE8" w:rsidRDefault="00EB35F8" w:rsidP="00C1467D">
      <w:pPr>
        <w:adjustRightInd w:val="0"/>
        <w:snapToGrid w:val="0"/>
        <w:spacing w:line="360" w:lineRule="auto"/>
        <w:jc w:val="center"/>
        <w:rPr>
          <w:sz w:val="24"/>
        </w:rPr>
      </w:pPr>
      <w:r w:rsidRPr="00A85BE8">
        <w:rPr>
          <w:sz w:val="24"/>
        </w:rPr>
        <w:t xml:space="preserve">Applicant Institution: </w:t>
      </w:r>
      <w:bookmarkStart w:id="0" w:name="OLE_LINK1"/>
      <w:bookmarkStart w:id="1" w:name="OLE_LINK2"/>
      <w:r w:rsidRPr="00A85BE8">
        <w:rPr>
          <w:sz w:val="24"/>
        </w:rPr>
        <w:t>Nanfang Hospital, Southern Medical University</w:t>
      </w:r>
      <w:bookmarkEnd w:id="0"/>
      <w:bookmarkEnd w:id="1"/>
    </w:p>
    <w:p w:rsidR="00E63EAF" w:rsidRPr="00A85BE8" w:rsidRDefault="00EB35F8" w:rsidP="00C1467D">
      <w:pPr>
        <w:adjustRightInd w:val="0"/>
        <w:snapToGrid w:val="0"/>
        <w:spacing w:line="360" w:lineRule="auto"/>
        <w:jc w:val="center"/>
        <w:rPr>
          <w:sz w:val="24"/>
        </w:rPr>
      </w:pPr>
      <w:r w:rsidRPr="00A85BE8">
        <w:rPr>
          <w:sz w:val="24"/>
        </w:rPr>
        <w:t>Principal institution: Nanfang Hospital, Southern Medical University</w:t>
      </w: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bookmarkStart w:id="2" w:name="_GoBack"/>
      <w:bookmarkEnd w:id="2"/>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sz w:val="24"/>
        </w:rPr>
      </w:pPr>
    </w:p>
    <w:p w:rsidR="00E63EAF" w:rsidRPr="00A85BE8" w:rsidRDefault="00E63EAF" w:rsidP="0057002E">
      <w:pPr>
        <w:adjustRightInd w:val="0"/>
        <w:snapToGrid w:val="0"/>
        <w:spacing w:line="360" w:lineRule="auto"/>
        <w:rPr>
          <w:rFonts w:eastAsiaTheme="minorEastAsia"/>
          <w:sz w:val="24"/>
        </w:rPr>
      </w:pPr>
    </w:p>
    <w:p w:rsidR="002271E4" w:rsidRPr="00A85BE8" w:rsidRDefault="002271E4" w:rsidP="0057002E">
      <w:pPr>
        <w:adjustRightInd w:val="0"/>
        <w:snapToGrid w:val="0"/>
        <w:spacing w:line="360" w:lineRule="auto"/>
        <w:rPr>
          <w:rFonts w:eastAsiaTheme="minorEastAsia"/>
          <w:sz w:val="24"/>
        </w:rPr>
      </w:pPr>
    </w:p>
    <w:p w:rsidR="005639A6" w:rsidRPr="00A85BE8" w:rsidRDefault="005639A6" w:rsidP="0057002E">
      <w:pPr>
        <w:adjustRightInd w:val="0"/>
        <w:snapToGrid w:val="0"/>
        <w:spacing w:line="360" w:lineRule="auto"/>
        <w:rPr>
          <w:sz w:val="24"/>
        </w:rPr>
      </w:pPr>
    </w:p>
    <w:sdt>
      <w:sdtPr>
        <w:rPr>
          <w:lang w:val="zh-CN"/>
        </w:rPr>
        <w:id w:val="-1953542160"/>
        <w:docPartObj>
          <w:docPartGallery w:val="Table of Contents"/>
          <w:docPartUnique/>
        </w:docPartObj>
      </w:sdtPr>
      <w:sdtEndPr>
        <w:rPr>
          <w:b/>
          <w:bCs/>
        </w:rPr>
      </w:sdtEndPr>
      <w:sdtContent>
        <w:p w:rsidR="00FA4590" w:rsidRPr="00A85BE8" w:rsidRDefault="00FA4590" w:rsidP="00FA4590">
          <w:pPr>
            <w:adjustRightInd w:val="0"/>
            <w:snapToGrid w:val="0"/>
            <w:spacing w:line="360" w:lineRule="auto"/>
            <w:jc w:val="center"/>
            <w:rPr>
              <w:sz w:val="28"/>
              <w:szCs w:val="28"/>
            </w:rPr>
          </w:pPr>
          <w:r w:rsidRPr="00A85BE8">
            <w:rPr>
              <w:rFonts w:eastAsiaTheme="minorEastAsia" w:hint="eastAsia"/>
              <w:sz w:val="28"/>
              <w:szCs w:val="28"/>
              <w:lang w:val="zh-CN"/>
            </w:rPr>
            <w:t xml:space="preserve">Table of </w:t>
          </w:r>
          <w:r w:rsidRPr="00A85BE8">
            <w:rPr>
              <w:rFonts w:eastAsiaTheme="minorEastAsia" w:hint="eastAsia"/>
              <w:sz w:val="28"/>
              <w:szCs w:val="28"/>
            </w:rPr>
            <w:t>C</w:t>
          </w:r>
          <w:r w:rsidRPr="00A85BE8">
            <w:rPr>
              <w:rFonts w:hint="eastAsia"/>
              <w:sz w:val="28"/>
              <w:szCs w:val="28"/>
            </w:rPr>
            <w:t>ontents</w:t>
          </w:r>
        </w:p>
        <w:p w:rsidR="00FA4590" w:rsidRPr="00A85BE8" w:rsidRDefault="00FA4590">
          <w:pPr>
            <w:pStyle w:val="10"/>
            <w:tabs>
              <w:tab w:val="right" w:leader="dot" w:pos="8296"/>
            </w:tabs>
            <w:rPr>
              <w:noProof/>
            </w:rPr>
          </w:pPr>
          <w:r w:rsidRPr="00A85BE8">
            <w:fldChar w:fldCharType="begin"/>
          </w:r>
          <w:r w:rsidRPr="00A85BE8">
            <w:instrText xml:space="preserve"> TOC \o "1-3" \h \z \u </w:instrText>
          </w:r>
          <w:r w:rsidRPr="00A85BE8">
            <w:fldChar w:fldCharType="separate"/>
          </w:r>
          <w:hyperlink w:anchor="_Toc512010108" w:history="1">
            <w:r w:rsidRPr="00A85BE8">
              <w:rPr>
                <w:rStyle w:val="ac"/>
                <w:noProof/>
                <w:color w:val="auto"/>
              </w:rPr>
              <w:t>Protocol Summary</w:t>
            </w:r>
            <w:r w:rsidRPr="00A85BE8">
              <w:rPr>
                <w:noProof/>
                <w:webHidden/>
              </w:rPr>
              <w:tab/>
            </w:r>
            <w:r w:rsidRPr="00A85BE8">
              <w:rPr>
                <w:noProof/>
                <w:webHidden/>
              </w:rPr>
              <w:fldChar w:fldCharType="begin"/>
            </w:r>
            <w:r w:rsidRPr="00A85BE8">
              <w:rPr>
                <w:noProof/>
                <w:webHidden/>
              </w:rPr>
              <w:instrText xml:space="preserve"> PAGEREF _Toc512010108 \h </w:instrText>
            </w:r>
            <w:r w:rsidRPr="00A85BE8">
              <w:rPr>
                <w:noProof/>
                <w:webHidden/>
              </w:rPr>
            </w:r>
            <w:r w:rsidRPr="00A85BE8">
              <w:rPr>
                <w:noProof/>
                <w:webHidden/>
              </w:rPr>
              <w:fldChar w:fldCharType="separate"/>
            </w:r>
            <w:r w:rsidRPr="00A85BE8">
              <w:rPr>
                <w:noProof/>
                <w:webHidden/>
              </w:rPr>
              <w:t>4</w:t>
            </w:r>
            <w:r w:rsidRPr="00A85BE8">
              <w:rPr>
                <w:noProof/>
                <w:webHidden/>
              </w:rPr>
              <w:fldChar w:fldCharType="end"/>
            </w:r>
          </w:hyperlink>
        </w:p>
        <w:p w:rsidR="00FA4590" w:rsidRPr="00A85BE8" w:rsidRDefault="00806C69">
          <w:pPr>
            <w:pStyle w:val="10"/>
            <w:tabs>
              <w:tab w:val="right" w:leader="dot" w:pos="8296"/>
            </w:tabs>
            <w:rPr>
              <w:noProof/>
            </w:rPr>
          </w:pPr>
          <w:hyperlink w:anchor="_Toc512010109" w:history="1">
            <w:r w:rsidR="00FA4590" w:rsidRPr="00A85BE8">
              <w:rPr>
                <w:rStyle w:val="ac"/>
                <w:noProof/>
                <w:color w:val="auto"/>
              </w:rPr>
              <w:t>1. Background</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_Toc512010109 \h </w:instrText>
            </w:r>
            <w:r w:rsidR="00FA4590" w:rsidRPr="00A85BE8">
              <w:rPr>
                <w:noProof/>
                <w:webHidden/>
              </w:rPr>
            </w:r>
            <w:r w:rsidR="00FA4590" w:rsidRPr="00A85BE8">
              <w:rPr>
                <w:noProof/>
                <w:webHidden/>
              </w:rPr>
              <w:fldChar w:fldCharType="separate"/>
            </w:r>
            <w:r w:rsidR="00FA4590" w:rsidRPr="00A85BE8">
              <w:rPr>
                <w:noProof/>
                <w:webHidden/>
              </w:rPr>
              <w:t>6</w:t>
            </w:r>
            <w:r w:rsidR="00FA4590" w:rsidRPr="00A85BE8">
              <w:rPr>
                <w:noProof/>
                <w:webHidden/>
              </w:rPr>
              <w:fldChar w:fldCharType="end"/>
            </w:r>
          </w:hyperlink>
        </w:p>
        <w:p w:rsidR="00FA4590" w:rsidRPr="00A85BE8" w:rsidRDefault="00806C69">
          <w:pPr>
            <w:pStyle w:val="10"/>
            <w:tabs>
              <w:tab w:val="right" w:leader="dot" w:pos="8296"/>
            </w:tabs>
            <w:rPr>
              <w:noProof/>
            </w:rPr>
          </w:pPr>
          <w:hyperlink w:anchor="_Toc512010110" w:history="1">
            <w:r w:rsidR="00FA4590" w:rsidRPr="00A85BE8">
              <w:rPr>
                <w:rStyle w:val="ac"/>
                <w:noProof/>
                <w:color w:val="auto"/>
              </w:rPr>
              <w:t>2. Objectives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_Toc512010110 \h </w:instrText>
            </w:r>
            <w:r w:rsidR="00FA4590" w:rsidRPr="00A85BE8">
              <w:rPr>
                <w:noProof/>
                <w:webHidden/>
              </w:rPr>
            </w:r>
            <w:r w:rsidR="00FA4590" w:rsidRPr="00A85BE8">
              <w:rPr>
                <w:noProof/>
                <w:webHidden/>
              </w:rPr>
              <w:fldChar w:fldCharType="separate"/>
            </w:r>
            <w:r w:rsidR="00FA4590" w:rsidRPr="00A85BE8">
              <w:rPr>
                <w:noProof/>
                <w:webHidden/>
              </w:rPr>
              <w:t>7</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11" w:history="1">
            <w:r w:rsidR="00FA4590" w:rsidRPr="00A85BE8">
              <w:rPr>
                <w:rStyle w:val="ac"/>
                <w:noProof/>
                <w:color w:val="auto"/>
              </w:rPr>
              <w:t>2.1 Primary Objective</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_Toc512010111 \h </w:instrText>
            </w:r>
            <w:r w:rsidR="00FA4590" w:rsidRPr="00A85BE8">
              <w:rPr>
                <w:noProof/>
                <w:webHidden/>
              </w:rPr>
            </w:r>
            <w:r w:rsidR="00FA4590" w:rsidRPr="00A85BE8">
              <w:rPr>
                <w:noProof/>
                <w:webHidden/>
              </w:rPr>
              <w:fldChar w:fldCharType="separate"/>
            </w:r>
            <w:r w:rsidR="00FA4590" w:rsidRPr="00A85BE8">
              <w:rPr>
                <w:noProof/>
                <w:webHidden/>
              </w:rPr>
              <w:t>7</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12" w:history="1">
            <w:r w:rsidR="00FA4590" w:rsidRPr="00A85BE8">
              <w:rPr>
                <w:rStyle w:val="ac"/>
                <w:noProof/>
                <w:color w:val="auto"/>
              </w:rPr>
              <w:t>2.2 Secondary Objective</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_Toc512010112 \h </w:instrText>
            </w:r>
            <w:r w:rsidR="00FA4590" w:rsidRPr="00A85BE8">
              <w:rPr>
                <w:noProof/>
                <w:webHidden/>
              </w:rPr>
            </w:r>
            <w:r w:rsidR="00FA4590" w:rsidRPr="00A85BE8">
              <w:rPr>
                <w:noProof/>
                <w:webHidden/>
              </w:rPr>
              <w:fldChar w:fldCharType="separate"/>
            </w:r>
            <w:r w:rsidR="00FA4590" w:rsidRPr="00A85BE8">
              <w:rPr>
                <w:noProof/>
                <w:webHidden/>
              </w:rPr>
              <w:t>7</w:t>
            </w:r>
            <w:r w:rsidR="00FA4590" w:rsidRPr="00A85BE8">
              <w:rPr>
                <w:noProof/>
                <w:webHidden/>
              </w:rPr>
              <w:fldChar w:fldCharType="end"/>
            </w:r>
          </w:hyperlink>
        </w:p>
        <w:p w:rsidR="00FA4590" w:rsidRPr="00A85BE8" w:rsidRDefault="00806C69">
          <w:pPr>
            <w:pStyle w:val="10"/>
            <w:tabs>
              <w:tab w:val="right" w:leader="dot" w:pos="8296"/>
            </w:tabs>
            <w:rPr>
              <w:noProof/>
            </w:rPr>
          </w:pPr>
          <w:hyperlink w:anchor="_Toc512010113" w:history="1">
            <w:r w:rsidR="00FA4590" w:rsidRPr="00A85BE8">
              <w:rPr>
                <w:rStyle w:val="ac"/>
                <w:noProof/>
                <w:color w:val="auto"/>
              </w:rPr>
              <w:t>3. Study Design</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_Toc512010113 \h </w:instrText>
            </w:r>
            <w:r w:rsidR="00FA4590" w:rsidRPr="00A85BE8">
              <w:rPr>
                <w:noProof/>
                <w:webHidden/>
              </w:rPr>
            </w:r>
            <w:r w:rsidR="00FA4590" w:rsidRPr="00A85BE8">
              <w:rPr>
                <w:noProof/>
                <w:webHidden/>
              </w:rPr>
              <w:fldChar w:fldCharType="separate"/>
            </w:r>
            <w:r w:rsidR="00FA4590" w:rsidRPr="00A85BE8">
              <w:rPr>
                <w:noProof/>
                <w:webHidden/>
              </w:rPr>
              <w:t>7</w:t>
            </w:r>
            <w:r w:rsidR="00FA4590" w:rsidRPr="00A85BE8">
              <w:rPr>
                <w:noProof/>
                <w:webHidden/>
              </w:rPr>
              <w:fldChar w:fldCharType="end"/>
            </w:r>
          </w:hyperlink>
        </w:p>
        <w:p w:rsidR="00FA4590" w:rsidRPr="00A85BE8" w:rsidRDefault="00806C69">
          <w:pPr>
            <w:pStyle w:val="10"/>
            <w:tabs>
              <w:tab w:val="right" w:leader="dot" w:pos="8296"/>
            </w:tabs>
            <w:rPr>
              <w:noProof/>
            </w:rPr>
          </w:pPr>
          <w:hyperlink w:anchor="_Toc512010114" w:history="1">
            <w:r w:rsidR="00FA4590" w:rsidRPr="00A85BE8">
              <w:rPr>
                <w:rStyle w:val="ac"/>
                <w:noProof/>
                <w:color w:val="auto"/>
              </w:rPr>
              <w:t>4. Subject Selection Criteria</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_Toc512010114 \h </w:instrText>
            </w:r>
            <w:r w:rsidR="00FA4590" w:rsidRPr="00A85BE8">
              <w:rPr>
                <w:noProof/>
                <w:webHidden/>
              </w:rPr>
            </w:r>
            <w:r w:rsidR="00FA4590" w:rsidRPr="00A85BE8">
              <w:rPr>
                <w:noProof/>
                <w:webHidden/>
              </w:rPr>
              <w:fldChar w:fldCharType="separate"/>
            </w:r>
            <w:r w:rsidR="00FA4590" w:rsidRPr="00A85BE8">
              <w:rPr>
                <w:noProof/>
                <w:webHidden/>
              </w:rPr>
              <w:t>8</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15" w:history="1">
            <w:r w:rsidR="00FA4590" w:rsidRPr="00A85BE8">
              <w:rPr>
                <w:rStyle w:val="ac"/>
                <w:noProof/>
                <w:color w:val="auto"/>
              </w:rPr>
              <w:t>4.1 Subject Selection Criteria</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_Toc512010115 \h </w:instrText>
            </w:r>
            <w:r w:rsidR="00FA4590" w:rsidRPr="00A85BE8">
              <w:rPr>
                <w:noProof/>
                <w:webHidden/>
              </w:rPr>
            </w:r>
            <w:r w:rsidR="00FA4590" w:rsidRPr="00A85BE8">
              <w:rPr>
                <w:noProof/>
                <w:webHidden/>
              </w:rPr>
              <w:fldChar w:fldCharType="separate"/>
            </w:r>
            <w:r w:rsidR="00FA4590" w:rsidRPr="00A85BE8">
              <w:rPr>
                <w:noProof/>
                <w:webHidden/>
              </w:rPr>
              <w:t>8</w:t>
            </w:r>
            <w:r w:rsidR="00FA4590" w:rsidRPr="00A85BE8">
              <w:rPr>
                <w:noProof/>
                <w:webHidden/>
              </w:rPr>
              <w:fldChar w:fldCharType="end"/>
            </w:r>
          </w:hyperlink>
        </w:p>
        <w:p w:rsidR="00FA4590" w:rsidRPr="00A85BE8" w:rsidRDefault="00806C69">
          <w:pPr>
            <w:pStyle w:val="30"/>
            <w:tabs>
              <w:tab w:val="right" w:leader="dot" w:pos="8296"/>
            </w:tabs>
            <w:rPr>
              <w:noProof/>
            </w:rPr>
          </w:pPr>
          <w:hyperlink w:anchor="_Toc512010116" w:history="1">
            <w:r w:rsidR="00FA4590" w:rsidRPr="00A85BE8">
              <w:rPr>
                <w:rStyle w:val="ac"/>
                <w:noProof/>
                <w:color w:val="auto"/>
              </w:rPr>
              <w:t>4.1.1 Number of Subjects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_Toc512010116 \h </w:instrText>
            </w:r>
            <w:r w:rsidR="00FA4590" w:rsidRPr="00A85BE8">
              <w:rPr>
                <w:noProof/>
                <w:webHidden/>
              </w:rPr>
            </w:r>
            <w:r w:rsidR="00FA4590" w:rsidRPr="00A85BE8">
              <w:rPr>
                <w:noProof/>
                <w:webHidden/>
              </w:rPr>
              <w:fldChar w:fldCharType="separate"/>
            </w:r>
            <w:r w:rsidR="00FA4590" w:rsidRPr="00A85BE8">
              <w:rPr>
                <w:noProof/>
                <w:webHidden/>
              </w:rPr>
              <w:t>8</w:t>
            </w:r>
            <w:r w:rsidR="00FA4590" w:rsidRPr="00A85BE8">
              <w:rPr>
                <w:noProof/>
                <w:webHidden/>
              </w:rPr>
              <w:fldChar w:fldCharType="end"/>
            </w:r>
          </w:hyperlink>
        </w:p>
        <w:p w:rsidR="00FA4590" w:rsidRPr="00A85BE8" w:rsidRDefault="00806C69">
          <w:pPr>
            <w:pStyle w:val="30"/>
            <w:tabs>
              <w:tab w:val="right" w:leader="dot" w:pos="8296"/>
            </w:tabs>
            <w:rPr>
              <w:noProof/>
            </w:rPr>
          </w:pPr>
          <w:hyperlink w:anchor="_Toc512010117" w:history="1">
            <w:r w:rsidR="00FA4590" w:rsidRPr="00A85BE8">
              <w:rPr>
                <w:rStyle w:val="ac"/>
                <w:noProof/>
                <w:color w:val="auto"/>
              </w:rPr>
              <w:t>4.1.2 Inclusion Criteria</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_Toc512010117 \h </w:instrText>
            </w:r>
            <w:r w:rsidR="00FA4590" w:rsidRPr="00A85BE8">
              <w:rPr>
                <w:noProof/>
                <w:webHidden/>
              </w:rPr>
            </w:r>
            <w:r w:rsidR="00FA4590" w:rsidRPr="00A85BE8">
              <w:rPr>
                <w:noProof/>
                <w:webHidden/>
              </w:rPr>
              <w:fldChar w:fldCharType="separate"/>
            </w:r>
            <w:r w:rsidR="00FA4590" w:rsidRPr="00A85BE8">
              <w:rPr>
                <w:noProof/>
                <w:webHidden/>
              </w:rPr>
              <w:t>8</w:t>
            </w:r>
            <w:r w:rsidR="00FA4590" w:rsidRPr="00A85BE8">
              <w:rPr>
                <w:noProof/>
                <w:webHidden/>
              </w:rPr>
              <w:fldChar w:fldCharType="end"/>
            </w:r>
          </w:hyperlink>
        </w:p>
        <w:p w:rsidR="00FA4590" w:rsidRPr="00A85BE8" w:rsidRDefault="00806C69">
          <w:pPr>
            <w:pStyle w:val="30"/>
            <w:tabs>
              <w:tab w:val="right" w:leader="dot" w:pos="8296"/>
            </w:tabs>
            <w:rPr>
              <w:noProof/>
            </w:rPr>
          </w:pPr>
          <w:hyperlink w:anchor="_Toc512010118" w:history="1">
            <w:r w:rsidR="00FA4590" w:rsidRPr="00A85BE8">
              <w:rPr>
                <w:rStyle w:val="ac"/>
                <w:noProof/>
                <w:color w:val="auto"/>
              </w:rPr>
              <w:t>4.1.3 Exclusion Criteria</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_Toc512010118 \h </w:instrText>
            </w:r>
            <w:r w:rsidR="00FA4590" w:rsidRPr="00A85BE8">
              <w:rPr>
                <w:noProof/>
                <w:webHidden/>
              </w:rPr>
            </w:r>
            <w:r w:rsidR="00FA4590" w:rsidRPr="00A85BE8">
              <w:rPr>
                <w:noProof/>
                <w:webHidden/>
              </w:rPr>
              <w:fldChar w:fldCharType="separate"/>
            </w:r>
            <w:r w:rsidR="00FA4590" w:rsidRPr="00A85BE8">
              <w:rPr>
                <w:noProof/>
                <w:webHidden/>
              </w:rPr>
              <w:t>8</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19" w:history="1">
            <w:r w:rsidR="00FA4590" w:rsidRPr="00A85BE8">
              <w:rPr>
                <w:rStyle w:val="ac"/>
                <w:noProof/>
                <w:color w:val="auto"/>
              </w:rPr>
              <w:t>4.2. Removal Criteria</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_Toc512010119 \h </w:instrText>
            </w:r>
            <w:r w:rsidR="00FA4590" w:rsidRPr="00A85BE8">
              <w:rPr>
                <w:noProof/>
                <w:webHidden/>
              </w:rPr>
            </w:r>
            <w:r w:rsidR="00FA4590" w:rsidRPr="00A85BE8">
              <w:rPr>
                <w:noProof/>
                <w:webHidden/>
              </w:rPr>
              <w:fldChar w:fldCharType="separate"/>
            </w:r>
            <w:r w:rsidR="00FA4590" w:rsidRPr="00A85BE8">
              <w:rPr>
                <w:noProof/>
                <w:webHidden/>
              </w:rPr>
              <w:t>9</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20" w:history="1">
            <w:r w:rsidR="00FA4590" w:rsidRPr="00A85BE8">
              <w:rPr>
                <w:rStyle w:val="ac"/>
                <w:noProof/>
                <w:color w:val="auto"/>
              </w:rPr>
              <w:t>4.3. Withdrawal Criteria</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_Toc512010120 \h </w:instrText>
            </w:r>
            <w:r w:rsidR="00FA4590" w:rsidRPr="00A85BE8">
              <w:rPr>
                <w:noProof/>
                <w:webHidden/>
              </w:rPr>
            </w:r>
            <w:r w:rsidR="00FA4590" w:rsidRPr="00A85BE8">
              <w:rPr>
                <w:noProof/>
                <w:webHidden/>
              </w:rPr>
              <w:fldChar w:fldCharType="separate"/>
            </w:r>
            <w:r w:rsidR="00FA4590" w:rsidRPr="00A85BE8">
              <w:rPr>
                <w:noProof/>
                <w:webHidden/>
              </w:rPr>
              <w:t>9</w:t>
            </w:r>
            <w:r w:rsidR="00FA4590" w:rsidRPr="00A85BE8">
              <w:rPr>
                <w:noProof/>
                <w:webHidden/>
              </w:rPr>
              <w:fldChar w:fldCharType="end"/>
            </w:r>
          </w:hyperlink>
        </w:p>
        <w:p w:rsidR="00FA4590" w:rsidRPr="00A85BE8" w:rsidRDefault="00806C69">
          <w:pPr>
            <w:pStyle w:val="10"/>
            <w:tabs>
              <w:tab w:val="right" w:leader="dot" w:pos="8296"/>
            </w:tabs>
            <w:rPr>
              <w:noProof/>
            </w:rPr>
          </w:pPr>
          <w:hyperlink w:anchor="_Toc512010121" w:history="1">
            <w:r w:rsidR="00FA4590" w:rsidRPr="00A85BE8">
              <w:rPr>
                <w:rStyle w:val="ac"/>
                <w:noProof/>
                <w:color w:val="auto"/>
              </w:rPr>
              <w:t>5. Study Procedures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_Toc512010121 \h </w:instrText>
            </w:r>
            <w:r w:rsidR="00FA4590" w:rsidRPr="00A85BE8">
              <w:rPr>
                <w:noProof/>
                <w:webHidden/>
              </w:rPr>
            </w:r>
            <w:r w:rsidR="00FA4590" w:rsidRPr="00A85BE8">
              <w:rPr>
                <w:noProof/>
                <w:webHidden/>
              </w:rPr>
              <w:fldChar w:fldCharType="separate"/>
            </w:r>
            <w:r w:rsidR="00FA4590" w:rsidRPr="00A85BE8">
              <w:rPr>
                <w:noProof/>
                <w:webHidden/>
              </w:rPr>
              <w:t>9</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22" w:history="1">
            <w:r w:rsidR="00FA4590" w:rsidRPr="00A85BE8">
              <w:rPr>
                <w:rStyle w:val="ac"/>
                <w:noProof/>
                <w:color w:val="auto"/>
              </w:rPr>
              <w:t>5.1 Treatment Assignment</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_Toc512010122 \h </w:instrText>
            </w:r>
            <w:r w:rsidR="00FA4590" w:rsidRPr="00A85BE8">
              <w:rPr>
                <w:noProof/>
                <w:webHidden/>
              </w:rPr>
            </w:r>
            <w:r w:rsidR="00FA4590" w:rsidRPr="00A85BE8">
              <w:rPr>
                <w:noProof/>
                <w:webHidden/>
              </w:rPr>
              <w:fldChar w:fldCharType="separate"/>
            </w:r>
            <w:r w:rsidR="00FA4590" w:rsidRPr="00A85BE8">
              <w:rPr>
                <w:noProof/>
                <w:webHidden/>
              </w:rPr>
              <w:t>9</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23" w:history="1">
            <w:r w:rsidR="00FA4590" w:rsidRPr="00A85BE8">
              <w:rPr>
                <w:rStyle w:val="ac"/>
                <w:noProof/>
                <w:color w:val="auto"/>
              </w:rPr>
              <w:t>5.2 Study Treatment</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_Toc512010123 \h </w:instrText>
            </w:r>
            <w:r w:rsidR="00FA4590" w:rsidRPr="00A85BE8">
              <w:rPr>
                <w:noProof/>
                <w:webHidden/>
              </w:rPr>
            </w:r>
            <w:r w:rsidR="00FA4590" w:rsidRPr="00A85BE8">
              <w:rPr>
                <w:noProof/>
                <w:webHidden/>
              </w:rPr>
              <w:fldChar w:fldCharType="separate"/>
            </w:r>
            <w:r w:rsidR="00FA4590" w:rsidRPr="00A85BE8">
              <w:rPr>
                <w:noProof/>
                <w:webHidden/>
              </w:rPr>
              <w:t>9</w:t>
            </w:r>
            <w:r w:rsidR="00FA4590" w:rsidRPr="00A85BE8">
              <w:rPr>
                <w:noProof/>
                <w:webHidden/>
              </w:rPr>
              <w:fldChar w:fldCharType="end"/>
            </w:r>
          </w:hyperlink>
        </w:p>
        <w:p w:rsidR="00FA4590" w:rsidRPr="00A85BE8" w:rsidRDefault="00806C69">
          <w:pPr>
            <w:pStyle w:val="10"/>
            <w:tabs>
              <w:tab w:val="right" w:leader="dot" w:pos="8296"/>
            </w:tabs>
            <w:rPr>
              <w:noProof/>
            </w:rPr>
          </w:pPr>
          <w:hyperlink w:anchor="_Toc512010124" w:history="1">
            <w:r w:rsidR="00FA4590" w:rsidRPr="00A85BE8">
              <w:rPr>
                <w:rStyle w:val="ac"/>
                <w:noProof/>
                <w:color w:val="auto"/>
              </w:rPr>
              <w:t>6. Efficacy Assessments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_Toc512010124 \h </w:instrText>
            </w:r>
            <w:r w:rsidR="00FA4590" w:rsidRPr="00A85BE8">
              <w:rPr>
                <w:noProof/>
                <w:webHidden/>
              </w:rPr>
            </w:r>
            <w:r w:rsidR="00FA4590" w:rsidRPr="00A85BE8">
              <w:rPr>
                <w:noProof/>
                <w:webHidden/>
              </w:rPr>
              <w:fldChar w:fldCharType="separate"/>
            </w:r>
            <w:r w:rsidR="00FA4590" w:rsidRPr="00A85BE8">
              <w:rPr>
                <w:noProof/>
                <w:webHidden/>
              </w:rPr>
              <w:t>10</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25" w:history="1">
            <w:r w:rsidR="00FA4590" w:rsidRPr="00A85BE8">
              <w:rPr>
                <w:rStyle w:val="ac"/>
                <w:noProof/>
                <w:color w:val="auto"/>
              </w:rPr>
              <w:t>6.1 Definition</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_Toc512010125 \h </w:instrText>
            </w:r>
            <w:r w:rsidR="00FA4590" w:rsidRPr="00A85BE8">
              <w:rPr>
                <w:noProof/>
                <w:webHidden/>
              </w:rPr>
            </w:r>
            <w:r w:rsidR="00FA4590" w:rsidRPr="00A85BE8">
              <w:rPr>
                <w:noProof/>
                <w:webHidden/>
              </w:rPr>
              <w:fldChar w:fldCharType="separate"/>
            </w:r>
            <w:r w:rsidR="00FA4590" w:rsidRPr="00A85BE8">
              <w:rPr>
                <w:noProof/>
                <w:webHidden/>
              </w:rPr>
              <w:t>10</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26" w:history="1">
            <w:r w:rsidR="00FA4590" w:rsidRPr="00A85BE8">
              <w:rPr>
                <w:rStyle w:val="ac"/>
                <w:noProof/>
                <w:color w:val="auto"/>
              </w:rPr>
              <w:t>6.2. Primary Endpoint</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_Toc512010126 \h </w:instrText>
            </w:r>
            <w:r w:rsidR="00FA4590" w:rsidRPr="00A85BE8">
              <w:rPr>
                <w:noProof/>
                <w:webHidden/>
              </w:rPr>
            </w:r>
            <w:r w:rsidR="00FA4590" w:rsidRPr="00A85BE8">
              <w:rPr>
                <w:noProof/>
                <w:webHidden/>
              </w:rPr>
              <w:fldChar w:fldCharType="separate"/>
            </w:r>
            <w:r w:rsidR="00FA4590" w:rsidRPr="00A85BE8">
              <w:rPr>
                <w:noProof/>
                <w:webHidden/>
              </w:rPr>
              <w:t>11</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27" w:history="1">
            <w:r w:rsidR="00FA4590" w:rsidRPr="00A85BE8">
              <w:rPr>
                <w:rStyle w:val="ac"/>
                <w:noProof/>
                <w:color w:val="auto"/>
              </w:rPr>
              <w:t>6.3 Secondary Endpoints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_Toc512010127 \h </w:instrText>
            </w:r>
            <w:r w:rsidR="00FA4590" w:rsidRPr="00A85BE8">
              <w:rPr>
                <w:noProof/>
                <w:webHidden/>
              </w:rPr>
            </w:r>
            <w:r w:rsidR="00FA4590" w:rsidRPr="00A85BE8">
              <w:rPr>
                <w:noProof/>
                <w:webHidden/>
              </w:rPr>
              <w:fldChar w:fldCharType="separate"/>
            </w:r>
            <w:r w:rsidR="00FA4590" w:rsidRPr="00A85BE8">
              <w:rPr>
                <w:noProof/>
                <w:webHidden/>
              </w:rPr>
              <w:t>11</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28" w:history="1">
            <w:r w:rsidR="00FA4590" w:rsidRPr="00A85BE8">
              <w:rPr>
                <w:rStyle w:val="ac"/>
                <w:noProof/>
                <w:color w:val="auto"/>
              </w:rPr>
              <w:t>6.4 Methods and Schedule Of endpoints assessments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_Toc512010128 \h </w:instrText>
            </w:r>
            <w:r w:rsidR="00FA4590" w:rsidRPr="00A85BE8">
              <w:rPr>
                <w:noProof/>
                <w:webHidden/>
              </w:rPr>
            </w:r>
            <w:r w:rsidR="00FA4590" w:rsidRPr="00A85BE8">
              <w:rPr>
                <w:noProof/>
                <w:webHidden/>
              </w:rPr>
              <w:fldChar w:fldCharType="separate"/>
            </w:r>
            <w:r w:rsidR="00FA4590" w:rsidRPr="00A85BE8">
              <w:rPr>
                <w:noProof/>
                <w:webHidden/>
              </w:rPr>
              <w:t>12</w:t>
            </w:r>
            <w:r w:rsidR="00FA4590" w:rsidRPr="00A85BE8">
              <w:rPr>
                <w:noProof/>
                <w:webHidden/>
              </w:rPr>
              <w:fldChar w:fldCharType="end"/>
            </w:r>
          </w:hyperlink>
        </w:p>
        <w:p w:rsidR="00FA4590" w:rsidRPr="00A85BE8" w:rsidRDefault="00806C69">
          <w:pPr>
            <w:pStyle w:val="10"/>
            <w:tabs>
              <w:tab w:val="right" w:leader="dot" w:pos="8296"/>
            </w:tabs>
            <w:rPr>
              <w:noProof/>
            </w:rPr>
          </w:pPr>
          <w:hyperlink w:anchor="_Toc512010129" w:history="1">
            <w:r w:rsidR="00FA4590" w:rsidRPr="00A85BE8">
              <w:rPr>
                <w:rStyle w:val="ac"/>
                <w:noProof/>
                <w:color w:val="auto"/>
              </w:rPr>
              <w:t>7. Safety</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_Toc512010129 \h </w:instrText>
            </w:r>
            <w:r w:rsidR="00FA4590" w:rsidRPr="00A85BE8">
              <w:rPr>
                <w:noProof/>
                <w:webHidden/>
              </w:rPr>
            </w:r>
            <w:r w:rsidR="00FA4590" w:rsidRPr="00A85BE8">
              <w:rPr>
                <w:noProof/>
                <w:webHidden/>
              </w:rPr>
              <w:fldChar w:fldCharType="separate"/>
            </w:r>
            <w:r w:rsidR="00FA4590" w:rsidRPr="00A85BE8">
              <w:rPr>
                <w:noProof/>
                <w:webHidden/>
              </w:rPr>
              <w:t>12</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30" w:history="1">
            <w:r w:rsidR="00FA4590" w:rsidRPr="00A85BE8">
              <w:rPr>
                <w:rStyle w:val="ac"/>
                <w:noProof/>
                <w:color w:val="auto"/>
              </w:rPr>
              <w:t>7.1 Safety Endpoints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_Toc512010130 \h </w:instrText>
            </w:r>
            <w:r w:rsidR="00FA4590" w:rsidRPr="00A85BE8">
              <w:rPr>
                <w:noProof/>
                <w:webHidden/>
              </w:rPr>
            </w:r>
            <w:r w:rsidR="00FA4590" w:rsidRPr="00A85BE8">
              <w:rPr>
                <w:noProof/>
                <w:webHidden/>
              </w:rPr>
              <w:fldChar w:fldCharType="separate"/>
            </w:r>
            <w:r w:rsidR="00FA4590" w:rsidRPr="00A85BE8">
              <w:rPr>
                <w:noProof/>
                <w:webHidden/>
              </w:rPr>
              <w:t>12</w:t>
            </w:r>
            <w:r w:rsidR="00FA4590" w:rsidRPr="00A85BE8">
              <w:rPr>
                <w:noProof/>
                <w:webHidden/>
              </w:rPr>
              <w:fldChar w:fldCharType="end"/>
            </w:r>
          </w:hyperlink>
        </w:p>
        <w:p w:rsidR="00FA4590" w:rsidRPr="00A85BE8" w:rsidRDefault="00806C69">
          <w:pPr>
            <w:pStyle w:val="30"/>
            <w:tabs>
              <w:tab w:val="right" w:leader="dot" w:pos="8296"/>
            </w:tabs>
            <w:rPr>
              <w:noProof/>
            </w:rPr>
          </w:pPr>
          <w:hyperlink w:anchor="_Toc512010131" w:history="1">
            <w:r w:rsidR="00FA4590" w:rsidRPr="00A85BE8">
              <w:rPr>
                <w:rStyle w:val="ac"/>
                <w:noProof/>
                <w:color w:val="auto"/>
              </w:rPr>
              <w:t>7.1.1 Clinical symptoms: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_Toc512010131 \h </w:instrText>
            </w:r>
            <w:r w:rsidR="00FA4590" w:rsidRPr="00A85BE8">
              <w:rPr>
                <w:noProof/>
                <w:webHidden/>
              </w:rPr>
            </w:r>
            <w:r w:rsidR="00FA4590" w:rsidRPr="00A85BE8">
              <w:rPr>
                <w:noProof/>
                <w:webHidden/>
              </w:rPr>
              <w:fldChar w:fldCharType="separate"/>
            </w:r>
            <w:r w:rsidR="00FA4590" w:rsidRPr="00A85BE8">
              <w:rPr>
                <w:noProof/>
                <w:webHidden/>
              </w:rPr>
              <w:t>12</w:t>
            </w:r>
            <w:r w:rsidR="00FA4590" w:rsidRPr="00A85BE8">
              <w:rPr>
                <w:noProof/>
                <w:webHidden/>
              </w:rPr>
              <w:fldChar w:fldCharType="end"/>
            </w:r>
          </w:hyperlink>
        </w:p>
        <w:p w:rsidR="00FA4590" w:rsidRPr="00A85BE8" w:rsidRDefault="00806C69">
          <w:pPr>
            <w:pStyle w:val="30"/>
            <w:tabs>
              <w:tab w:val="right" w:leader="dot" w:pos="8296"/>
            </w:tabs>
            <w:rPr>
              <w:noProof/>
            </w:rPr>
          </w:pPr>
          <w:hyperlink w:anchor="_Toc512010132" w:history="1">
            <w:r w:rsidR="00FA4590" w:rsidRPr="00A85BE8">
              <w:rPr>
                <w:rStyle w:val="ac"/>
                <w:noProof/>
                <w:color w:val="auto"/>
              </w:rPr>
              <w:t>7.1.2 Laboratory abnormalities: Incidence of adverse events, grade according to the CTCAE version3.0</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_Toc512010132 \h </w:instrText>
            </w:r>
            <w:r w:rsidR="00FA4590" w:rsidRPr="00A85BE8">
              <w:rPr>
                <w:noProof/>
                <w:webHidden/>
              </w:rPr>
            </w:r>
            <w:r w:rsidR="00FA4590" w:rsidRPr="00A85BE8">
              <w:rPr>
                <w:noProof/>
                <w:webHidden/>
              </w:rPr>
              <w:fldChar w:fldCharType="separate"/>
            </w:r>
            <w:r w:rsidR="00FA4590" w:rsidRPr="00A85BE8">
              <w:rPr>
                <w:noProof/>
                <w:webHidden/>
              </w:rPr>
              <w:t>13</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33" w:history="1">
            <w:r w:rsidR="00FA4590" w:rsidRPr="00A85BE8">
              <w:rPr>
                <w:rStyle w:val="ac"/>
                <w:noProof/>
                <w:color w:val="auto"/>
              </w:rPr>
              <w:t>7.2 Adverse Events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_Toc512010133 \h </w:instrText>
            </w:r>
            <w:r w:rsidR="00FA4590" w:rsidRPr="00A85BE8">
              <w:rPr>
                <w:noProof/>
                <w:webHidden/>
              </w:rPr>
            </w:r>
            <w:r w:rsidR="00FA4590" w:rsidRPr="00A85BE8">
              <w:rPr>
                <w:noProof/>
                <w:webHidden/>
              </w:rPr>
              <w:fldChar w:fldCharType="separate"/>
            </w:r>
            <w:r w:rsidR="00FA4590" w:rsidRPr="00A85BE8">
              <w:rPr>
                <w:noProof/>
                <w:webHidden/>
              </w:rPr>
              <w:t>13</w:t>
            </w:r>
            <w:r w:rsidR="00FA4590" w:rsidRPr="00A85BE8">
              <w:rPr>
                <w:noProof/>
                <w:webHidden/>
              </w:rPr>
              <w:fldChar w:fldCharType="end"/>
            </w:r>
          </w:hyperlink>
        </w:p>
        <w:p w:rsidR="00FA4590" w:rsidRPr="00A85BE8" w:rsidRDefault="00806C69">
          <w:pPr>
            <w:pStyle w:val="10"/>
            <w:tabs>
              <w:tab w:val="right" w:leader="dot" w:pos="8296"/>
            </w:tabs>
            <w:rPr>
              <w:noProof/>
            </w:rPr>
          </w:pPr>
          <w:hyperlink w:anchor="_Toc512010134" w:history="1">
            <w:r w:rsidR="00FA4590" w:rsidRPr="00A85BE8">
              <w:rPr>
                <w:rStyle w:val="ac"/>
                <w:noProof/>
                <w:color w:val="auto"/>
              </w:rPr>
              <w:t>8. Rules of Follow-Up</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_Toc512010134 \h </w:instrText>
            </w:r>
            <w:r w:rsidR="00FA4590" w:rsidRPr="00A85BE8">
              <w:rPr>
                <w:noProof/>
                <w:webHidden/>
              </w:rPr>
            </w:r>
            <w:r w:rsidR="00FA4590" w:rsidRPr="00A85BE8">
              <w:rPr>
                <w:noProof/>
                <w:webHidden/>
              </w:rPr>
              <w:fldChar w:fldCharType="separate"/>
            </w:r>
            <w:r w:rsidR="00FA4590" w:rsidRPr="00A85BE8">
              <w:rPr>
                <w:noProof/>
                <w:webHidden/>
              </w:rPr>
              <w:t>13</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35" w:history="1">
            <w:r w:rsidR="00FA4590" w:rsidRPr="00A85BE8">
              <w:rPr>
                <w:rStyle w:val="ac"/>
                <w:noProof/>
                <w:color w:val="auto"/>
              </w:rPr>
              <w:t>8.1 Follow-up Period</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_Toc512010135 \h </w:instrText>
            </w:r>
            <w:r w:rsidR="00FA4590" w:rsidRPr="00A85BE8">
              <w:rPr>
                <w:noProof/>
                <w:webHidden/>
              </w:rPr>
            </w:r>
            <w:r w:rsidR="00FA4590" w:rsidRPr="00A85BE8">
              <w:rPr>
                <w:noProof/>
                <w:webHidden/>
              </w:rPr>
              <w:fldChar w:fldCharType="separate"/>
            </w:r>
            <w:r w:rsidR="00FA4590" w:rsidRPr="00A85BE8">
              <w:rPr>
                <w:noProof/>
                <w:webHidden/>
              </w:rPr>
              <w:t>13</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36" w:history="1">
            <w:r w:rsidR="00FA4590" w:rsidRPr="00A85BE8">
              <w:rPr>
                <w:rStyle w:val="ac"/>
                <w:noProof/>
                <w:color w:val="auto"/>
              </w:rPr>
              <w:t>8.2 Visit Scheduling</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_Toc512010136 \h </w:instrText>
            </w:r>
            <w:r w:rsidR="00FA4590" w:rsidRPr="00A85BE8">
              <w:rPr>
                <w:noProof/>
                <w:webHidden/>
              </w:rPr>
            </w:r>
            <w:r w:rsidR="00FA4590" w:rsidRPr="00A85BE8">
              <w:rPr>
                <w:noProof/>
                <w:webHidden/>
              </w:rPr>
              <w:fldChar w:fldCharType="separate"/>
            </w:r>
            <w:r w:rsidR="00FA4590" w:rsidRPr="00A85BE8">
              <w:rPr>
                <w:noProof/>
                <w:webHidden/>
              </w:rPr>
              <w:t>14</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37" w:history="1">
            <w:r w:rsidR="00FA4590" w:rsidRPr="00A85BE8">
              <w:rPr>
                <w:rStyle w:val="ac"/>
                <w:noProof/>
                <w:color w:val="auto"/>
              </w:rPr>
              <w:t>8.3 Contents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_Toc512010137 \h </w:instrText>
            </w:r>
            <w:r w:rsidR="00FA4590" w:rsidRPr="00A85BE8">
              <w:rPr>
                <w:noProof/>
                <w:webHidden/>
              </w:rPr>
            </w:r>
            <w:r w:rsidR="00FA4590" w:rsidRPr="00A85BE8">
              <w:rPr>
                <w:noProof/>
                <w:webHidden/>
              </w:rPr>
              <w:fldChar w:fldCharType="separate"/>
            </w:r>
            <w:r w:rsidR="00FA4590" w:rsidRPr="00A85BE8">
              <w:rPr>
                <w:noProof/>
                <w:webHidden/>
              </w:rPr>
              <w:t>14</w:t>
            </w:r>
            <w:r w:rsidR="00FA4590" w:rsidRPr="00A85BE8">
              <w:rPr>
                <w:noProof/>
                <w:webHidden/>
              </w:rPr>
              <w:fldChar w:fldCharType="end"/>
            </w:r>
          </w:hyperlink>
        </w:p>
        <w:p w:rsidR="00FA4590" w:rsidRPr="00A85BE8" w:rsidRDefault="00806C69">
          <w:pPr>
            <w:pStyle w:val="10"/>
            <w:tabs>
              <w:tab w:val="right" w:leader="dot" w:pos="8296"/>
            </w:tabs>
            <w:rPr>
              <w:noProof/>
            </w:rPr>
          </w:pPr>
          <w:hyperlink w:anchor="_Toc512010138" w:history="1">
            <w:r w:rsidR="00FA4590" w:rsidRPr="00A85BE8">
              <w:rPr>
                <w:rStyle w:val="ac"/>
                <w:noProof/>
                <w:color w:val="auto"/>
              </w:rPr>
              <w:t>9. Data Analysis and Statistical Considerations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_Toc512010138 \h </w:instrText>
            </w:r>
            <w:r w:rsidR="00FA4590" w:rsidRPr="00A85BE8">
              <w:rPr>
                <w:noProof/>
                <w:webHidden/>
              </w:rPr>
            </w:r>
            <w:r w:rsidR="00FA4590" w:rsidRPr="00A85BE8">
              <w:rPr>
                <w:noProof/>
                <w:webHidden/>
              </w:rPr>
              <w:fldChar w:fldCharType="separate"/>
            </w:r>
            <w:r w:rsidR="00FA4590" w:rsidRPr="00A85BE8">
              <w:rPr>
                <w:noProof/>
                <w:webHidden/>
              </w:rPr>
              <w:t>14</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39" w:history="1">
            <w:r w:rsidR="00FA4590" w:rsidRPr="00A85BE8">
              <w:rPr>
                <w:rStyle w:val="ac"/>
                <w:noProof/>
                <w:color w:val="auto"/>
              </w:rPr>
              <w:t>9.1 Study Design Considerations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_Toc512010139 \h </w:instrText>
            </w:r>
            <w:r w:rsidR="00FA4590" w:rsidRPr="00A85BE8">
              <w:rPr>
                <w:noProof/>
                <w:webHidden/>
              </w:rPr>
            </w:r>
            <w:r w:rsidR="00FA4590" w:rsidRPr="00A85BE8">
              <w:rPr>
                <w:noProof/>
                <w:webHidden/>
              </w:rPr>
              <w:fldChar w:fldCharType="separate"/>
            </w:r>
            <w:r w:rsidR="00FA4590" w:rsidRPr="00A85BE8">
              <w:rPr>
                <w:noProof/>
                <w:webHidden/>
              </w:rPr>
              <w:t>14</w:t>
            </w:r>
            <w:r w:rsidR="00FA4590" w:rsidRPr="00A85BE8">
              <w:rPr>
                <w:noProof/>
                <w:webHidden/>
              </w:rPr>
              <w:fldChar w:fldCharType="end"/>
            </w:r>
          </w:hyperlink>
        </w:p>
        <w:p w:rsidR="00FA4590" w:rsidRPr="00A85BE8" w:rsidRDefault="00806C69">
          <w:pPr>
            <w:pStyle w:val="30"/>
            <w:tabs>
              <w:tab w:val="right" w:leader="dot" w:pos="8296"/>
            </w:tabs>
            <w:rPr>
              <w:noProof/>
            </w:rPr>
          </w:pPr>
          <w:hyperlink w:anchor="_Toc512010140" w:history="1">
            <w:r w:rsidR="00FA4590" w:rsidRPr="00A85BE8">
              <w:rPr>
                <w:rStyle w:val="ac"/>
                <w:noProof/>
                <w:color w:val="auto"/>
              </w:rPr>
              <w:t>9.1.1 Sample Size Assumptions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_Toc512010140 \h </w:instrText>
            </w:r>
            <w:r w:rsidR="00FA4590" w:rsidRPr="00A85BE8">
              <w:rPr>
                <w:noProof/>
                <w:webHidden/>
              </w:rPr>
            </w:r>
            <w:r w:rsidR="00FA4590" w:rsidRPr="00A85BE8">
              <w:rPr>
                <w:noProof/>
                <w:webHidden/>
              </w:rPr>
              <w:fldChar w:fldCharType="separate"/>
            </w:r>
            <w:r w:rsidR="00FA4590" w:rsidRPr="00A85BE8">
              <w:rPr>
                <w:noProof/>
                <w:webHidden/>
              </w:rPr>
              <w:t>14</w:t>
            </w:r>
            <w:r w:rsidR="00FA4590" w:rsidRPr="00A85BE8">
              <w:rPr>
                <w:noProof/>
                <w:webHidden/>
              </w:rPr>
              <w:fldChar w:fldCharType="end"/>
            </w:r>
          </w:hyperlink>
        </w:p>
        <w:p w:rsidR="00FA4590" w:rsidRPr="00A85BE8" w:rsidRDefault="00806C69">
          <w:pPr>
            <w:pStyle w:val="30"/>
            <w:tabs>
              <w:tab w:val="right" w:leader="dot" w:pos="8296"/>
            </w:tabs>
            <w:rPr>
              <w:noProof/>
            </w:rPr>
          </w:pPr>
          <w:hyperlink w:anchor="_Toc512010141" w:history="1">
            <w:r w:rsidR="00FA4590" w:rsidRPr="00A85BE8">
              <w:rPr>
                <w:rStyle w:val="ac"/>
                <w:noProof/>
                <w:color w:val="auto"/>
              </w:rPr>
              <w:t>9.1.2 Primary Efficacy Endpoint</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_Toc512010141 \h </w:instrText>
            </w:r>
            <w:r w:rsidR="00FA4590" w:rsidRPr="00A85BE8">
              <w:rPr>
                <w:noProof/>
                <w:webHidden/>
              </w:rPr>
            </w:r>
            <w:r w:rsidR="00FA4590" w:rsidRPr="00A85BE8">
              <w:rPr>
                <w:noProof/>
                <w:webHidden/>
              </w:rPr>
              <w:fldChar w:fldCharType="separate"/>
            </w:r>
            <w:r w:rsidR="00FA4590" w:rsidRPr="00A85BE8">
              <w:rPr>
                <w:noProof/>
                <w:webHidden/>
              </w:rPr>
              <w:t>15</w:t>
            </w:r>
            <w:r w:rsidR="00FA4590" w:rsidRPr="00A85BE8">
              <w:rPr>
                <w:noProof/>
                <w:webHidden/>
              </w:rPr>
              <w:fldChar w:fldCharType="end"/>
            </w:r>
          </w:hyperlink>
        </w:p>
        <w:p w:rsidR="00FA4590" w:rsidRPr="00A85BE8" w:rsidRDefault="00806C69">
          <w:pPr>
            <w:pStyle w:val="30"/>
            <w:tabs>
              <w:tab w:val="right" w:leader="dot" w:pos="8296"/>
            </w:tabs>
            <w:rPr>
              <w:noProof/>
            </w:rPr>
          </w:pPr>
          <w:hyperlink w:anchor="_Toc512010142" w:history="1">
            <w:r w:rsidR="00FA4590" w:rsidRPr="00A85BE8">
              <w:rPr>
                <w:rStyle w:val="ac"/>
                <w:noProof/>
                <w:color w:val="auto"/>
              </w:rPr>
              <w:t>9.1.3 Secondary Efficacy Endpoints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_Toc512010142 \h </w:instrText>
            </w:r>
            <w:r w:rsidR="00FA4590" w:rsidRPr="00A85BE8">
              <w:rPr>
                <w:noProof/>
                <w:webHidden/>
              </w:rPr>
            </w:r>
            <w:r w:rsidR="00FA4590" w:rsidRPr="00A85BE8">
              <w:rPr>
                <w:noProof/>
                <w:webHidden/>
              </w:rPr>
              <w:fldChar w:fldCharType="separate"/>
            </w:r>
            <w:r w:rsidR="00FA4590" w:rsidRPr="00A85BE8">
              <w:rPr>
                <w:noProof/>
                <w:webHidden/>
              </w:rPr>
              <w:t>15</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43" w:history="1">
            <w:r w:rsidR="00FA4590" w:rsidRPr="00A85BE8">
              <w:rPr>
                <w:rStyle w:val="ac"/>
                <w:noProof/>
                <w:color w:val="auto"/>
              </w:rPr>
              <w:t>9.2 Data Analysis Considerations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_Toc512010143 \h </w:instrText>
            </w:r>
            <w:r w:rsidR="00FA4590" w:rsidRPr="00A85BE8">
              <w:rPr>
                <w:noProof/>
                <w:webHidden/>
              </w:rPr>
            </w:r>
            <w:r w:rsidR="00FA4590" w:rsidRPr="00A85BE8">
              <w:rPr>
                <w:noProof/>
                <w:webHidden/>
              </w:rPr>
              <w:fldChar w:fldCharType="separate"/>
            </w:r>
            <w:r w:rsidR="00FA4590" w:rsidRPr="00A85BE8">
              <w:rPr>
                <w:noProof/>
                <w:webHidden/>
              </w:rPr>
              <w:t>15</w:t>
            </w:r>
            <w:r w:rsidR="00FA4590" w:rsidRPr="00A85BE8">
              <w:rPr>
                <w:noProof/>
                <w:webHidden/>
              </w:rPr>
              <w:fldChar w:fldCharType="end"/>
            </w:r>
          </w:hyperlink>
        </w:p>
        <w:p w:rsidR="00FA4590" w:rsidRPr="00A85BE8" w:rsidRDefault="00806C69">
          <w:pPr>
            <w:pStyle w:val="30"/>
            <w:tabs>
              <w:tab w:val="right" w:leader="dot" w:pos="8296"/>
            </w:tabs>
            <w:rPr>
              <w:noProof/>
            </w:rPr>
          </w:pPr>
          <w:hyperlink w:anchor="_Toc512010144" w:history="1">
            <w:r w:rsidR="00FA4590" w:rsidRPr="00A85BE8">
              <w:rPr>
                <w:rStyle w:val="ac"/>
                <w:noProof/>
                <w:color w:val="auto"/>
              </w:rPr>
              <w:t>9.2.1 Analysis of efficacy</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_Toc512010144 \h </w:instrText>
            </w:r>
            <w:r w:rsidR="00FA4590" w:rsidRPr="00A85BE8">
              <w:rPr>
                <w:noProof/>
                <w:webHidden/>
              </w:rPr>
            </w:r>
            <w:r w:rsidR="00FA4590" w:rsidRPr="00A85BE8">
              <w:rPr>
                <w:noProof/>
                <w:webHidden/>
              </w:rPr>
              <w:fldChar w:fldCharType="separate"/>
            </w:r>
            <w:r w:rsidR="00FA4590" w:rsidRPr="00A85BE8">
              <w:rPr>
                <w:noProof/>
                <w:webHidden/>
              </w:rPr>
              <w:t>16</w:t>
            </w:r>
            <w:r w:rsidR="00FA4590" w:rsidRPr="00A85BE8">
              <w:rPr>
                <w:noProof/>
                <w:webHidden/>
              </w:rPr>
              <w:fldChar w:fldCharType="end"/>
            </w:r>
          </w:hyperlink>
        </w:p>
        <w:p w:rsidR="00FA4590" w:rsidRPr="00A85BE8" w:rsidRDefault="00806C69">
          <w:pPr>
            <w:pStyle w:val="30"/>
            <w:tabs>
              <w:tab w:val="right" w:leader="dot" w:pos="8296"/>
            </w:tabs>
            <w:rPr>
              <w:noProof/>
            </w:rPr>
          </w:pPr>
          <w:hyperlink w:anchor="_Toc512010145" w:history="1">
            <w:r w:rsidR="00FA4590" w:rsidRPr="00A85BE8">
              <w:rPr>
                <w:rStyle w:val="ac"/>
                <w:noProof/>
                <w:color w:val="auto"/>
              </w:rPr>
              <w:t>9.2.2 Analysis of safety</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_Toc512010145 \h </w:instrText>
            </w:r>
            <w:r w:rsidR="00FA4590" w:rsidRPr="00A85BE8">
              <w:rPr>
                <w:noProof/>
                <w:webHidden/>
              </w:rPr>
            </w:r>
            <w:r w:rsidR="00FA4590" w:rsidRPr="00A85BE8">
              <w:rPr>
                <w:noProof/>
                <w:webHidden/>
              </w:rPr>
              <w:fldChar w:fldCharType="separate"/>
            </w:r>
            <w:r w:rsidR="00FA4590" w:rsidRPr="00A85BE8">
              <w:rPr>
                <w:noProof/>
                <w:webHidden/>
              </w:rPr>
              <w:t>16</w:t>
            </w:r>
            <w:r w:rsidR="00FA4590" w:rsidRPr="00A85BE8">
              <w:rPr>
                <w:noProof/>
                <w:webHidden/>
              </w:rPr>
              <w:fldChar w:fldCharType="end"/>
            </w:r>
          </w:hyperlink>
        </w:p>
        <w:p w:rsidR="00FA4590" w:rsidRPr="00A85BE8" w:rsidRDefault="00806C69">
          <w:pPr>
            <w:pStyle w:val="10"/>
            <w:tabs>
              <w:tab w:val="right" w:leader="dot" w:pos="8296"/>
            </w:tabs>
            <w:rPr>
              <w:noProof/>
            </w:rPr>
          </w:pPr>
          <w:hyperlink w:anchor="_Toc512010146" w:history="1">
            <w:r w:rsidR="00FA4590" w:rsidRPr="00A85BE8">
              <w:rPr>
                <w:rStyle w:val="ac"/>
                <w:noProof/>
                <w:color w:val="auto"/>
              </w:rPr>
              <w:t>10. Materials For the Study</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_Toc512010146 \h </w:instrText>
            </w:r>
            <w:r w:rsidR="00FA4590" w:rsidRPr="00A85BE8">
              <w:rPr>
                <w:noProof/>
                <w:webHidden/>
              </w:rPr>
            </w:r>
            <w:r w:rsidR="00FA4590" w:rsidRPr="00A85BE8">
              <w:rPr>
                <w:noProof/>
                <w:webHidden/>
              </w:rPr>
              <w:fldChar w:fldCharType="separate"/>
            </w:r>
            <w:r w:rsidR="00FA4590" w:rsidRPr="00A85BE8">
              <w:rPr>
                <w:noProof/>
                <w:webHidden/>
              </w:rPr>
              <w:t>17</w:t>
            </w:r>
            <w:r w:rsidR="00FA4590" w:rsidRPr="00A85BE8">
              <w:rPr>
                <w:noProof/>
                <w:webHidden/>
              </w:rPr>
              <w:fldChar w:fldCharType="end"/>
            </w:r>
          </w:hyperlink>
        </w:p>
        <w:p w:rsidR="00FA4590" w:rsidRPr="00A85BE8" w:rsidRDefault="00806C69">
          <w:pPr>
            <w:pStyle w:val="10"/>
            <w:tabs>
              <w:tab w:val="right" w:leader="dot" w:pos="8296"/>
            </w:tabs>
            <w:rPr>
              <w:noProof/>
            </w:rPr>
          </w:pPr>
          <w:hyperlink w:anchor="_Toc512010147" w:history="1">
            <w:r w:rsidR="00FA4590" w:rsidRPr="00A85BE8">
              <w:rPr>
                <w:rStyle w:val="ac"/>
                <w:noProof/>
                <w:color w:val="auto"/>
              </w:rPr>
              <w:t>11. Ethical Considerations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_Toc512010147 \h </w:instrText>
            </w:r>
            <w:r w:rsidR="00FA4590" w:rsidRPr="00A85BE8">
              <w:rPr>
                <w:noProof/>
                <w:webHidden/>
              </w:rPr>
            </w:r>
            <w:r w:rsidR="00FA4590" w:rsidRPr="00A85BE8">
              <w:rPr>
                <w:noProof/>
                <w:webHidden/>
              </w:rPr>
              <w:fldChar w:fldCharType="separate"/>
            </w:r>
            <w:r w:rsidR="00FA4590" w:rsidRPr="00A85BE8">
              <w:rPr>
                <w:noProof/>
                <w:webHidden/>
              </w:rPr>
              <w:t>17</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48" w:history="1">
            <w:r w:rsidR="00FA4590" w:rsidRPr="00A85BE8">
              <w:rPr>
                <w:rStyle w:val="ac"/>
                <w:noProof/>
                <w:color w:val="auto"/>
              </w:rPr>
              <w:t>11.1 Responsibility Of Investigators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_Toc512010148 \h </w:instrText>
            </w:r>
            <w:r w:rsidR="00FA4590" w:rsidRPr="00A85BE8">
              <w:rPr>
                <w:noProof/>
                <w:webHidden/>
              </w:rPr>
            </w:r>
            <w:r w:rsidR="00FA4590" w:rsidRPr="00A85BE8">
              <w:rPr>
                <w:noProof/>
                <w:webHidden/>
              </w:rPr>
              <w:fldChar w:fldCharType="separate"/>
            </w:r>
            <w:r w:rsidR="00FA4590" w:rsidRPr="00A85BE8">
              <w:rPr>
                <w:noProof/>
                <w:webHidden/>
              </w:rPr>
              <w:t>17</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49" w:history="1">
            <w:r w:rsidR="00FA4590" w:rsidRPr="00A85BE8">
              <w:rPr>
                <w:rStyle w:val="ac"/>
                <w:noProof/>
                <w:color w:val="auto"/>
              </w:rPr>
              <w:t>11.2 Informed Consent Process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_Toc512010149 \h </w:instrText>
            </w:r>
            <w:r w:rsidR="00FA4590" w:rsidRPr="00A85BE8">
              <w:rPr>
                <w:noProof/>
                <w:webHidden/>
              </w:rPr>
            </w:r>
            <w:r w:rsidR="00FA4590" w:rsidRPr="00A85BE8">
              <w:rPr>
                <w:noProof/>
                <w:webHidden/>
              </w:rPr>
              <w:fldChar w:fldCharType="separate"/>
            </w:r>
            <w:r w:rsidR="00FA4590" w:rsidRPr="00A85BE8">
              <w:rPr>
                <w:noProof/>
                <w:webHidden/>
              </w:rPr>
              <w:t>17</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50" w:history="1">
            <w:r w:rsidR="00FA4590" w:rsidRPr="00A85BE8">
              <w:rPr>
                <w:rStyle w:val="ac"/>
                <w:noProof/>
                <w:color w:val="auto"/>
              </w:rPr>
              <w:t>11.3 Protection of Subjects’ Personal Data</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_Toc512010150 \h </w:instrText>
            </w:r>
            <w:r w:rsidR="00FA4590" w:rsidRPr="00A85BE8">
              <w:rPr>
                <w:noProof/>
                <w:webHidden/>
              </w:rPr>
            </w:r>
            <w:r w:rsidR="00FA4590" w:rsidRPr="00A85BE8">
              <w:rPr>
                <w:noProof/>
                <w:webHidden/>
              </w:rPr>
              <w:fldChar w:fldCharType="separate"/>
            </w:r>
            <w:r w:rsidR="00FA4590" w:rsidRPr="00A85BE8">
              <w:rPr>
                <w:noProof/>
                <w:webHidden/>
              </w:rPr>
              <w:t>17</w:t>
            </w:r>
            <w:r w:rsidR="00FA4590" w:rsidRPr="00A85BE8">
              <w:rPr>
                <w:noProof/>
                <w:webHidden/>
              </w:rPr>
              <w:fldChar w:fldCharType="end"/>
            </w:r>
          </w:hyperlink>
        </w:p>
        <w:p w:rsidR="00FA4590" w:rsidRPr="00A85BE8" w:rsidRDefault="00806C69">
          <w:pPr>
            <w:pStyle w:val="10"/>
            <w:tabs>
              <w:tab w:val="right" w:leader="dot" w:pos="8296"/>
            </w:tabs>
            <w:rPr>
              <w:noProof/>
            </w:rPr>
          </w:pPr>
          <w:hyperlink w:anchor="_Toc512010151" w:history="1">
            <w:r w:rsidR="00FA4590" w:rsidRPr="00A85BE8">
              <w:rPr>
                <w:rStyle w:val="ac"/>
                <w:noProof/>
                <w:color w:val="auto"/>
              </w:rPr>
              <w:t>12. Administrative Requirements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_Toc512010151 \h </w:instrText>
            </w:r>
            <w:r w:rsidR="00FA4590" w:rsidRPr="00A85BE8">
              <w:rPr>
                <w:noProof/>
                <w:webHidden/>
              </w:rPr>
            </w:r>
            <w:r w:rsidR="00FA4590" w:rsidRPr="00A85BE8">
              <w:rPr>
                <w:noProof/>
                <w:webHidden/>
              </w:rPr>
              <w:fldChar w:fldCharType="separate"/>
            </w:r>
            <w:r w:rsidR="00FA4590" w:rsidRPr="00A85BE8">
              <w:rPr>
                <w:noProof/>
                <w:webHidden/>
              </w:rPr>
              <w:t>18</w:t>
            </w:r>
            <w:r w:rsidR="00FA4590" w:rsidRPr="00A85BE8">
              <w:rPr>
                <w:noProof/>
                <w:webHidden/>
              </w:rPr>
              <w:fldChar w:fldCharType="end"/>
            </w:r>
          </w:hyperlink>
        </w:p>
        <w:p w:rsidR="00FA4590" w:rsidRPr="00A85BE8" w:rsidRDefault="00806C69">
          <w:pPr>
            <w:pStyle w:val="10"/>
            <w:tabs>
              <w:tab w:val="right" w:leader="dot" w:pos="8296"/>
            </w:tabs>
            <w:rPr>
              <w:noProof/>
            </w:rPr>
          </w:pPr>
          <w:hyperlink w:anchor="_Toc512010152" w:history="1">
            <w:r w:rsidR="00FA4590" w:rsidRPr="00A85BE8">
              <w:rPr>
                <w:rStyle w:val="ac"/>
                <w:noProof/>
                <w:color w:val="auto"/>
              </w:rPr>
              <w:t>13 Appendices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_Toc512010152 \h </w:instrText>
            </w:r>
            <w:r w:rsidR="00FA4590" w:rsidRPr="00A85BE8">
              <w:rPr>
                <w:noProof/>
                <w:webHidden/>
              </w:rPr>
            </w:r>
            <w:r w:rsidR="00FA4590" w:rsidRPr="00A85BE8">
              <w:rPr>
                <w:noProof/>
                <w:webHidden/>
              </w:rPr>
              <w:fldChar w:fldCharType="separate"/>
            </w:r>
            <w:r w:rsidR="00FA4590" w:rsidRPr="00A85BE8">
              <w:rPr>
                <w:noProof/>
                <w:webHidden/>
              </w:rPr>
              <w:t>18</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53" w:history="1">
            <w:r w:rsidR="00FA4590" w:rsidRPr="00A85BE8">
              <w:rPr>
                <w:rStyle w:val="ac"/>
                <w:noProof/>
                <w:color w:val="auto"/>
              </w:rPr>
              <w:t>13.1 Appendix 1 Definition and diagnosis of EBV-associated diseases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_Toc512010153 \h </w:instrText>
            </w:r>
            <w:r w:rsidR="00FA4590" w:rsidRPr="00A85BE8">
              <w:rPr>
                <w:noProof/>
                <w:webHidden/>
              </w:rPr>
            </w:r>
            <w:r w:rsidR="00FA4590" w:rsidRPr="00A85BE8">
              <w:rPr>
                <w:noProof/>
                <w:webHidden/>
              </w:rPr>
              <w:fldChar w:fldCharType="separate"/>
            </w:r>
            <w:r w:rsidR="00FA4590" w:rsidRPr="00A85BE8">
              <w:rPr>
                <w:noProof/>
                <w:webHidden/>
              </w:rPr>
              <w:t>18</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54" w:history="1">
            <w:r w:rsidR="00FA4590" w:rsidRPr="00A85BE8">
              <w:rPr>
                <w:rStyle w:val="ac"/>
                <w:noProof/>
                <w:color w:val="auto"/>
              </w:rPr>
              <w:t>13.2 Appendix 2 Definition and diagnosis of CMV-associated diseases</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_Toc512010154 \h </w:instrText>
            </w:r>
            <w:r w:rsidR="00FA4590" w:rsidRPr="00A85BE8">
              <w:rPr>
                <w:noProof/>
                <w:webHidden/>
              </w:rPr>
            </w:r>
            <w:r w:rsidR="00FA4590" w:rsidRPr="00A85BE8">
              <w:rPr>
                <w:noProof/>
                <w:webHidden/>
              </w:rPr>
              <w:fldChar w:fldCharType="separate"/>
            </w:r>
            <w:r w:rsidR="00FA4590" w:rsidRPr="00A85BE8">
              <w:rPr>
                <w:noProof/>
                <w:webHidden/>
              </w:rPr>
              <w:t>19</w:t>
            </w:r>
            <w:r w:rsidR="00FA4590" w:rsidRPr="00A85BE8">
              <w:rPr>
                <w:noProof/>
                <w:webHidden/>
              </w:rPr>
              <w:fldChar w:fldCharType="end"/>
            </w:r>
          </w:hyperlink>
        </w:p>
        <w:p w:rsidR="00FA4590" w:rsidRPr="00A85BE8" w:rsidRDefault="00806C69">
          <w:pPr>
            <w:pStyle w:val="20"/>
            <w:tabs>
              <w:tab w:val="right" w:leader="dot" w:pos="8296"/>
            </w:tabs>
            <w:rPr>
              <w:noProof/>
            </w:rPr>
          </w:pPr>
          <w:hyperlink w:anchor="_Toc512010155" w:history="1">
            <w:r w:rsidR="00FA4590" w:rsidRPr="00A85BE8">
              <w:rPr>
                <w:rStyle w:val="ac"/>
                <w:noProof/>
                <w:color w:val="auto"/>
              </w:rPr>
              <w:t>13.3 Appendix 3 Diagnosis and Classification of aGVHD and cGVHD</w:t>
            </w:r>
            <w:r w:rsidR="00FA4590" w:rsidRPr="00A85BE8">
              <w:rPr>
                <w:noProof/>
                <w:webHidden/>
              </w:rPr>
              <w:tab/>
            </w:r>
            <w:r w:rsidR="00FA4590" w:rsidRPr="00A85BE8">
              <w:rPr>
                <w:noProof/>
                <w:webHidden/>
              </w:rPr>
              <w:fldChar w:fldCharType="begin"/>
            </w:r>
            <w:r w:rsidR="00FA4590" w:rsidRPr="00A85BE8">
              <w:rPr>
                <w:noProof/>
                <w:webHidden/>
              </w:rPr>
              <w:instrText xml:space="preserve"> PAGEREF _Toc512010155 \h </w:instrText>
            </w:r>
            <w:r w:rsidR="00FA4590" w:rsidRPr="00A85BE8">
              <w:rPr>
                <w:noProof/>
                <w:webHidden/>
              </w:rPr>
            </w:r>
            <w:r w:rsidR="00FA4590" w:rsidRPr="00A85BE8">
              <w:rPr>
                <w:noProof/>
                <w:webHidden/>
              </w:rPr>
              <w:fldChar w:fldCharType="separate"/>
            </w:r>
            <w:r w:rsidR="00FA4590" w:rsidRPr="00A85BE8">
              <w:rPr>
                <w:noProof/>
                <w:webHidden/>
              </w:rPr>
              <w:t>19</w:t>
            </w:r>
            <w:r w:rsidR="00FA4590" w:rsidRPr="00A85BE8">
              <w:rPr>
                <w:noProof/>
                <w:webHidden/>
              </w:rPr>
              <w:fldChar w:fldCharType="end"/>
            </w:r>
          </w:hyperlink>
        </w:p>
        <w:p w:rsidR="00FA4590" w:rsidRPr="00A85BE8" w:rsidRDefault="00FA4590">
          <w:r w:rsidRPr="00A85BE8">
            <w:rPr>
              <w:b/>
              <w:bCs/>
              <w:lang w:val="zh-CN"/>
            </w:rPr>
            <w:fldChar w:fldCharType="end"/>
          </w:r>
        </w:p>
      </w:sdtContent>
    </w:sdt>
    <w:p w:rsidR="00677132" w:rsidRPr="00A85BE8" w:rsidRDefault="006F28EE" w:rsidP="0057002E">
      <w:pPr>
        <w:widowControl/>
        <w:spacing w:line="360" w:lineRule="auto"/>
        <w:rPr>
          <w:sz w:val="24"/>
        </w:rPr>
      </w:pPr>
      <w:r w:rsidRPr="00A85BE8">
        <w:rPr>
          <w:sz w:val="24"/>
        </w:rPr>
        <w:br w:type="page"/>
      </w:r>
    </w:p>
    <w:p w:rsidR="00EB5A38" w:rsidRPr="00A85BE8" w:rsidRDefault="00EB5A38" w:rsidP="0090789B">
      <w:pPr>
        <w:pStyle w:val="1"/>
        <w:jc w:val="center"/>
        <w:rPr>
          <w:sz w:val="32"/>
          <w:szCs w:val="32"/>
        </w:rPr>
      </w:pPr>
      <w:bookmarkStart w:id="3" w:name="_Toc512010108"/>
      <w:r w:rsidRPr="00A85BE8">
        <w:rPr>
          <w:sz w:val="32"/>
          <w:szCs w:val="32"/>
        </w:rPr>
        <w:t>Protocol Summary</w:t>
      </w:r>
      <w:bookmarkEnd w:id="3"/>
    </w:p>
    <w:tbl>
      <w:tblPr>
        <w:tblStyle w:val="a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26"/>
        <w:gridCol w:w="6996"/>
      </w:tblGrid>
      <w:tr w:rsidR="00A85BE8" w:rsidRPr="00A85BE8" w:rsidTr="00FC7DA6">
        <w:tc>
          <w:tcPr>
            <w:tcW w:w="1526" w:type="dxa"/>
            <w:tcBorders>
              <w:right w:val="nil"/>
            </w:tcBorders>
          </w:tcPr>
          <w:p w:rsidR="00196AB3" w:rsidRPr="00A85BE8" w:rsidRDefault="00B77F03" w:rsidP="0057002E">
            <w:pPr>
              <w:adjustRightInd w:val="0"/>
              <w:snapToGrid w:val="0"/>
              <w:spacing w:afterLines="50" w:after="156" w:line="360" w:lineRule="auto"/>
              <w:rPr>
                <w:sz w:val="24"/>
              </w:rPr>
            </w:pPr>
            <w:r w:rsidRPr="00A85BE8">
              <w:rPr>
                <w:sz w:val="24"/>
              </w:rPr>
              <w:t>applicant</w:t>
            </w:r>
          </w:p>
        </w:tc>
        <w:tc>
          <w:tcPr>
            <w:tcW w:w="6996" w:type="dxa"/>
            <w:tcBorders>
              <w:top w:val="nil"/>
              <w:left w:val="nil"/>
              <w:bottom w:val="single" w:sz="4" w:space="0" w:color="auto"/>
            </w:tcBorders>
          </w:tcPr>
          <w:p w:rsidR="00196AB3" w:rsidRPr="00A85BE8" w:rsidRDefault="00B77F03" w:rsidP="0057002E">
            <w:pPr>
              <w:adjustRightInd w:val="0"/>
              <w:snapToGrid w:val="0"/>
              <w:spacing w:afterLines="50" w:after="156" w:line="360" w:lineRule="auto"/>
              <w:rPr>
                <w:sz w:val="24"/>
              </w:rPr>
            </w:pPr>
            <w:r w:rsidRPr="00A85BE8">
              <w:rPr>
                <w:sz w:val="24"/>
              </w:rPr>
              <w:t>Nanfang Hospital, Southern Medical University</w:t>
            </w:r>
          </w:p>
        </w:tc>
      </w:tr>
      <w:tr w:rsidR="00A85BE8" w:rsidRPr="00A85BE8" w:rsidTr="00FC7DA6">
        <w:tc>
          <w:tcPr>
            <w:tcW w:w="1526" w:type="dxa"/>
            <w:tcBorders>
              <w:right w:val="nil"/>
            </w:tcBorders>
          </w:tcPr>
          <w:p w:rsidR="00196AB3" w:rsidRPr="00A85BE8" w:rsidRDefault="00B77F03" w:rsidP="0057002E">
            <w:pPr>
              <w:adjustRightInd w:val="0"/>
              <w:snapToGrid w:val="0"/>
              <w:spacing w:afterLines="50" w:after="156" w:line="360" w:lineRule="auto"/>
              <w:rPr>
                <w:sz w:val="24"/>
              </w:rPr>
            </w:pPr>
            <w:r w:rsidRPr="00A85BE8">
              <w:rPr>
                <w:sz w:val="24"/>
              </w:rPr>
              <w:t>phase</w:t>
            </w:r>
          </w:p>
        </w:tc>
        <w:tc>
          <w:tcPr>
            <w:tcW w:w="6996" w:type="dxa"/>
            <w:tcBorders>
              <w:top w:val="single" w:sz="4" w:space="0" w:color="auto"/>
              <w:left w:val="nil"/>
              <w:bottom w:val="single" w:sz="4" w:space="0" w:color="auto"/>
            </w:tcBorders>
          </w:tcPr>
          <w:p w:rsidR="00196AB3" w:rsidRPr="00A85BE8" w:rsidRDefault="00B77F03" w:rsidP="0057002E">
            <w:pPr>
              <w:adjustRightInd w:val="0"/>
              <w:snapToGrid w:val="0"/>
              <w:spacing w:afterLines="50" w:after="156" w:line="360" w:lineRule="auto"/>
              <w:rPr>
                <w:sz w:val="24"/>
              </w:rPr>
            </w:pPr>
            <w:r w:rsidRPr="00A85BE8">
              <w:rPr>
                <w:sz w:val="24"/>
              </w:rPr>
              <w:t>Ⅳ</w:t>
            </w:r>
          </w:p>
        </w:tc>
      </w:tr>
      <w:tr w:rsidR="00A85BE8" w:rsidRPr="00A85BE8" w:rsidTr="00FC7DA6">
        <w:tc>
          <w:tcPr>
            <w:tcW w:w="1526" w:type="dxa"/>
            <w:tcBorders>
              <w:right w:val="nil"/>
            </w:tcBorders>
          </w:tcPr>
          <w:p w:rsidR="00196AB3" w:rsidRPr="00A85BE8" w:rsidRDefault="00B77F03" w:rsidP="0057002E">
            <w:pPr>
              <w:adjustRightInd w:val="0"/>
              <w:snapToGrid w:val="0"/>
              <w:spacing w:afterLines="50" w:after="156" w:line="360" w:lineRule="auto"/>
              <w:rPr>
                <w:sz w:val="24"/>
              </w:rPr>
            </w:pPr>
            <w:r w:rsidRPr="00A85BE8">
              <w:rPr>
                <w:sz w:val="24"/>
              </w:rPr>
              <w:t>indication</w:t>
            </w:r>
          </w:p>
        </w:tc>
        <w:tc>
          <w:tcPr>
            <w:tcW w:w="6996" w:type="dxa"/>
            <w:tcBorders>
              <w:top w:val="single" w:sz="4" w:space="0" w:color="auto"/>
              <w:left w:val="nil"/>
              <w:bottom w:val="single" w:sz="4" w:space="0" w:color="auto"/>
            </w:tcBorders>
          </w:tcPr>
          <w:p w:rsidR="00196AB3" w:rsidRPr="00A85BE8" w:rsidRDefault="00B77F03" w:rsidP="0057002E">
            <w:pPr>
              <w:adjustRightInd w:val="0"/>
              <w:snapToGrid w:val="0"/>
              <w:spacing w:afterLines="50" w:after="156" w:line="360" w:lineRule="auto"/>
              <w:rPr>
                <w:sz w:val="24"/>
              </w:rPr>
            </w:pPr>
            <w:r w:rsidRPr="00A85BE8">
              <w:rPr>
                <w:sz w:val="24"/>
              </w:rPr>
              <w:t>Patients with hematological malignancy who are scheduled to receive haploidentical hematopoietic stem cell transplantation (haplo-HSCT)</w:t>
            </w:r>
          </w:p>
        </w:tc>
      </w:tr>
      <w:tr w:rsidR="00A85BE8" w:rsidRPr="00A85BE8" w:rsidTr="00FC7DA6">
        <w:tc>
          <w:tcPr>
            <w:tcW w:w="1526" w:type="dxa"/>
            <w:tcBorders>
              <w:right w:val="nil"/>
            </w:tcBorders>
          </w:tcPr>
          <w:p w:rsidR="00196AB3" w:rsidRPr="00A85BE8" w:rsidRDefault="00FC7DA6" w:rsidP="0057002E">
            <w:pPr>
              <w:adjustRightInd w:val="0"/>
              <w:snapToGrid w:val="0"/>
              <w:spacing w:afterLines="50" w:after="156" w:line="360" w:lineRule="auto"/>
              <w:rPr>
                <w:sz w:val="24"/>
              </w:rPr>
            </w:pPr>
            <w:r w:rsidRPr="00A85BE8">
              <w:rPr>
                <w:sz w:val="24"/>
              </w:rPr>
              <w:t>objectives</w:t>
            </w:r>
          </w:p>
        </w:tc>
        <w:tc>
          <w:tcPr>
            <w:tcW w:w="6996" w:type="dxa"/>
            <w:tcBorders>
              <w:top w:val="single" w:sz="4" w:space="0" w:color="auto"/>
              <w:left w:val="nil"/>
              <w:bottom w:val="single" w:sz="4" w:space="0" w:color="auto"/>
            </w:tcBorders>
          </w:tcPr>
          <w:p w:rsidR="00196AB3" w:rsidRPr="00A85BE8" w:rsidRDefault="00FC7DA6" w:rsidP="0057002E">
            <w:pPr>
              <w:adjustRightInd w:val="0"/>
              <w:snapToGrid w:val="0"/>
              <w:spacing w:afterLines="50" w:after="156" w:line="360" w:lineRule="auto"/>
              <w:rPr>
                <w:sz w:val="24"/>
              </w:rPr>
            </w:pPr>
            <w:r w:rsidRPr="00A85BE8">
              <w:rPr>
                <w:sz w:val="24"/>
              </w:rPr>
              <w:t xml:space="preserve">compare the incidence of viral infections and </w:t>
            </w:r>
            <w:r w:rsidR="006B5730" w:rsidRPr="00A85BE8">
              <w:rPr>
                <w:sz w:val="24"/>
              </w:rPr>
              <w:t>graft-versus-host disease (</w:t>
            </w:r>
            <w:r w:rsidRPr="00A85BE8">
              <w:rPr>
                <w:sz w:val="24"/>
              </w:rPr>
              <w:t>GVHD</w:t>
            </w:r>
            <w:r w:rsidR="006B5730" w:rsidRPr="00A85BE8">
              <w:rPr>
                <w:sz w:val="24"/>
              </w:rPr>
              <w:t>)</w:t>
            </w:r>
            <w:r w:rsidRPr="00A85BE8">
              <w:rPr>
                <w:sz w:val="24"/>
              </w:rPr>
              <w:t xml:space="preserve"> in patients receiving haplo-HSCT between 7.5 mg and 10</w:t>
            </w:r>
            <w:r w:rsidR="00851A92" w:rsidRPr="00A85BE8">
              <w:rPr>
                <w:sz w:val="24"/>
              </w:rPr>
              <w:t>.0</w:t>
            </w:r>
            <w:r w:rsidRPr="00A85BE8">
              <w:rPr>
                <w:sz w:val="24"/>
              </w:rPr>
              <w:t xml:space="preserve"> mg ATG groups.</w:t>
            </w:r>
          </w:p>
        </w:tc>
      </w:tr>
      <w:tr w:rsidR="00A85BE8" w:rsidRPr="00A85BE8" w:rsidTr="00FC7DA6">
        <w:tc>
          <w:tcPr>
            <w:tcW w:w="1526" w:type="dxa"/>
            <w:tcBorders>
              <w:right w:val="nil"/>
            </w:tcBorders>
          </w:tcPr>
          <w:p w:rsidR="00196AB3" w:rsidRPr="00A85BE8" w:rsidRDefault="00FC7DA6" w:rsidP="0057002E">
            <w:pPr>
              <w:adjustRightInd w:val="0"/>
              <w:snapToGrid w:val="0"/>
              <w:spacing w:afterLines="50" w:after="156" w:line="360" w:lineRule="auto"/>
              <w:rPr>
                <w:sz w:val="24"/>
              </w:rPr>
            </w:pPr>
            <w:r w:rsidRPr="00A85BE8">
              <w:rPr>
                <w:sz w:val="24"/>
              </w:rPr>
              <w:t>study design</w:t>
            </w:r>
          </w:p>
        </w:tc>
        <w:tc>
          <w:tcPr>
            <w:tcW w:w="6996" w:type="dxa"/>
            <w:tcBorders>
              <w:top w:val="single" w:sz="4" w:space="0" w:color="auto"/>
              <w:left w:val="nil"/>
              <w:bottom w:val="single" w:sz="4" w:space="0" w:color="auto"/>
            </w:tcBorders>
          </w:tcPr>
          <w:p w:rsidR="00196AB3" w:rsidRPr="00A85BE8" w:rsidRDefault="00FC7DA6" w:rsidP="0057002E">
            <w:pPr>
              <w:adjustRightInd w:val="0"/>
              <w:snapToGrid w:val="0"/>
              <w:spacing w:afterLines="50" w:after="156" w:line="360" w:lineRule="auto"/>
              <w:rPr>
                <w:sz w:val="24"/>
              </w:rPr>
            </w:pPr>
            <w:r w:rsidRPr="00A85BE8">
              <w:rPr>
                <w:sz w:val="24"/>
              </w:rPr>
              <w:t>prospective, multi-center, controlled, open-label, randomized phase Ⅳ study</w:t>
            </w:r>
          </w:p>
        </w:tc>
      </w:tr>
      <w:tr w:rsidR="00A85BE8" w:rsidRPr="00A85BE8" w:rsidTr="00670B90">
        <w:tc>
          <w:tcPr>
            <w:tcW w:w="1526" w:type="dxa"/>
            <w:tcBorders>
              <w:right w:val="nil"/>
            </w:tcBorders>
          </w:tcPr>
          <w:p w:rsidR="00196AB3" w:rsidRPr="00A85BE8" w:rsidRDefault="007672F7" w:rsidP="0057002E">
            <w:pPr>
              <w:adjustRightInd w:val="0"/>
              <w:snapToGrid w:val="0"/>
              <w:spacing w:afterLines="50" w:after="156" w:line="360" w:lineRule="auto"/>
              <w:rPr>
                <w:sz w:val="24"/>
              </w:rPr>
            </w:pPr>
            <w:r w:rsidRPr="00A85BE8">
              <w:rPr>
                <w:sz w:val="24"/>
              </w:rPr>
              <w:t>required subject</w:t>
            </w:r>
          </w:p>
        </w:tc>
        <w:tc>
          <w:tcPr>
            <w:tcW w:w="6996" w:type="dxa"/>
            <w:tcBorders>
              <w:top w:val="single" w:sz="4" w:space="0" w:color="auto"/>
              <w:left w:val="nil"/>
              <w:bottom w:val="single" w:sz="4" w:space="0" w:color="auto"/>
            </w:tcBorders>
          </w:tcPr>
          <w:p w:rsidR="00196AB3" w:rsidRPr="00A85BE8" w:rsidRDefault="007672F7" w:rsidP="0057002E">
            <w:pPr>
              <w:adjustRightInd w:val="0"/>
              <w:snapToGrid w:val="0"/>
              <w:spacing w:afterLines="50" w:after="156" w:line="360" w:lineRule="auto"/>
              <w:rPr>
                <w:sz w:val="24"/>
              </w:rPr>
            </w:pPr>
            <w:r w:rsidRPr="00A85BE8">
              <w:rPr>
                <w:sz w:val="24"/>
              </w:rPr>
              <w:t>subjects</w:t>
            </w:r>
          </w:p>
        </w:tc>
      </w:tr>
      <w:tr w:rsidR="00A85BE8" w:rsidRPr="00A85BE8" w:rsidTr="00670B90">
        <w:tc>
          <w:tcPr>
            <w:tcW w:w="1526" w:type="dxa"/>
            <w:tcBorders>
              <w:right w:val="nil"/>
            </w:tcBorders>
          </w:tcPr>
          <w:p w:rsidR="00670B90" w:rsidRPr="00A85BE8" w:rsidRDefault="00670B90" w:rsidP="0057002E">
            <w:pPr>
              <w:adjustRightInd w:val="0"/>
              <w:snapToGrid w:val="0"/>
              <w:spacing w:afterLines="50" w:after="156" w:line="360" w:lineRule="auto"/>
              <w:rPr>
                <w:sz w:val="24"/>
              </w:rPr>
            </w:pPr>
            <w:r w:rsidRPr="00A85BE8">
              <w:rPr>
                <w:sz w:val="24"/>
              </w:rPr>
              <w:t>Study sites</w:t>
            </w:r>
          </w:p>
        </w:tc>
        <w:tc>
          <w:tcPr>
            <w:tcW w:w="6996" w:type="dxa"/>
            <w:tcBorders>
              <w:top w:val="single" w:sz="4" w:space="0" w:color="auto"/>
              <w:left w:val="nil"/>
              <w:bottom w:val="single" w:sz="4" w:space="0" w:color="auto"/>
            </w:tcBorders>
          </w:tcPr>
          <w:p w:rsidR="00670B90" w:rsidRPr="00A85BE8" w:rsidRDefault="0009008E" w:rsidP="0057002E">
            <w:pPr>
              <w:adjustRightInd w:val="0"/>
              <w:snapToGrid w:val="0"/>
              <w:spacing w:afterLines="50" w:after="156" w:line="360" w:lineRule="auto"/>
              <w:rPr>
                <w:sz w:val="24"/>
              </w:rPr>
            </w:pPr>
            <w:r w:rsidRPr="00A85BE8">
              <w:rPr>
                <w:sz w:val="24"/>
              </w:rPr>
              <w:t>4</w:t>
            </w:r>
            <w:r w:rsidR="00670B90" w:rsidRPr="00A85BE8">
              <w:rPr>
                <w:sz w:val="24"/>
              </w:rPr>
              <w:t xml:space="preserve"> </w:t>
            </w:r>
            <w:r w:rsidRPr="00A85BE8">
              <w:rPr>
                <w:sz w:val="24"/>
              </w:rPr>
              <w:t>(Nanfang Hospital, Peking University People's Hospital, Fujian Medical University Union Hospital, Xiangya Hospital</w:t>
            </w:r>
            <w:r w:rsidR="00F16338" w:rsidRPr="00A85BE8">
              <w:rPr>
                <w:sz w:val="24"/>
              </w:rPr>
              <w:t>)</w:t>
            </w:r>
          </w:p>
        </w:tc>
      </w:tr>
      <w:tr w:rsidR="00A85BE8" w:rsidRPr="00A85BE8" w:rsidTr="00A63EEB">
        <w:tc>
          <w:tcPr>
            <w:tcW w:w="1526" w:type="dxa"/>
            <w:tcBorders>
              <w:right w:val="nil"/>
            </w:tcBorders>
          </w:tcPr>
          <w:p w:rsidR="00670B90" w:rsidRPr="00A85BE8" w:rsidRDefault="00A63EEB" w:rsidP="0057002E">
            <w:pPr>
              <w:adjustRightInd w:val="0"/>
              <w:snapToGrid w:val="0"/>
              <w:spacing w:afterLines="50" w:after="156" w:line="360" w:lineRule="auto"/>
              <w:rPr>
                <w:sz w:val="24"/>
              </w:rPr>
            </w:pPr>
            <w:r w:rsidRPr="00A85BE8">
              <w:rPr>
                <w:sz w:val="24"/>
              </w:rPr>
              <w:t>Screening Criteria</w:t>
            </w:r>
          </w:p>
        </w:tc>
        <w:tc>
          <w:tcPr>
            <w:tcW w:w="6996" w:type="dxa"/>
            <w:tcBorders>
              <w:top w:val="single" w:sz="4" w:space="0" w:color="auto"/>
              <w:left w:val="nil"/>
              <w:bottom w:val="single" w:sz="4" w:space="0" w:color="auto"/>
            </w:tcBorders>
          </w:tcPr>
          <w:p w:rsidR="00670B90" w:rsidRPr="00A85BE8" w:rsidRDefault="00A63EEB" w:rsidP="0057002E">
            <w:pPr>
              <w:adjustRightInd w:val="0"/>
              <w:snapToGrid w:val="0"/>
              <w:spacing w:afterLines="50" w:after="156" w:line="360" w:lineRule="auto"/>
              <w:rPr>
                <w:sz w:val="24"/>
              </w:rPr>
            </w:pPr>
            <w:r w:rsidRPr="00A85BE8">
              <w:rPr>
                <w:sz w:val="24"/>
              </w:rPr>
              <w:t>subjects who are scheduled to receive haplo-HSCT without treatment contraindication</w:t>
            </w:r>
          </w:p>
        </w:tc>
      </w:tr>
      <w:tr w:rsidR="00A85BE8" w:rsidRPr="00A85BE8" w:rsidTr="00A63EEB">
        <w:tc>
          <w:tcPr>
            <w:tcW w:w="1526" w:type="dxa"/>
            <w:tcBorders>
              <w:right w:val="nil"/>
            </w:tcBorders>
          </w:tcPr>
          <w:p w:rsidR="00670B90" w:rsidRPr="00A85BE8" w:rsidRDefault="00A63EEB" w:rsidP="0057002E">
            <w:pPr>
              <w:adjustRightInd w:val="0"/>
              <w:snapToGrid w:val="0"/>
              <w:spacing w:afterLines="50" w:after="156" w:line="360" w:lineRule="auto"/>
              <w:rPr>
                <w:sz w:val="24"/>
              </w:rPr>
            </w:pPr>
            <w:r w:rsidRPr="00A85BE8">
              <w:rPr>
                <w:sz w:val="24"/>
              </w:rPr>
              <w:t>Control Group</w:t>
            </w:r>
          </w:p>
        </w:tc>
        <w:tc>
          <w:tcPr>
            <w:tcW w:w="6996" w:type="dxa"/>
            <w:tcBorders>
              <w:top w:val="single" w:sz="4" w:space="0" w:color="auto"/>
              <w:left w:val="nil"/>
              <w:bottom w:val="single" w:sz="4" w:space="0" w:color="auto"/>
            </w:tcBorders>
          </w:tcPr>
          <w:p w:rsidR="00670B90" w:rsidRPr="00A85BE8" w:rsidRDefault="004B4D54" w:rsidP="0057002E">
            <w:pPr>
              <w:adjustRightInd w:val="0"/>
              <w:snapToGrid w:val="0"/>
              <w:spacing w:afterLines="50" w:after="156" w:line="360" w:lineRule="auto"/>
              <w:rPr>
                <w:sz w:val="24"/>
              </w:rPr>
            </w:pPr>
            <w:r w:rsidRPr="00A85BE8">
              <w:rPr>
                <w:sz w:val="24"/>
              </w:rPr>
              <w:t>10</w:t>
            </w:r>
            <w:r w:rsidR="00851A92" w:rsidRPr="00A85BE8">
              <w:rPr>
                <w:sz w:val="24"/>
              </w:rPr>
              <w:t>.0</w:t>
            </w:r>
            <w:r w:rsidRPr="00A85BE8">
              <w:rPr>
                <w:sz w:val="24"/>
              </w:rPr>
              <w:t xml:space="preserve"> mg/kg ATG </w:t>
            </w:r>
            <w:r w:rsidR="00046970" w:rsidRPr="00A85BE8">
              <w:rPr>
                <w:sz w:val="24"/>
              </w:rPr>
              <w:t>(2.5mg/kg/day from days -4 to -1 before transplantation)</w:t>
            </w:r>
          </w:p>
        </w:tc>
      </w:tr>
      <w:tr w:rsidR="00A85BE8" w:rsidRPr="00A85BE8" w:rsidTr="00A63EEB">
        <w:tc>
          <w:tcPr>
            <w:tcW w:w="1526" w:type="dxa"/>
            <w:tcBorders>
              <w:right w:val="nil"/>
            </w:tcBorders>
          </w:tcPr>
          <w:p w:rsidR="000471DC" w:rsidRPr="00A85BE8" w:rsidRDefault="000471DC" w:rsidP="0057002E">
            <w:pPr>
              <w:adjustRightInd w:val="0"/>
              <w:snapToGrid w:val="0"/>
              <w:spacing w:afterLines="50" w:after="156" w:line="360" w:lineRule="auto"/>
              <w:rPr>
                <w:sz w:val="24"/>
              </w:rPr>
            </w:pPr>
            <w:r w:rsidRPr="00A85BE8">
              <w:rPr>
                <w:sz w:val="24"/>
              </w:rPr>
              <w:t>Experimental Group</w:t>
            </w:r>
          </w:p>
        </w:tc>
        <w:tc>
          <w:tcPr>
            <w:tcW w:w="6996" w:type="dxa"/>
            <w:tcBorders>
              <w:top w:val="single" w:sz="4" w:space="0" w:color="auto"/>
              <w:left w:val="nil"/>
              <w:bottom w:val="single" w:sz="4" w:space="0" w:color="auto"/>
            </w:tcBorders>
          </w:tcPr>
          <w:p w:rsidR="000471DC" w:rsidRPr="00A85BE8" w:rsidRDefault="000471DC" w:rsidP="0057002E">
            <w:pPr>
              <w:adjustRightInd w:val="0"/>
              <w:snapToGrid w:val="0"/>
              <w:spacing w:afterLines="50" w:after="156" w:line="360" w:lineRule="auto"/>
              <w:rPr>
                <w:sz w:val="24"/>
              </w:rPr>
            </w:pPr>
            <w:r w:rsidRPr="00A85BE8">
              <w:rPr>
                <w:sz w:val="24"/>
              </w:rPr>
              <w:t>7.5 mg/kg ATG (2.5mg/kg/day from days -3 to -1 before transplantation)</w:t>
            </w:r>
          </w:p>
        </w:tc>
      </w:tr>
      <w:tr w:rsidR="00A85BE8" w:rsidRPr="00A85BE8" w:rsidTr="00A63EEB">
        <w:tc>
          <w:tcPr>
            <w:tcW w:w="1526" w:type="dxa"/>
            <w:tcBorders>
              <w:right w:val="nil"/>
            </w:tcBorders>
          </w:tcPr>
          <w:p w:rsidR="000471DC" w:rsidRPr="00A85BE8" w:rsidRDefault="000471DC" w:rsidP="0057002E">
            <w:pPr>
              <w:adjustRightInd w:val="0"/>
              <w:snapToGrid w:val="0"/>
              <w:spacing w:afterLines="50" w:after="156" w:line="360" w:lineRule="auto"/>
              <w:rPr>
                <w:sz w:val="24"/>
              </w:rPr>
            </w:pPr>
            <w:r w:rsidRPr="00A85BE8">
              <w:rPr>
                <w:sz w:val="24"/>
              </w:rPr>
              <w:t>Primary Endpoint</w:t>
            </w:r>
          </w:p>
        </w:tc>
        <w:tc>
          <w:tcPr>
            <w:tcW w:w="6996" w:type="dxa"/>
            <w:tcBorders>
              <w:top w:val="single" w:sz="4" w:space="0" w:color="auto"/>
              <w:left w:val="nil"/>
              <w:bottom w:val="single" w:sz="4" w:space="0" w:color="auto"/>
            </w:tcBorders>
          </w:tcPr>
          <w:p w:rsidR="000471DC" w:rsidRPr="00A85BE8" w:rsidRDefault="000471DC" w:rsidP="0057002E">
            <w:pPr>
              <w:adjustRightInd w:val="0"/>
              <w:snapToGrid w:val="0"/>
              <w:spacing w:afterLines="50" w:after="156" w:line="360" w:lineRule="auto"/>
              <w:rPr>
                <w:sz w:val="24"/>
              </w:rPr>
            </w:pPr>
            <w:r w:rsidRPr="00A85BE8">
              <w:rPr>
                <w:sz w:val="24"/>
              </w:rPr>
              <w:t>Incidence of EBV</w:t>
            </w:r>
            <w:r w:rsidR="0016756A" w:rsidRPr="00A85BE8">
              <w:rPr>
                <w:sz w:val="24"/>
              </w:rPr>
              <w:t xml:space="preserve"> DNAemia</w:t>
            </w:r>
            <w:r w:rsidRPr="00A85BE8">
              <w:rPr>
                <w:sz w:val="24"/>
              </w:rPr>
              <w:t xml:space="preserve"> post-transplantation</w:t>
            </w:r>
          </w:p>
        </w:tc>
      </w:tr>
      <w:tr w:rsidR="00A85BE8" w:rsidRPr="00A85BE8" w:rsidTr="00A63EEB">
        <w:tc>
          <w:tcPr>
            <w:tcW w:w="1526" w:type="dxa"/>
            <w:tcBorders>
              <w:right w:val="nil"/>
            </w:tcBorders>
          </w:tcPr>
          <w:p w:rsidR="000471DC" w:rsidRPr="00A85BE8" w:rsidRDefault="000471DC" w:rsidP="0057002E">
            <w:pPr>
              <w:adjustRightInd w:val="0"/>
              <w:snapToGrid w:val="0"/>
              <w:spacing w:afterLines="50" w:after="156" w:line="360" w:lineRule="auto"/>
              <w:rPr>
                <w:sz w:val="24"/>
              </w:rPr>
            </w:pPr>
            <w:r w:rsidRPr="00A85BE8">
              <w:rPr>
                <w:sz w:val="24"/>
              </w:rPr>
              <w:t>Secondary Endpoints</w:t>
            </w:r>
          </w:p>
        </w:tc>
        <w:tc>
          <w:tcPr>
            <w:tcW w:w="6996" w:type="dxa"/>
            <w:tcBorders>
              <w:top w:val="single" w:sz="4" w:space="0" w:color="auto"/>
              <w:left w:val="nil"/>
              <w:bottom w:val="single" w:sz="4" w:space="0" w:color="auto"/>
            </w:tcBorders>
          </w:tcPr>
          <w:p w:rsidR="00F41F09" w:rsidRPr="00A85BE8" w:rsidRDefault="00F41F09" w:rsidP="0057002E">
            <w:pPr>
              <w:adjustRightInd w:val="0"/>
              <w:snapToGrid w:val="0"/>
              <w:spacing w:afterLines="50" w:after="156" w:line="360" w:lineRule="auto"/>
              <w:rPr>
                <w:sz w:val="24"/>
              </w:rPr>
            </w:pPr>
            <w:r w:rsidRPr="00A85BE8">
              <w:rPr>
                <w:sz w:val="24"/>
              </w:rPr>
              <w:t>incidence of grade II to IV and grade III to IV aGVHD within 100 days post-transplantation;</w:t>
            </w:r>
            <w:r w:rsidR="00D93BC0" w:rsidRPr="00A85BE8">
              <w:rPr>
                <w:sz w:val="24"/>
              </w:rPr>
              <w:t xml:space="preserve"> hematopoietic engraftment;</w:t>
            </w:r>
            <w:r w:rsidRPr="00A85BE8">
              <w:rPr>
                <w:sz w:val="24"/>
              </w:rPr>
              <w:t xml:space="preserve"> cGVHD</w:t>
            </w:r>
            <w:r w:rsidR="00D93BC0" w:rsidRPr="00A85BE8">
              <w:rPr>
                <w:sz w:val="24"/>
              </w:rPr>
              <w:t>;</w:t>
            </w:r>
            <w:r w:rsidR="001261BB" w:rsidRPr="00A85BE8">
              <w:rPr>
                <w:sz w:val="24"/>
              </w:rPr>
              <w:t xml:space="preserve"> E</w:t>
            </w:r>
            <w:bookmarkStart w:id="4" w:name="OLE_LINK25"/>
            <w:r w:rsidR="001261BB" w:rsidRPr="00A85BE8">
              <w:rPr>
                <w:sz w:val="24"/>
              </w:rPr>
              <w:t>BV-associated diseases</w:t>
            </w:r>
            <w:r w:rsidR="00D93BC0" w:rsidRPr="00A85BE8">
              <w:rPr>
                <w:sz w:val="24"/>
              </w:rPr>
              <w:t>;</w:t>
            </w:r>
            <w:r w:rsidRPr="00A85BE8">
              <w:rPr>
                <w:sz w:val="24"/>
              </w:rPr>
              <w:t xml:space="preserve"> CMV infections</w:t>
            </w:r>
            <w:r w:rsidR="001261BB" w:rsidRPr="00A85BE8">
              <w:rPr>
                <w:sz w:val="24"/>
              </w:rPr>
              <w:t xml:space="preserve"> (CMV</w:t>
            </w:r>
            <w:r w:rsidR="0016756A" w:rsidRPr="00A85BE8">
              <w:rPr>
                <w:sz w:val="24"/>
              </w:rPr>
              <w:t xml:space="preserve"> DNAemia</w:t>
            </w:r>
            <w:r w:rsidR="001261BB" w:rsidRPr="00A85BE8">
              <w:rPr>
                <w:sz w:val="24"/>
              </w:rPr>
              <w:t xml:space="preserve"> and associated diseases)</w:t>
            </w:r>
            <w:r w:rsidR="00D93BC0" w:rsidRPr="00A85BE8">
              <w:rPr>
                <w:sz w:val="24"/>
              </w:rPr>
              <w:t>;</w:t>
            </w:r>
            <w:r w:rsidRPr="00A85BE8">
              <w:rPr>
                <w:sz w:val="24"/>
              </w:rPr>
              <w:t xml:space="preserve"> relapse</w:t>
            </w:r>
            <w:r w:rsidR="00D93BC0" w:rsidRPr="00A85BE8">
              <w:rPr>
                <w:sz w:val="24"/>
              </w:rPr>
              <w:t>;</w:t>
            </w:r>
            <w:r w:rsidRPr="00A85BE8">
              <w:rPr>
                <w:sz w:val="24"/>
              </w:rPr>
              <w:t xml:space="preserve"> non-relapse mortality (NRM)</w:t>
            </w:r>
            <w:r w:rsidR="00D93BC0" w:rsidRPr="00A85BE8">
              <w:rPr>
                <w:sz w:val="24"/>
              </w:rPr>
              <w:t>;</w:t>
            </w:r>
            <w:r w:rsidRPr="00A85BE8">
              <w:rPr>
                <w:sz w:val="24"/>
              </w:rPr>
              <w:t xml:space="preserve"> </w:t>
            </w:r>
            <w:r w:rsidR="00A01E7E" w:rsidRPr="00A85BE8">
              <w:rPr>
                <w:sz w:val="24"/>
              </w:rPr>
              <w:t>overall survival (</w:t>
            </w:r>
            <w:r w:rsidRPr="00A85BE8">
              <w:rPr>
                <w:sz w:val="24"/>
              </w:rPr>
              <w:t>OS</w:t>
            </w:r>
            <w:r w:rsidR="00A01E7E" w:rsidRPr="00A85BE8">
              <w:rPr>
                <w:sz w:val="24"/>
              </w:rPr>
              <w:t>)</w:t>
            </w:r>
            <w:r w:rsidR="00D93BC0" w:rsidRPr="00A85BE8">
              <w:rPr>
                <w:sz w:val="24"/>
              </w:rPr>
              <w:t>;</w:t>
            </w:r>
            <w:r w:rsidRPr="00A85BE8">
              <w:rPr>
                <w:sz w:val="24"/>
              </w:rPr>
              <w:t xml:space="preserve"> </w:t>
            </w:r>
            <w:r w:rsidR="00A01E7E" w:rsidRPr="00A85BE8">
              <w:rPr>
                <w:sz w:val="24"/>
              </w:rPr>
              <w:t>disease-free survival (</w:t>
            </w:r>
            <w:r w:rsidRPr="00A85BE8">
              <w:rPr>
                <w:sz w:val="24"/>
              </w:rPr>
              <w:t>DFS</w:t>
            </w:r>
            <w:r w:rsidR="00A01E7E" w:rsidRPr="00A85BE8">
              <w:rPr>
                <w:sz w:val="24"/>
              </w:rPr>
              <w:t>)</w:t>
            </w:r>
            <w:r w:rsidRPr="00A85BE8">
              <w:rPr>
                <w:sz w:val="24"/>
              </w:rPr>
              <w:t xml:space="preserve"> and </w:t>
            </w:r>
            <w:r w:rsidR="00A01E7E" w:rsidRPr="00A85BE8">
              <w:rPr>
                <w:sz w:val="24"/>
              </w:rPr>
              <w:t>tolerability</w:t>
            </w:r>
            <w:bookmarkEnd w:id="4"/>
          </w:p>
        </w:tc>
      </w:tr>
      <w:tr w:rsidR="00A85BE8" w:rsidRPr="00A85BE8" w:rsidTr="00A63EEB">
        <w:tc>
          <w:tcPr>
            <w:tcW w:w="1526" w:type="dxa"/>
            <w:tcBorders>
              <w:right w:val="nil"/>
            </w:tcBorders>
          </w:tcPr>
          <w:p w:rsidR="000471DC" w:rsidRPr="00A85BE8" w:rsidRDefault="00A160C6" w:rsidP="0057002E">
            <w:pPr>
              <w:adjustRightInd w:val="0"/>
              <w:snapToGrid w:val="0"/>
              <w:spacing w:afterLines="50" w:after="156" w:line="360" w:lineRule="auto"/>
              <w:rPr>
                <w:sz w:val="24"/>
              </w:rPr>
            </w:pPr>
            <w:r w:rsidRPr="00A85BE8">
              <w:rPr>
                <w:sz w:val="24"/>
              </w:rPr>
              <w:t>Study procedures</w:t>
            </w:r>
          </w:p>
        </w:tc>
        <w:tc>
          <w:tcPr>
            <w:tcW w:w="6996" w:type="dxa"/>
            <w:tcBorders>
              <w:top w:val="single" w:sz="4" w:space="0" w:color="auto"/>
              <w:left w:val="nil"/>
              <w:bottom w:val="single" w:sz="4" w:space="0" w:color="auto"/>
            </w:tcBorders>
          </w:tcPr>
          <w:p w:rsidR="000471DC" w:rsidRPr="00A85BE8" w:rsidRDefault="00E56487" w:rsidP="0057002E">
            <w:pPr>
              <w:adjustRightInd w:val="0"/>
              <w:snapToGrid w:val="0"/>
              <w:spacing w:afterLines="50" w:after="156" w:line="360" w:lineRule="auto"/>
              <w:rPr>
                <w:sz w:val="24"/>
              </w:rPr>
            </w:pPr>
            <w:r w:rsidRPr="00A85BE8">
              <w:rPr>
                <w:sz w:val="24"/>
              </w:rPr>
              <w:t>This is a prospective, mult</w:t>
            </w:r>
            <w:r w:rsidR="00C46D28" w:rsidRPr="00A85BE8">
              <w:rPr>
                <w:sz w:val="24"/>
              </w:rPr>
              <w:t>i-center, controlled, open-label</w:t>
            </w:r>
            <w:r w:rsidRPr="00A85BE8">
              <w:rPr>
                <w:sz w:val="24"/>
              </w:rPr>
              <w:t xml:space="preserve">, randomized phase Ⅳ study. A total of </w:t>
            </w:r>
            <w:r w:rsidR="004F7B1C" w:rsidRPr="00A85BE8">
              <w:rPr>
                <w:sz w:val="24"/>
              </w:rPr>
              <w:t>412</w:t>
            </w:r>
            <w:r w:rsidRPr="00A85BE8">
              <w:rPr>
                <w:sz w:val="24"/>
              </w:rPr>
              <w:t xml:space="preserve"> subjects with acute leukemia who were scheduled to receive haplo-HSCT and met the inclusion criteria is required. After giving written informed consent, all subjects will be randomly assigned to 7.5mg/kg (7.5 mg group) or 10.0mg/kg ATG group (10.0 mg group) in a 1:1 ratio. Viral infections (EBV and CMV), GVHD and survival will be evaluated.</w:t>
            </w:r>
          </w:p>
        </w:tc>
      </w:tr>
      <w:tr w:rsidR="000471DC" w:rsidRPr="00A85BE8" w:rsidTr="00A63EEB">
        <w:tc>
          <w:tcPr>
            <w:tcW w:w="1526" w:type="dxa"/>
            <w:tcBorders>
              <w:right w:val="nil"/>
            </w:tcBorders>
          </w:tcPr>
          <w:p w:rsidR="000471DC" w:rsidRPr="00A85BE8" w:rsidRDefault="000471DC" w:rsidP="0057002E">
            <w:pPr>
              <w:adjustRightInd w:val="0"/>
              <w:snapToGrid w:val="0"/>
              <w:spacing w:afterLines="50" w:after="156" w:line="360" w:lineRule="auto"/>
              <w:rPr>
                <w:sz w:val="24"/>
              </w:rPr>
            </w:pPr>
          </w:p>
        </w:tc>
        <w:tc>
          <w:tcPr>
            <w:tcW w:w="6996" w:type="dxa"/>
            <w:tcBorders>
              <w:top w:val="single" w:sz="4" w:space="0" w:color="auto"/>
              <w:left w:val="nil"/>
              <w:bottom w:val="nil"/>
            </w:tcBorders>
          </w:tcPr>
          <w:p w:rsidR="000471DC" w:rsidRPr="00A85BE8" w:rsidRDefault="000471DC" w:rsidP="0057002E">
            <w:pPr>
              <w:adjustRightInd w:val="0"/>
              <w:snapToGrid w:val="0"/>
              <w:spacing w:afterLines="50" w:after="156" w:line="360" w:lineRule="auto"/>
              <w:rPr>
                <w:sz w:val="24"/>
              </w:rPr>
            </w:pPr>
          </w:p>
        </w:tc>
      </w:tr>
    </w:tbl>
    <w:p w:rsidR="00CC5E45" w:rsidRPr="00A85BE8" w:rsidRDefault="00CC5E45" w:rsidP="0057002E">
      <w:pPr>
        <w:adjustRightInd w:val="0"/>
        <w:snapToGrid w:val="0"/>
        <w:spacing w:afterLines="50" w:after="156" w:line="360" w:lineRule="auto"/>
        <w:rPr>
          <w:sz w:val="24"/>
        </w:rPr>
      </w:pPr>
    </w:p>
    <w:p w:rsidR="00CC5E45" w:rsidRPr="00A85BE8" w:rsidRDefault="00CC5E45" w:rsidP="0057002E">
      <w:pPr>
        <w:widowControl/>
        <w:spacing w:line="360" w:lineRule="auto"/>
        <w:rPr>
          <w:sz w:val="24"/>
        </w:rPr>
      </w:pPr>
      <w:r w:rsidRPr="00A85BE8">
        <w:rPr>
          <w:sz w:val="24"/>
        </w:rPr>
        <w:br w:type="page"/>
      </w:r>
    </w:p>
    <w:p w:rsidR="00EB5A38" w:rsidRPr="00A85BE8" w:rsidRDefault="00E70941" w:rsidP="0090789B">
      <w:pPr>
        <w:pStyle w:val="1"/>
        <w:rPr>
          <w:sz w:val="32"/>
          <w:szCs w:val="32"/>
        </w:rPr>
      </w:pPr>
      <w:bookmarkStart w:id="5" w:name="_Toc512010109"/>
      <w:r w:rsidRPr="00A85BE8">
        <w:rPr>
          <w:sz w:val="32"/>
          <w:szCs w:val="32"/>
        </w:rPr>
        <w:t>1.</w:t>
      </w:r>
      <w:r w:rsidR="00A43C77" w:rsidRPr="00A85BE8">
        <w:rPr>
          <w:sz w:val="32"/>
          <w:szCs w:val="32"/>
        </w:rPr>
        <w:t xml:space="preserve"> </w:t>
      </w:r>
      <w:r w:rsidRPr="00A85BE8">
        <w:rPr>
          <w:sz w:val="32"/>
          <w:szCs w:val="32"/>
        </w:rPr>
        <w:t>Background</w:t>
      </w:r>
      <w:bookmarkEnd w:id="5"/>
    </w:p>
    <w:p w:rsidR="008F332A" w:rsidRPr="00A85BE8" w:rsidRDefault="008F332A" w:rsidP="0057002E">
      <w:pPr>
        <w:adjustRightInd w:val="0"/>
        <w:snapToGrid w:val="0"/>
        <w:spacing w:afterLines="50" w:after="156" w:line="360" w:lineRule="auto"/>
        <w:ind w:firstLineChars="100" w:firstLine="240"/>
        <w:rPr>
          <w:sz w:val="24"/>
        </w:rPr>
      </w:pPr>
      <w:r w:rsidRPr="00A85BE8">
        <w:rPr>
          <w:sz w:val="24"/>
        </w:rPr>
        <w:t>Allogeneic hematopoietic stem cell transplantation (allo-HSCT) has been regarded as a curative strategy for acute leukemia. Lack of HLA-matched donor is the obstacle to widespread application of allo-HSCT. A growing body of clinical studies has suggested that haplo-identical related donor HSCT (haplo-HSCT) has comparable outcomes with transplants from matched sibling and unrelated donor, following the improvement of transplant technique in the last few years, such as immunosuppressive conditioning, graft manipulation, infection and graft-versus-host disease (GVHD) management. As a result, haplo-identical related donor is now considered an alternative for allo-HSCT. However, GVHD and infections remain main causes of morbidity and mortality after haplo</w:t>
      </w:r>
      <w:r w:rsidR="00C33FC3" w:rsidRPr="00A85BE8">
        <w:rPr>
          <w:sz w:val="24"/>
        </w:rPr>
        <w:t>-HSCT except leukemia relapse</w:t>
      </w:r>
      <w:r w:rsidRPr="00A85BE8">
        <w:rPr>
          <w:sz w:val="24"/>
        </w:rPr>
        <w:t xml:space="preserve">. </w:t>
      </w:r>
    </w:p>
    <w:p w:rsidR="008F332A" w:rsidRPr="00A85BE8" w:rsidRDefault="008F332A" w:rsidP="0057002E">
      <w:pPr>
        <w:adjustRightInd w:val="0"/>
        <w:snapToGrid w:val="0"/>
        <w:spacing w:afterLines="50" w:after="156" w:line="360" w:lineRule="auto"/>
        <w:ind w:firstLineChars="150" w:firstLine="360"/>
        <w:rPr>
          <w:sz w:val="24"/>
        </w:rPr>
      </w:pPr>
      <w:r w:rsidRPr="00A85BE8">
        <w:rPr>
          <w:sz w:val="24"/>
        </w:rPr>
        <w:t>Now, the strategies of GVHD prophylaxis mainly included ex vivo and in vivo T-cell-</w:t>
      </w:r>
      <w:r w:rsidR="00C33FC3" w:rsidRPr="00A85BE8">
        <w:rPr>
          <w:sz w:val="24"/>
        </w:rPr>
        <w:t>depletion (TCD) in haplo-HSCT</w:t>
      </w:r>
      <w:r w:rsidRPr="00A85BE8">
        <w:rPr>
          <w:sz w:val="24"/>
        </w:rPr>
        <w:t>. Although ex vivo TCD could reduce the morbidity and mortality of GVHD, it also affects immune reconstitution leading to high incidences of infections and disease relapse, and so on, makin</w:t>
      </w:r>
      <w:r w:rsidR="00C33FC3" w:rsidRPr="00A85BE8">
        <w:rPr>
          <w:sz w:val="24"/>
        </w:rPr>
        <w:t>g less benefit for survival</w:t>
      </w:r>
      <w:r w:rsidRPr="00A85BE8">
        <w:rPr>
          <w:sz w:val="24"/>
        </w:rPr>
        <w:t>. Therefore, ex vivo TCD has been gradu</w:t>
      </w:r>
      <w:r w:rsidR="00C33FC3" w:rsidRPr="00A85BE8">
        <w:rPr>
          <w:sz w:val="24"/>
        </w:rPr>
        <w:t>ally replaced by in vivo TCD</w:t>
      </w:r>
      <w:r w:rsidRPr="00A85BE8">
        <w:rPr>
          <w:sz w:val="24"/>
        </w:rPr>
        <w:t>. Among the in vivo TCD strategies, two major methods are used:</w:t>
      </w:r>
      <w:r w:rsidR="00C33FC3" w:rsidRPr="00A85BE8">
        <w:rPr>
          <w:sz w:val="24"/>
        </w:rPr>
        <w:t xml:space="preserve"> antithymocyteglobulin (ATG)/antilymphocyte globulin (ALG)</w:t>
      </w:r>
      <w:r w:rsidRPr="00A85BE8">
        <w:rPr>
          <w:sz w:val="24"/>
        </w:rPr>
        <w:t xml:space="preserve"> </w:t>
      </w:r>
      <w:r w:rsidR="00C33FC3" w:rsidRPr="00A85BE8">
        <w:rPr>
          <w:sz w:val="24"/>
        </w:rPr>
        <w:t xml:space="preserve">or </w:t>
      </w:r>
      <w:r w:rsidRPr="00A85BE8">
        <w:rPr>
          <w:sz w:val="24"/>
        </w:rPr>
        <w:t>post-transplantation cyclophosphamide (PTCy). The ATG strategy has been widely used, especially in China, resulting in a declined infections and re</w:t>
      </w:r>
      <w:r w:rsidR="00C33FC3" w:rsidRPr="00A85BE8">
        <w:rPr>
          <w:sz w:val="24"/>
        </w:rPr>
        <w:t>lapse compared with ex vivo TCD</w:t>
      </w:r>
      <w:r w:rsidRPr="00A85BE8">
        <w:rPr>
          <w:sz w:val="24"/>
        </w:rPr>
        <w:t>. Nevertheless, infections, especially viral infections, remain import</w:t>
      </w:r>
      <w:r w:rsidR="0052031E" w:rsidRPr="00A85BE8">
        <w:rPr>
          <w:sz w:val="24"/>
        </w:rPr>
        <w:t>ant drawback of ATG strategy</w:t>
      </w:r>
      <w:r w:rsidRPr="00A85BE8">
        <w:rPr>
          <w:sz w:val="24"/>
        </w:rPr>
        <w:t>. Several studies have demonstrated the risk of infections depen</w:t>
      </w:r>
      <w:r w:rsidR="0052031E" w:rsidRPr="00A85BE8">
        <w:rPr>
          <w:sz w:val="24"/>
        </w:rPr>
        <w:t>ds on the dosage of ATG</w:t>
      </w:r>
      <w:r w:rsidRPr="00A85BE8">
        <w:rPr>
          <w:sz w:val="24"/>
        </w:rPr>
        <w:t>. To data, the optimal dose of ATG which offers sufficient efficacy of GVHD prophylaxis and minimizes risk of infections is unknown in the haplo-identical setting. In our previous single-center study, 6mg/kg rabbit-ATG had a lower incidence of EBV infection, but higher risk of severe acute GVHD (aGVHD) and chronic GVHD (cGVHD) in haplo-HSCT, compared 10 mg/k</w:t>
      </w:r>
      <w:r w:rsidR="0052031E" w:rsidRPr="00A85BE8">
        <w:rPr>
          <w:sz w:val="24"/>
        </w:rPr>
        <w:t>g rabbit-ATG.</w:t>
      </w:r>
      <w:r w:rsidR="00A43C77" w:rsidRPr="00A85BE8">
        <w:rPr>
          <w:sz w:val="24"/>
        </w:rPr>
        <w:t xml:space="preserve"> </w:t>
      </w:r>
      <w:r w:rsidR="0052031E" w:rsidRPr="00A85BE8">
        <w:rPr>
          <w:sz w:val="24"/>
        </w:rPr>
        <w:t>Therefore, we design this</w:t>
      </w:r>
      <w:r w:rsidRPr="00A85BE8">
        <w:rPr>
          <w:sz w:val="24"/>
        </w:rPr>
        <w:t xml:space="preserve"> multicenter randomized study to evaluate the effect of 7.5 mg/kg and 10 mg/kg rabbit-ATG </w:t>
      </w:r>
      <w:r w:rsidR="0052031E" w:rsidRPr="00A85BE8">
        <w:rPr>
          <w:sz w:val="24"/>
        </w:rPr>
        <w:t xml:space="preserve">aiming at lowering </w:t>
      </w:r>
      <w:r w:rsidRPr="00A85BE8">
        <w:rPr>
          <w:sz w:val="24"/>
        </w:rPr>
        <w:t>viral infections</w:t>
      </w:r>
      <w:r w:rsidR="0052031E" w:rsidRPr="00A85BE8">
        <w:rPr>
          <w:sz w:val="24"/>
        </w:rPr>
        <w:t xml:space="preserve"> without increasing GVHD</w:t>
      </w:r>
      <w:r w:rsidRPr="00A85BE8">
        <w:rPr>
          <w:sz w:val="24"/>
        </w:rPr>
        <w:t xml:space="preserve"> in haplo-HSCT. </w:t>
      </w:r>
    </w:p>
    <w:p w:rsidR="00EB5A38" w:rsidRPr="00A85BE8" w:rsidRDefault="00E70941" w:rsidP="0090789B">
      <w:pPr>
        <w:pStyle w:val="1"/>
        <w:rPr>
          <w:sz w:val="32"/>
          <w:szCs w:val="32"/>
        </w:rPr>
      </w:pPr>
      <w:bookmarkStart w:id="6" w:name="_Toc512010110"/>
      <w:r w:rsidRPr="00A85BE8">
        <w:rPr>
          <w:sz w:val="32"/>
          <w:szCs w:val="32"/>
        </w:rPr>
        <w:t>2.</w:t>
      </w:r>
      <w:r w:rsidR="00A43C77" w:rsidRPr="00A85BE8">
        <w:rPr>
          <w:sz w:val="32"/>
          <w:szCs w:val="32"/>
        </w:rPr>
        <w:t xml:space="preserve"> </w:t>
      </w:r>
      <w:r w:rsidRPr="00A85BE8">
        <w:rPr>
          <w:sz w:val="32"/>
          <w:szCs w:val="32"/>
        </w:rPr>
        <w:t>Objectives</w:t>
      </w:r>
      <w:bookmarkEnd w:id="6"/>
    </w:p>
    <w:p w:rsidR="00EB5A38" w:rsidRPr="00A85BE8" w:rsidRDefault="007C28EA" w:rsidP="0090789B">
      <w:pPr>
        <w:pStyle w:val="2"/>
        <w:rPr>
          <w:sz w:val="28"/>
          <w:szCs w:val="28"/>
        </w:rPr>
      </w:pPr>
      <w:bookmarkStart w:id="7" w:name="_Toc512010111"/>
      <w:r w:rsidRPr="00A85BE8">
        <w:rPr>
          <w:sz w:val="28"/>
          <w:szCs w:val="28"/>
        </w:rPr>
        <w:t>2.1 Primary Objective</w:t>
      </w:r>
      <w:bookmarkEnd w:id="7"/>
    </w:p>
    <w:p w:rsidR="007C28EA" w:rsidRPr="00A85BE8" w:rsidRDefault="007C28EA" w:rsidP="0057002E">
      <w:pPr>
        <w:adjustRightInd w:val="0"/>
        <w:snapToGrid w:val="0"/>
        <w:spacing w:afterLines="50" w:after="156" w:line="360" w:lineRule="auto"/>
        <w:ind w:leftChars="100" w:left="210" w:firstLineChars="100" w:firstLine="240"/>
        <w:rPr>
          <w:sz w:val="24"/>
        </w:rPr>
      </w:pPr>
      <w:r w:rsidRPr="00A85BE8">
        <w:rPr>
          <w:sz w:val="24"/>
        </w:rPr>
        <w:t>The primary objective of this study is to compare the incidence of EBV</w:t>
      </w:r>
      <w:r w:rsidR="0016756A" w:rsidRPr="00A85BE8">
        <w:rPr>
          <w:sz w:val="24"/>
        </w:rPr>
        <w:t xml:space="preserve"> DNAemia</w:t>
      </w:r>
      <w:r w:rsidRPr="00A85BE8">
        <w:rPr>
          <w:sz w:val="24"/>
        </w:rPr>
        <w:t xml:space="preserve"> </w:t>
      </w:r>
      <w:r w:rsidR="001261BB" w:rsidRPr="00A85BE8">
        <w:rPr>
          <w:sz w:val="24"/>
        </w:rPr>
        <w:t xml:space="preserve">post-transplantation </w:t>
      </w:r>
      <w:r w:rsidRPr="00A85BE8">
        <w:rPr>
          <w:sz w:val="24"/>
        </w:rPr>
        <w:t xml:space="preserve">in patients receiving haplo-HSCT </w:t>
      </w:r>
      <w:r w:rsidR="001261BB" w:rsidRPr="00A85BE8">
        <w:rPr>
          <w:sz w:val="24"/>
        </w:rPr>
        <w:t xml:space="preserve">with </w:t>
      </w:r>
      <w:r w:rsidRPr="00A85BE8">
        <w:rPr>
          <w:sz w:val="24"/>
        </w:rPr>
        <w:t>7.5 mg and 10</w:t>
      </w:r>
      <w:r w:rsidR="00A15832" w:rsidRPr="00A85BE8">
        <w:rPr>
          <w:sz w:val="24"/>
        </w:rPr>
        <w:t>.0</w:t>
      </w:r>
      <w:r w:rsidRPr="00A85BE8">
        <w:rPr>
          <w:sz w:val="24"/>
        </w:rPr>
        <w:t xml:space="preserve"> mg ATG</w:t>
      </w:r>
      <w:r w:rsidR="001261BB" w:rsidRPr="00A85BE8">
        <w:rPr>
          <w:sz w:val="24"/>
        </w:rPr>
        <w:t xml:space="preserve"> for GVHD prophylaxis.</w:t>
      </w:r>
    </w:p>
    <w:p w:rsidR="001261BB" w:rsidRPr="00A85BE8" w:rsidRDefault="001261BB" w:rsidP="0090789B">
      <w:pPr>
        <w:pStyle w:val="2"/>
        <w:rPr>
          <w:sz w:val="28"/>
          <w:szCs w:val="28"/>
        </w:rPr>
      </w:pPr>
      <w:bookmarkStart w:id="8" w:name="_Toc512010112"/>
      <w:r w:rsidRPr="00A85BE8">
        <w:rPr>
          <w:sz w:val="28"/>
          <w:szCs w:val="28"/>
        </w:rPr>
        <w:t>2.2 Secondary Objective</w:t>
      </w:r>
      <w:bookmarkEnd w:id="8"/>
    </w:p>
    <w:p w:rsidR="00EB5A38" w:rsidRPr="00A85BE8" w:rsidRDefault="001261BB" w:rsidP="0057002E">
      <w:pPr>
        <w:adjustRightInd w:val="0"/>
        <w:snapToGrid w:val="0"/>
        <w:spacing w:afterLines="50" w:after="156" w:line="360" w:lineRule="auto"/>
        <w:ind w:leftChars="100" w:left="210" w:firstLineChars="100" w:firstLine="240"/>
        <w:rPr>
          <w:sz w:val="24"/>
        </w:rPr>
      </w:pPr>
      <w:r w:rsidRPr="00A85BE8">
        <w:rPr>
          <w:sz w:val="24"/>
        </w:rPr>
        <w:t xml:space="preserve">The secondary objective of this study is to compare the incidence of aGVHD and cGVHD, </w:t>
      </w:r>
      <w:r w:rsidR="00F5292B" w:rsidRPr="00A85BE8">
        <w:rPr>
          <w:sz w:val="24"/>
        </w:rPr>
        <w:t>E</w:t>
      </w:r>
      <w:r w:rsidRPr="00A85BE8">
        <w:rPr>
          <w:sz w:val="24"/>
        </w:rPr>
        <w:t>BV-associated diseases, CMV infections (CMV</w:t>
      </w:r>
      <w:r w:rsidR="0016756A" w:rsidRPr="00A85BE8">
        <w:rPr>
          <w:sz w:val="24"/>
        </w:rPr>
        <w:t xml:space="preserve"> DNAemia</w:t>
      </w:r>
      <w:r w:rsidRPr="00A85BE8">
        <w:rPr>
          <w:sz w:val="24"/>
        </w:rPr>
        <w:t xml:space="preserve"> and associated diseases), </w:t>
      </w:r>
      <w:r w:rsidR="001F2432" w:rsidRPr="00A85BE8">
        <w:rPr>
          <w:sz w:val="24"/>
        </w:rPr>
        <w:t xml:space="preserve"> </w:t>
      </w:r>
      <w:r w:rsidRPr="00A85BE8">
        <w:rPr>
          <w:sz w:val="24"/>
        </w:rPr>
        <w:t>relapse, survival and tolerance in patients receiving haplo-HSCT with 7.5 mg and 10</w:t>
      </w:r>
      <w:r w:rsidR="001F2432" w:rsidRPr="00A85BE8">
        <w:rPr>
          <w:sz w:val="24"/>
        </w:rPr>
        <w:t>.0</w:t>
      </w:r>
      <w:r w:rsidRPr="00A85BE8">
        <w:rPr>
          <w:sz w:val="24"/>
        </w:rPr>
        <w:t xml:space="preserve"> mg ATG </w:t>
      </w:r>
      <w:bookmarkStart w:id="9" w:name="OLE_LINK26"/>
      <w:r w:rsidRPr="00A85BE8">
        <w:rPr>
          <w:sz w:val="24"/>
        </w:rPr>
        <w:t>for GVHD prophylaxis.</w:t>
      </w:r>
      <w:bookmarkEnd w:id="9"/>
    </w:p>
    <w:p w:rsidR="00FA08CC" w:rsidRPr="00A85BE8" w:rsidRDefault="00FA08CC" w:rsidP="0090789B">
      <w:pPr>
        <w:pStyle w:val="1"/>
        <w:rPr>
          <w:sz w:val="32"/>
          <w:szCs w:val="32"/>
        </w:rPr>
      </w:pPr>
      <w:bookmarkStart w:id="10" w:name="_Toc512010113"/>
      <w:r w:rsidRPr="00A85BE8">
        <w:rPr>
          <w:sz w:val="32"/>
          <w:szCs w:val="32"/>
        </w:rPr>
        <w:t>3. Study Design</w:t>
      </w:r>
      <w:bookmarkEnd w:id="10"/>
    </w:p>
    <w:p w:rsidR="00FA08CC" w:rsidRPr="00A85BE8" w:rsidRDefault="00FA08CC" w:rsidP="0057002E">
      <w:pPr>
        <w:adjustRightInd w:val="0"/>
        <w:snapToGrid w:val="0"/>
        <w:spacing w:afterLines="50" w:after="156" w:line="360" w:lineRule="auto"/>
        <w:ind w:firstLineChars="100" w:firstLine="240"/>
        <w:rPr>
          <w:sz w:val="24"/>
        </w:rPr>
      </w:pPr>
      <w:r w:rsidRPr="00A85BE8">
        <w:rPr>
          <w:sz w:val="24"/>
        </w:rPr>
        <w:t>This is a prospective, multi-center, controlled, open-label, randomized (1:1) phase Ⅳ study of</w:t>
      </w:r>
      <w:r w:rsidR="00851A92" w:rsidRPr="00A85BE8">
        <w:rPr>
          <w:sz w:val="24"/>
        </w:rPr>
        <w:t xml:space="preserve"> </w:t>
      </w:r>
      <w:r w:rsidR="00855452" w:rsidRPr="00A85BE8">
        <w:rPr>
          <w:sz w:val="24"/>
        </w:rPr>
        <w:t xml:space="preserve">comparison of </w:t>
      </w:r>
      <w:r w:rsidR="00851A92" w:rsidRPr="00A85BE8">
        <w:rPr>
          <w:sz w:val="24"/>
        </w:rPr>
        <w:t xml:space="preserve">different dosages ATG </w:t>
      </w:r>
      <w:r w:rsidR="00BA64B7" w:rsidRPr="00A85BE8">
        <w:rPr>
          <w:sz w:val="24"/>
        </w:rPr>
        <w:t xml:space="preserve">for GVHD prophylaxis. </w:t>
      </w:r>
      <w:r w:rsidR="00783010" w:rsidRPr="00A85BE8">
        <w:rPr>
          <w:sz w:val="24"/>
        </w:rPr>
        <w:t xml:space="preserve">(7.5 mg/kg vs. </w:t>
      </w:r>
      <w:r w:rsidR="00851A92" w:rsidRPr="00A85BE8">
        <w:rPr>
          <w:sz w:val="24"/>
        </w:rPr>
        <w:t>10.0 mg/kg)</w:t>
      </w:r>
      <w:r w:rsidR="00BA64B7" w:rsidRPr="00A85BE8">
        <w:rPr>
          <w:sz w:val="24"/>
        </w:rPr>
        <w:t xml:space="preserve"> </w:t>
      </w:r>
      <w:r w:rsidRPr="00A85BE8">
        <w:rPr>
          <w:sz w:val="24"/>
        </w:rPr>
        <w:t xml:space="preserve">in </w:t>
      </w:r>
      <w:r w:rsidR="00855452" w:rsidRPr="00A85BE8">
        <w:rPr>
          <w:sz w:val="24"/>
        </w:rPr>
        <w:t>patients receiving haplo-HSCT</w:t>
      </w:r>
    </w:p>
    <w:p w:rsidR="00FA08CC" w:rsidRPr="00A85BE8" w:rsidRDefault="00714652" w:rsidP="00352648">
      <w:pPr>
        <w:adjustRightInd w:val="0"/>
        <w:snapToGrid w:val="0"/>
        <w:spacing w:afterLines="50" w:after="156" w:line="360" w:lineRule="auto"/>
        <w:ind w:firstLineChars="100" w:firstLine="240"/>
        <w:rPr>
          <w:sz w:val="24"/>
        </w:rPr>
      </w:pPr>
      <w:r w:rsidRPr="00A85BE8">
        <w:rPr>
          <w:sz w:val="24"/>
        </w:rPr>
        <w:t>Screening</w:t>
      </w:r>
      <w:r w:rsidR="004A2F2E" w:rsidRPr="00A85BE8">
        <w:rPr>
          <w:sz w:val="24"/>
        </w:rPr>
        <w:t>:</w:t>
      </w:r>
    </w:p>
    <w:p w:rsidR="006E4407" w:rsidRPr="00A85BE8" w:rsidRDefault="005271A9" w:rsidP="00352648">
      <w:pPr>
        <w:adjustRightInd w:val="0"/>
        <w:snapToGrid w:val="0"/>
        <w:spacing w:afterLines="50" w:after="156" w:line="360" w:lineRule="auto"/>
        <w:ind w:firstLineChars="100" w:firstLine="240"/>
        <w:rPr>
          <w:sz w:val="24"/>
        </w:rPr>
      </w:pPr>
      <w:r w:rsidRPr="00A85BE8">
        <w:rPr>
          <w:sz w:val="24"/>
        </w:rPr>
        <w:t xml:space="preserve">The subjects or their legally acceptable representative will provide written informed consent. EBV and CMV antibody will be performed </w:t>
      </w:r>
      <w:r w:rsidR="00937C19" w:rsidRPr="00A85BE8">
        <w:rPr>
          <w:sz w:val="24"/>
        </w:rPr>
        <w:t xml:space="preserve">in </w:t>
      </w:r>
      <w:bookmarkStart w:id="11" w:name="OLE_LINK27"/>
      <w:r w:rsidR="00937C19" w:rsidRPr="00A85BE8">
        <w:rPr>
          <w:sz w:val="24"/>
        </w:rPr>
        <w:t>all the haplo-HSCT recipients</w:t>
      </w:r>
      <w:bookmarkEnd w:id="11"/>
      <w:r w:rsidR="00937C19" w:rsidRPr="00A85BE8">
        <w:rPr>
          <w:sz w:val="24"/>
        </w:rPr>
        <w:t xml:space="preserve"> and donors before transplantation. EBV and CMV-DNA was tested in </w:t>
      </w:r>
      <w:r w:rsidR="006E4407" w:rsidRPr="00A85BE8">
        <w:rPr>
          <w:sz w:val="24"/>
        </w:rPr>
        <w:t>all the recipients</w:t>
      </w:r>
      <w:r w:rsidR="00F7059C" w:rsidRPr="00A85BE8">
        <w:rPr>
          <w:sz w:val="24"/>
        </w:rPr>
        <w:t xml:space="preserve"> and donors</w:t>
      </w:r>
      <w:r w:rsidR="006E4407" w:rsidRPr="00A85BE8">
        <w:rPr>
          <w:sz w:val="24"/>
        </w:rPr>
        <w:t>.</w:t>
      </w:r>
    </w:p>
    <w:p w:rsidR="005271A9" w:rsidRPr="00A85BE8" w:rsidRDefault="005271A9" w:rsidP="00352648">
      <w:pPr>
        <w:adjustRightInd w:val="0"/>
        <w:snapToGrid w:val="0"/>
        <w:spacing w:afterLines="50" w:after="156" w:line="360" w:lineRule="auto"/>
        <w:ind w:firstLineChars="100" w:firstLine="240"/>
        <w:rPr>
          <w:sz w:val="24"/>
        </w:rPr>
      </w:pPr>
      <w:r w:rsidRPr="00A85BE8">
        <w:rPr>
          <w:sz w:val="24"/>
        </w:rPr>
        <w:t>Treatment:</w:t>
      </w:r>
    </w:p>
    <w:p w:rsidR="005271A9" w:rsidRPr="00A85BE8" w:rsidRDefault="005271A9" w:rsidP="00352648">
      <w:pPr>
        <w:adjustRightInd w:val="0"/>
        <w:snapToGrid w:val="0"/>
        <w:spacing w:afterLines="50" w:after="156" w:line="360" w:lineRule="auto"/>
        <w:ind w:firstLineChars="100" w:firstLine="240"/>
        <w:rPr>
          <w:sz w:val="24"/>
        </w:rPr>
      </w:pPr>
      <w:r w:rsidRPr="00A85BE8">
        <w:rPr>
          <w:sz w:val="24"/>
        </w:rPr>
        <w:t xml:space="preserve">Based on their assignment, subjects will receive </w:t>
      </w:r>
      <w:r w:rsidR="00260C7E" w:rsidRPr="00A85BE8">
        <w:rPr>
          <w:sz w:val="24"/>
        </w:rPr>
        <w:t>7.5 mg ATG (2.5mg/kg/day from days -3 to -1 before transplantation)</w:t>
      </w:r>
      <w:r w:rsidRPr="00A85BE8">
        <w:rPr>
          <w:sz w:val="24"/>
        </w:rPr>
        <w:t xml:space="preserve"> or</w:t>
      </w:r>
      <w:r w:rsidR="00260C7E" w:rsidRPr="00A85BE8">
        <w:rPr>
          <w:sz w:val="24"/>
        </w:rPr>
        <w:t xml:space="preserve"> 10.0 mg ATG (2.5mg/kg/day from days -4 to -1 before transplantation).</w:t>
      </w:r>
    </w:p>
    <w:p w:rsidR="008107BB" w:rsidRPr="00A85BE8" w:rsidRDefault="008107BB" w:rsidP="0090789B">
      <w:pPr>
        <w:pStyle w:val="1"/>
        <w:rPr>
          <w:sz w:val="32"/>
          <w:szCs w:val="32"/>
        </w:rPr>
      </w:pPr>
      <w:bookmarkStart w:id="12" w:name="_Toc512010114"/>
      <w:r w:rsidRPr="00A85BE8">
        <w:rPr>
          <w:sz w:val="32"/>
          <w:szCs w:val="32"/>
        </w:rPr>
        <w:t>4. Subject Selection Criteria</w:t>
      </w:r>
      <w:bookmarkEnd w:id="12"/>
    </w:p>
    <w:p w:rsidR="008107BB" w:rsidRPr="00A85BE8" w:rsidRDefault="008107BB" w:rsidP="00311CE2">
      <w:pPr>
        <w:pStyle w:val="2"/>
        <w:rPr>
          <w:sz w:val="28"/>
          <w:szCs w:val="28"/>
        </w:rPr>
      </w:pPr>
      <w:bookmarkStart w:id="13" w:name="_Toc512010115"/>
      <w:r w:rsidRPr="00A85BE8">
        <w:rPr>
          <w:sz w:val="28"/>
          <w:szCs w:val="28"/>
        </w:rPr>
        <w:t>4.1 Subject Selection Criteria</w:t>
      </w:r>
      <w:bookmarkEnd w:id="13"/>
    </w:p>
    <w:p w:rsidR="008107BB" w:rsidRPr="00A85BE8" w:rsidRDefault="008107BB" w:rsidP="00311CE2">
      <w:pPr>
        <w:pStyle w:val="3"/>
        <w:rPr>
          <w:sz w:val="24"/>
          <w:szCs w:val="24"/>
        </w:rPr>
      </w:pPr>
      <w:bookmarkStart w:id="14" w:name="_Toc512010116"/>
      <w:r w:rsidRPr="00A85BE8">
        <w:rPr>
          <w:sz w:val="24"/>
          <w:szCs w:val="24"/>
        </w:rPr>
        <w:t>4.1.1 Number of Subjects</w:t>
      </w:r>
      <w:bookmarkEnd w:id="14"/>
    </w:p>
    <w:p w:rsidR="008107BB" w:rsidRPr="00A85BE8" w:rsidRDefault="00A95381" w:rsidP="0057002E">
      <w:pPr>
        <w:adjustRightInd w:val="0"/>
        <w:snapToGrid w:val="0"/>
        <w:spacing w:afterLines="50" w:after="156" w:line="360" w:lineRule="auto"/>
        <w:rPr>
          <w:sz w:val="24"/>
        </w:rPr>
      </w:pPr>
      <w:r w:rsidRPr="00A85BE8">
        <w:rPr>
          <w:sz w:val="24"/>
        </w:rPr>
        <w:t xml:space="preserve">     A total of 412 subjects will be randomized to 7.5 mg group or 10.0 mg ATG group.</w:t>
      </w:r>
    </w:p>
    <w:p w:rsidR="009E5B7D" w:rsidRPr="00A85BE8" w:rsidRDefault="009E5B7D" w:rsidP="001F6F17">
      <w:pPr>
        <w:pStyle w:val="3"/>
        <w:rPr>
          <w:sz w:val="24"/>
          <w:szCs w:val="24"/>
        </w:rPr>
      </w:pPr>
      <w:bookmarkStart w:id="15" w:name="_Toc512010117"/>
      <w:r w:rsidRPr="00A85BE8">
        <w:rPr>
          <w:sz w:val="24"/>
          <w:szCs w:val="24"/>
        </w:rPr>
        <w:t>4.1.2 Inclusion Criteria</w:t>
      </w:r>
      <w:bookmarkEnd w:id="15"/>
    </w:p>
    <w:p w:rsidR="009E5B7D" w:rsidRPr="00A85BE8" w:rsidRDefault="009E5B7D" w:rsidP="0057002E">
      <w:pPr>
        <w:adjustRightInd w:val="0"/>
        <w:snapToGrid w:val="0"/>
        <w:spacing w:afterLines="50" w:after="156" w:line="360" w:lineRule="auto"/>
        <w:rPr>
          <w:sz w:val="24"/>
        </w:rPr>
      </w:pPr>
      <w:r w:rsidRPr="00A85BE8">
        <w:rPr>
          <w:sz w:val="24"/>
        </w:rPr>
        <w:t xml:space="preserve">     </w:t>
      </w:r>
      <w:r w:rsidR="00011FC6" w:rsidRPr="00A85BE8">
        <w:rPr>
          <w:sz w:val="24"/>
        </w:rPr>
        <w:t>The</w:t>
      </w:r>
      <w:r w:rsidRPr="00A85BE8">
        <w:rPr>
          <w:sz w:val="24"/>
        </w:rPr>
        <w:t xml:space="preserve"> </w:t>
      </w:r>
      <w:r w:rsidR="00801BD6" w:rsidRPr="00A85BE8">
        <w:rPr>
          <w:sz w:val="24"/>
        </w:rPr>
        <w:t>subjects</w:t>
      </w:r>
      <w:r w:rsidRPr="00A85BE8">
        <w:rPr>
          <w:sz w:val="24"/>
        </w:rPr>
        <w:t xml:space="preserve"> must meet the following criteria to be eligible for study entry:</w:t>
      </w:r>
    </w:p>
    <w:p w:rsidR="009E5B7D" w:rsidRPr="00A85BE8" w:rsidRDefault="009E5B7D" w:rsidP="0057002E">
      <w:pPr>
        <w:pStyle w:val="a7"/>
        <w:numPr>
          <w:ilvl w:val="0"/>
          <w:numId w:val="27"/>
        </w:numPr>
        <w:adjustRightInd w:val="0"/>
        <w:snapToGrid w:val="0"/>
        <w:spacing w:afterLines="50" w:after="156" w:line="360" w:lineRule="auto"/>
        <w:ind w:firstLineChars="0"/>
        <w:rPr>
          <w:sz w:val="24"/>
        </w:rPr>
      </w:pPr>
      <w:r w:rsidRPr="00A85BE8">
        <w:rPr>
          <w:sz w:val="24"/>
        </w:rPr>
        <w:t>Signed Informed Consent Form</w:t>
      </w:r>
    </w:p>
    <w:p w:rsidR="009E5B7D" w:rsidRPr="00A85BE8" w:rsidRDefault="009E5B7D" w:rsidP="0057002E">
      <w:pPr>
        <w:pStyle w:val="a7"/>
        <w:numPr>
          <w:ilvl w:val="0"/>
          <w:numId w:val="27"/>
        </w:numPr>
        <w:adjustRightInd w:val="0"/>
        <w:snapToGrid w:val="0"/>
        <w:spacing w:afterLines="50" w:after="156" w:line="360" w:lineRule="auto"/>
        <w:ind w:firstLineChars="0"/>
        <w:rPr>
          <w:sz w:val="24"/>
        </w:rPr>
      </w:pPr>
      <w:r w:rsidRPr="00A85BE8">
        <w:rPr>
          <w:sz w:val="24"/>
        </w:rPr>
        <w:t>Age≥1</w:t>
      </w:r>
      <w:r w:rsidR="00801BD6" w:rsidRPr="00A85BE8">
        <w:rPr>
          <w:sz w:val="24"/>
        </w:rPr>
        <w:t>4</w:t>
      </w:r>
      <w:r w:rsidRPr="00A85BE8">
        <w:rPr>
          <w:sz w:val="24"/>
        </w:rPr>
        <w:t xml:space="preserve"> years old and ≤6</w:t>
      </w:r>
      <w:r w:rsidR="00801BD6" w:rsidRPr="00A85BE8">
        <w:rPr>
          <w:sz w:val="24"/>
        </w:rPr>
        <w:t>5</w:t>
      </w:r>
      <w:r w:rsidRPr="00A85BE8">
        <w:rPr>
          <w:sz w:val="24"/>
        </w:rPr>
        <w:t xml:space="preserve"> years</w:t>
      </w:r>
    </w:p>
    <w:p w:rsidR="009E5B7D" w:rsidRPr="00A85BE8" w:rsidRDefault="009E5B7D" w:rsidP="0057002E">
      <w:pPr>
        <w:pStyle w:val="a7"/>
        <w:numPr>
          <w:ilvl w:val="0"/>
          <w:numId w:val="27"/>
        </w:numPr>
        <w:adjustRightInd w:val="0"/>
        <w:snapToGrid w:val="0"/>
        <w:spacing w:afterLines="50" w:after="156" w:line="360" w:lineRule="auto"/>
        <w:ind w:firstLineChars="0"/>
        <w:rPr>
          <w:sz w:val="24"/>
        </w:rPr>
      </w:pPr>
      <w:r w:rsidRPr="00A85BE8">
        <w:rPr>
          <w:sz w:val="24"/>
        </w:rPr>
        <w:t xml:space="preserve">Patients with acute leukemia </w:t>
      </w:r>
    </w:p>
    <w:p w:rsidR="009E5B7D" w:rsidRPr="00A85BE8" w:rsidRDefault="009E5B7D" w:rsidP="0057002E">
      <w:pPr>
        <w:pStyle w:val="a7"/>
        <w:numPr>
          <w:ilvl w:val="0"/>
          <w:numId w:val="27"/>
        </w:numPr>
        <w:adjustRightInd w:val="0"/>
        <w:snapToGrid w:val="0"/>
        <w:spacing w:afterLines="50" w:after="156" w:line="360" w:lineRule="auto"/>
        <w:ind w:firstLineChars="0"/>
        <w:rPr>
          <w:sz w:val="24"/>
        </w:rPr>
      </w:pPr>
      <w:r w:rsidRPr="00A85BE8">
        <w:rPr>
          <w:sz w:val="24"/>
        </w:rPr>
        <w:t>Ability to comply with study and follow-up procedures</w:t>
      </w:r>
    </w:p>
    <w:p w:rsidR="009E5B7D" w:rsidRPr="00A85BE8" w:rsidRDefault="005B2C9F" w:rsidP="001F6F17">
      <w:pPr>
        <w:pStyle w:val="3"/>
        <w:rPr>
          <w:sz w:val="24"/>
          <w:szCs w:val="24"/>
        </w:rPr>
      </w:pPr>
      <w:bookmarkStart w:id="16" w:name="_Toc512010118"/>
      <w:r w:rsidRPr="00A85BE8">
        <w:rPr>
          <w:sz w:val="24"/>
          <w:szCs w:val="24"/>
        </w:rPr>
        <w:t>4.1.3 Exclusion Criteria</w:t>
      </w:r>
      <w:bookmarkEnd w:id="16"/>
    </w:p>
    <w:p w:rsidR="000D744A" w:rsidRPr="00A85BE8" w:rsidRDefault="009041BA" w:rsidP="0057002E">
      <w:pPr>
        <w:pStyle w:val="a7"/>
        <w:numPr>
          <w:ilvl w:val="0"/>
          <w:numId w:val="28"/>
        </w:numPr>
        <w:adjustRightInd w:val="0"/>
        <w:snapToGrid w:val="0"/>
        <w:spacing w:afterLines="50" w:after="156" w:line="360" w:lineRule="auto"/>
        <w:ind w:firstLineChars="0"/>
        <w:rPr>
          <w:sz w:val="24"/>
        </w:rPr>
      </w:pPr>
      <w:r w:rsidRPr="00A85BE8">
        <w:rPr>
          <w:sz w:val="24"/>
        </w:rPr>
        <w:t>C</w:t>
      </w:r>
      <w:r w:rsidR="000D744A" w:rsidRPr="00A85BE8">
        <w:rPr>
          <w:sz w:val="24"/>
        </w:rPr>
        <w:t>ardiac dysfunction (particularly congestive heart failure</w:t>
      </w:r>
      <w:r w:rsidR="004E4F8F" w:rsidRPr="00A85BE8">
        <w:rPr>
          <w:sz w:val="24"/>
        </w:rPr>
        <w:t>, ejection fraction &lt;50%</w:t>
      </w:r>
      <w:r w:rsidR="000D744A" w:rsidRPr="00A85BE8">
        <w:rPr>
          <w:sz w:val="24"/>
        </w:rPr>
        <w:t>)</w:t>
      </w:r>
    </w:p>
    <w:p w:rsidR="004E4F8F" w:rsidRPr="00A85BE8" w:rsidRDefault="009041BA" w:rsidP="0057002E">
      <w:pPr>
        <w:numPr>
          <w:ilvl w:val="0"/>
          <w:numId w:val="28"/>
        </w:numPr>
        <w:adjustRightInd w:val="0"/>
        <w:snapToGrid w:val="0"/>
        <w:spacing w:line="360" w:lineRule="auto"/>
        <w:rPr>
          <w:sz w:val="24"/>
        </w:rPr>
      </w:pPr>
      <w:r w:rsidRPr="00A85BE8">
        <w:rPr>
          <w:sz w:val="24"/>
        </w:rPr>
        <w:t>R</w:t>
      </w:r>
      <w:r w:rsidR="004E4F8F" w:rsidRPr="00A85BE8">
        <w:rPr>
          <w:sz w:val="24"/>
        </w:rPr>
        <w:t>espiratory failure ( PaO</w:t>
      </w:r>
      <w:r w:rsidR="004E4F8F" w:rsidRPr="00A85BE8">
        <w:rPr>
          <w:sz w:val="24"/>
          <w:vertAlign w:val="subscript"/>
        </w:rPr>
        <w:t>2</w:t>
      </w:r>
      <w:r w:rsidR="004E4F8F" w:rsidRPr="00A85BE8">
        <w:rPr>
          <w:sz w:val="24"/>
        </w:rPr>
        <w:t xml:space="preserve"> ≤60mmHg)</w:t>
      </w:r>
    </w:p>
    <w:p w:rsidR="006D7873" w:rsidRPr="00A85BE8" w:rsidRDefault="009041BA" w:rsidP="0057002E">
      <w:pPr>
        <w:pStyle w:val="a7"/>
        <w:numPr>
          <w:ilvl w:val="0"/>
          <w:numId w:val="28"/>
        </w:numPr>
        <w:adjustRightInd w:val="0"/>
        <w:snapToGrid w:val="0"/>
        <w:spacing w:afterLines="50" w:after="156" w:line="360" w:lineRule="auto"/>
        <w:ind w:firstLineChars="0"/>
        <w:rPr>
          <w:sz w:val="24"/>
        </w:rPr>
      </w:pPr>
      <w:r w:rsidRPr="00A85BE8">
        <w:rPr>
          <w:sz w:val="24"/>
        </w:rPr>
        <w:t>H</w:t>
      </w:r>
      <w:r w:rsidR="000D744A" w:rsidRPr="00A85BE8">
        <w:rPr>
          <w:sz w:val="24"/>
        </w:rPr>
        <w:t>epatic abnormalities (bilirubin ≥3 mg/dL, aminotransferase &gt;5 t</w:t>
      </w:r>
      <w:r w:rsidR="006D7873" w:rsidRPr="00A85BE8">
        <w:rPr>
          <w:sz w:val="24"/>
        </w:rPr>
        <w:t>imes the upper limit of normal)</w:t>
      </w:r>
    </w:p>
    <w:p w:rsidR="000D744A" w:rsidRPr="00A85BE8" w:rsidRDefault="009041BA" w:rsidP="0057002E">
      <w:pPr>
        <w:pStyle w:val="a7"/>
        <w:numPr>
          <w:ilvl w:val="0"/>
          <w:numId w:val="28"/>
        </w:numPr>
        <w:adjustRightInd w:val="0"/>
        <w:snapToGrid w:val="0"/>
        <w:spacing w:afterLines="50" w:after="156" w:line="360" w:lineRule="auto"/>
        <w:ind w:firstLineChars="0"/>
        <w:rPr>
          <w:sz w:val="24"/>
        </w:rPr>
      </w:pPr>
      <w:r w:rsidRPr="00A85BE8">
        <w:rPr>
          <w:sz w:val="24"/>
        </w:rPr>
        <w:t>R</w:t>
      </w:r>
      <w:r w:rsidR="000D744A" w:rsidRPr="00A85BE8">
        <w:rPr>
          <w:sz w:val="24"/>
        </w:rPr>
        <w:t>enal dysfunction (creatini</w:t>
      </w:r>
      <w:r w:rsidR="00CD6E75" w:rsidRPr="00A85BE8">
        <w:rPr>
          <w:sz w:val="24"/>
        </w:rPr>
        <w:t>ne clearance rate &lt; 30 mL/min)</w:t>
      </w:r>
    </w:p>
    <w:p w:rsidR="000D744A" w:rsidRPr="00A85BE8" w:rsidRDefault="000D744A" w:rsidP="0057002E">
      <w:pPr>
        <w:pStyle w:val="a7"/>
        <w:numPr>
          <w:ilvl w:val="0"/>
          <w:numId w:val="28"/>
        </w:numPr>
        <w:adjustRightInd w:val="0"/>
        <w:snapToGrid w:val="0"/>
        <w:spacing w:afterLines="50" w:after="156" w:line="360" w:lineRule="auto"/>
        <w:ind w:firstLineChars="0"/>
        <w:rPr>
          <w:sz w:val="24"/>
        </w:rPr>
      </w:pPr>
      <w:r w:rsidRPr="00A85BE8">
        <w:rPr>
          <w:sz w:val="24"/>
        </w:rPr>
        <w:t>ECOG performance status score 3 to 5</w:t>
      </w:r>
    </w:p>
    <w:p w:rsidR="004E4F8F" w:rsidRPr="00A85BE8" w:rsidRDefault="009041BA" w:rsidP="0057002E">
      <w:pPr>
        <w:pStyle w:val="a7"/>
        <w:numPr>
          <w:ilvl w:val="0"/>
          <w:numId w:val="28"/>
        </w:numPr>
        <w:adjustRightInd w:val="0"/>
        <w:snapToGrid w:val="0"/>
        <w:spacing w:afterLines="50" w:after="156" w:line="360" w:lineRule="auto"/>
        <w:ind w:firstLineChars="0"/>
        <w:rPr>
          <w:sz w:val="24"/>
        </w:rPr>
      </w:pPr>
      <w:r w:rsidRPr="00A85BE8">
        <w:rPr>
          <w:sz w:val="24"/>
        </w:rPr>
        <w:t>U</w:t>
      </w:r>
      <w:r w:rsidR="004E4F8F" w:rsidRPr="00A85BE8">
        <w:rPr>
          <w:sz w:val="24"/>
        </w:rPr>
        <w:t xml:space="preserve">ncontrolled infection </w:t>
      </w:r>
    </w:p>
    <w:p w:rsidR="000D744A" w:rsidRPr="00A85BE8" w:rsidRDefault="009041BA" w:rsidP="0057002E">
      <w:pPr>
        <w:pStyle w:val="a7"/>
        <w:numPr>
          <w:ilvl w:val="0"/>
          <w:numId w:val="28"/>
        </w:numPr>
        <w:adjustRightInd w:val="0"/>
        <w:snapToGrid w:val="0"/>
        <w:spacing w:afterLines="50" w:after="156" w:line="360" w:lineRule="auto"/>
        <w:ind w:firstLineChars="0"/>
        <w:rPr>
          <w:sz w:val="24"/>
        </w:rPr>
      </w:pPr>
      <w:r w:rsidRPr="00A85BE8">
        <w:rPr>
          <w:sz w:val="24"/>
        </w:rPr>
        <w:t>A</w:t>
      </w:r>
      <w:r w:rsidR="000D744A" w:rsidRPr="00A85BE8">
        <w:rPr>
          <w:sz w:val="24"/>
        </w:rPr>
        <w:t xml:space="preserve"> history of</w:t>
      </w:r>
      <w:r w:rsidR="00CD6E75" w:rsidRPr="00A85BE8">
        <w:rPr>
          <w:sz w:val="24"/>
        </w:rPr>
        <w:t xml:space="preserve"> anaphylaxis attributed to ATG</w:t>
      </w:r>
    </w:p>
    <w:p w:rsidR="007D64AD" w:rsidRPr="00A85BE8" w:rsidRDefault="000D744A" w:rsidP="0057002E">
      <w:pPr>
        <w:pStyle w:val="a7"/>
        <w:numPr>
          <w:ilvl w:val="0"/>
          <w:numId w:val="28"/>
        </w:numPr>
        <w:adjustRightInd w:val="0"/>
        <w:snapToGrid w:val="0"/>
        <w:spacing w:afterLines="50" w:after="156" w:line="360" w:lineRule="auto"/>
        <w:ind w:firstLineChars="0"/>
        <w:rPr>
          <w:sz w:val="24"/>
        </w:rPr>
      </w:pPr>
      <w:r w:rsidRPr="00A85BE8">
        <w:rPr>
          <w:sz w:val="24"/>
        </w:rPr>
        <w:t>Subjects who have CMV- and EBV</w:t>
      </w:r>
      <w:r w:rsidR="0016756A" w:rsidRPr="00A85BE8">
        <w:rPr>
          <w:sz w:val="24"/>
        </w:rPr>
        <w:t xml:space="preserve"> DNAemia</w:t>
      </w:r>
      <w:r w:rsidRPr="00A85BE8">
        <w:rPr>
          <w:sz w:val="24"/>
        </w:rPr>
        <w:t xml:space="preserve"> or CMV and EBV associated diseases at transplantation</w:t>
      </w:r>
    </w:p>
    <w:p w:rsidR="005B2C9F" w:rsidRPr="00A85BE8" w:rsidRDefault="007D64AD" w:rsidP="0057002E">
      <w:pPr>
        <w:pStyle w:val="a7"/>
        <w:numPr>
          <w:ilvl w:val="0"/>
          <w:numId w:val="28"/>
        </w:numPr>
        <w:adjustRightInd w:val="0"/>
        <w:snapToGrid w:val="0"/>
        <w:spacing w:afterLines="50" w:after="156" w:line="360" w:lineRule="auto"/>
        <w:ind w:firstLineChars="0"/>
        <w:rPr>
          <w:sz w:val="24"/>
        </w:rPr>
      </w:pPr>
      <w:r w:rsidRPr="00A85BE8">
        <w:rPr>
          <w:sz w:val="24"/>
        </w:rPr>
        <w:t>Subjects of whom the donor have CMV- and EBV</w:t>
      </w:r>
      <w:r w:rsidR="0016756A" w:rsidRPr="00A85BE8">
        <w:rPr>
          <w:sz w:val="24"/>
        </w:rPr>
        <w:t xml:space="preserve"> DNAemia</w:t>
      </w:r>
      <w:r w:rsidRPr="00A85BE8">
        <w:rPr>
          <w:sz w:val="24"/>
        </w:rPr>
        <w:t xml:space="preserve"> at transplantation</w:t>
      </w:r>
    </w:p>
    <w:p w:rsidR="00FA0CEF" w:rsidRPr="00A85BE8" w:rsidRDefault="00FA0CEF" w:rsidP="001F6F17">
      <w:pPr>
        <w:pStyle w:val="2"/>
        <w:rPr>
          <w:sz w:val="28"/>
          <w:szCs w:val="28"/>
        </w:rPr>
      </w:pPr>
      <w:bookmarkStart w:id="17" w:name="_Toc512010119"/>
      <w:r w:rsidRPr="00A85BE8">
        <w:rPr>
          <w:sz w:val="28"/>
          <w:szCs w:val="28"/>
        </w:rPr>
        <w:t>4.2. Removal Criteria</w:t>
      </w:r>
      <w:bookmarkEnd w:id="17"/>
    </w:p>
    <w:p w:rsidR="00FA0CEF" w:rsidRPr="00A85BE8" w:rsidRDefault="00FA0CEF" w:rsidP="0057002E">
      <w:pPr>
        <w:adjustRightInd w:val="0"/>
        <w:snapToGrid w:val="0"/>
        <w:spacing w:afterLines="50" w:after="156" w:line="360" w:lineRule="auto"/>
        <w:ind w:firstLineChars="200" w:firstLine="480"/>
        <w:rPr>
          <w:sz w:val="24"/>
        </w:rPr>
      </w:pPr>
      <w:r w:rsidRPr="00A85BE8">
        <w:rPr>
          <w:sz w:val="24"/>
        </w:rPr>
        <w:t>Subjects who have participated in the study will be removed from statistical analysis for any of the following:</w:t>
      </w:r>
    </w:p>
    <w:p w:rsidR="00FA0CEF" w:rsidRPr="00A85BE8" w:rsidRDefault="00FA0CEF" w:rsidP="0057002E">
      <w:pPr>
        <w:adjustRightInd w:val="0"/>
        <w:snapToGrid w:val="0"/>
        <w:spacing w:afterLines="50" w:after="156" w:line="360" w:lineRule="auto"/>
        <w:ind w:leftChars="100" w:left="210" w:firstLineChars="200" w:firstLine="480"/>
        <w:rPr>
          <w:sz w:val="24"/>
        </w:rPr>
      </w:pPr>
      <w:r w:rsidRPr="00A85BE8">
        <w:rPr>
          <w:sz w:val="24"/>
        </w:rPr>
        <w:t>1. Subjects who are ineligible for this study</w:t>
      </w:r>
    </w:p>
    <w:p w:rsidR="00FA0CEF" w:rsidRPr="00A85BE8" w:rsidRDefault="00FA0CEF" w:rsidP="0057002E">
      <w:pPr>
        <w:adjustRightInd w:val="0"/>
        <w:snapToGrid w:val="0"/>
        <w:spacing w:afterLines="50" w:after="156" w:line="360" w:lineRule="auto"/>
        <w:ind w:leftChars="100" w:left="210" w:firstLineChars="200" w:firstLine="480"/>
        <w:rPr>
          <w:sz w:val="24"/>
        </w:rPr>
      </w:pPr>
      <w:r w:rsidRPr="00A85BE8">
        <w:rPr>
          <w:sz w:val="24"/>
        </w:rPr>
        <w:t>2. Deviation(s) from the protocol</w:t>
      </w:r>
    </w:p>
    <w:p w:rsidR="00FA0CEF" w:rsidRPr="00A85BE8" w:rsidRDefault="00FA0CEF" w:rsidP="001F6F17">
      <w:pPr>
        <w:pStyle w:val="2"/>
        <w:rPr>
          <w:sz w:val="28"/>
          <w:szCs w:val="28"/>
        </w:rPr>
      </w:pPr>
      <w:bookmarkStart w:id="18" w:name="_Toc512010120"/>
      <w:r w:rsidRPr="00A85BE8">
        <w:rPr>
          <w:sz w:val="28"/>
          <w:szCs w:val="28"/>
        </w:rPr>
        <w:t>4.3. Withdrawal Criteria</w:t>
      </w:r>
      <w:bookmarkEnd w:id="18"/>
    </w:p>
    <w:p w:rsidR="00FA0CEF" w:rsidRPr="00A85BE8" w:rsidRDefault="00FA0CEF" w:rsidP="0057002E">
      <w:pPr>
        <w:adjustRightInd w:val="0"/>
        <w:snapToGrid w:val="0"/>
        <w:spacing w:afterLines="50" w:after="156" w:line="360" w:lineRule="auto"/>
        <w:ind w:firstLineChars="200" w:firstLine="480"/>
        <w:rPr>
          <w:sz w:val="24"/>
        </w:rPr>
      </w:pPr>
      <w:r w:rsidRPr="00A85BE8">
        <w:rPr>
          <w:sz w:val="24"/>
        </w:rPr>
        <w:t xml:space="preserve">Subjects </w:t>
      </w:r>
      <w:r w:rsidR="008F0101" w:rsidRPr="00A85BE8">
        <w:rPr>
          <w:sz w:val="24"/>
        </w:rPr>
        <w:t xml:space="preserve">will be withdrawn from study </w:t>
      </w:r>
      <w:r w:rsidRPr="00A85BE8">
        <w:rPr>
          <w:sz w:val="24"/>
        </w:rPr>
        <w:t>treatment for any of the following:</w:t>
      </w:r>
    </w:p>
    <w:p w:rsidR="00FA0CEF" w:rsidRPr="00A85BE8" w:rsidRDefault="00FA0CEF" w:rsidP="0057002E">
      <w:pPr>
        <w:adjustRightInd w:val="0"/>
        <w:snapToGrid w:val="0"/>
        <w:spacing w:afterLines="50" w:after="156" w:line="360" w:lineRule="auto"/>
        <w:ind w:leftChars="400" w:left="840"/>
        <w:rPr>
          <w:sz w:val="24"/>
        </w:rPr>
      </w:pPr>
      <w:r w:rsidRPr="00A85BE8">
        <w:rPr>
          <w:sz w:val="24"/>
        </w:rPr>
        <w:t>1. Inability to fully comply with the study protocol</w:t>
      </w:r>
    </w:p>
    <w:p w:rsidR="00FA0CEF" w:rsidRPr="00A85BE8" w:rsidRDefault="00FA0CEF" w:rsidP="0057002E">
      <w:pPr>
        <w:adjustRightInd w:val="0"/>
        <w:snapToGrid w:val="0"/>
        <w:spacing w:afterLines="50" w:after="156" w:line="360" w:lineRule="auto"/>
        <w:ind w:leftChars="400" w:left="840"/>
        <w:rPr>
          <w:sz w:val="24"/>
        </w:rPr>
      </w:pPr>
      <w:r w:rsidRPr="00A85BE8">
        <w:rPr>
          <w:sz w:val="24"/>
        </w:rPr>
        <w:t>2.</w:t>
      </w:r>
      <w:r w:rsidR="004E04DF" w:rsidRPr="00A85BE8">
        <w:rPr>
          <w:sz w:val="24"/>
        </w:rPr>
        <w:t xml:space="preserve"> </w:t>
      </w:r>
      <w:r w:rsidRPr="00A85BE8">
        <w:rPr>
          <w:sz w:val="24"/>
        </w:rPr>
        <w:t>Unacceptable toxicity</w:t>
      </w:r>
    </w:p>
    <w:p w:rsidR="004E04DF" w:rsidRPr="00A85BE8" w:rsidRDefault="004E04DF" w:rsidP="0057002E">
      <w:pPr>
        <w:adjustRightInd w:val="0"/>
        <w:snapToGrid w:val="0"/>
        <w:spacing w:beforeLines="50" w:before="156" w:line="360" w:lineRule="auto"/>
        <w:ind w:leftChars="400" w:left="840"/>
        <w:rPr>
          <w:sz w:val="24"/>
        </w:rPr>
      </w:pPr>
      <w:r w:rsidRPr="00A85BE8">
        <w:rPr>
          <w:sz w:val="24"/>
        </w:rPr>
        <w:t>3. Patients refused to continue the study at any time after the randomization</w:t>
      </w:r>
    </w:p>
    <w:p w:rsidR="00FA0CEF" w:rsidRPr="00A85BE8" w:rsidRDefault="00793CFA" w:rsidP="0057002E">
      <w:pPr>
        <w:adjustRightInd w:val="0"/>
        <w:snapToGrid w:val="0"/>
        <w:spacing w:afterLines="50" w:after="156" w:line="360" w:lineRule="auto"/>
        <w:ind w:leftChars="400" w:left="840"/>
        <w:rPr>
          <w:sz w:val="24"/>
        </w:rPr>
      </w:pPr>
      <w:r w:rsidRPr="00A85BE8">
        <w:rPr>
          <w:sz w:val="24"/>
        </w:rPr>
        <w:t>4</w:t>
      </w:r>
      <w:r w:rsidR="00FA0CEF" w:rsidRPr="00A85BE8">
        <w:rPr>
          <w:sz w:val="24"/>
        </w:rPr>
        <w:t>. Best interest of the subject based upon the investigator’s discretion</w:t>
      </w:r>
    </w:p>
    <w:p w:rsidR="007B4538" w:rsidRPr="00A85BE8" w:rsidRDefault="00C64CB1" w:rsidP="001F6F17">
      <w:pPr>
        <w:pStyle w:val="1"/>
        <w:rPr>
          <w:sz w:val="32"/>
          <w:szCs w:val="32"/>
        </w:rPr>
      </w:pPr>
      <w:bookmarkStart w:id="19" w:name="_Toc512010121"/>
      <w:r w:rsidRPr="00A85BE8">
        <w:rPr>
          <w:sz w:val="32"/>
          <w:szCs w:val="32"/>
        </w:rPr>
        <w:t>5. Study Procedures</w:t>
      </w:r>
      <w:bookmarkEnd w:id="19"/>
    </w:p>
    <w:p w:rsidR="00C64CB1" w:rsidRPr="00A85BE8" w:rsidRDefault="00C64CB1" w:rsidP="001F6F17">
      <w:pPr>
        <w:pStyle w:val="2"/>
        <w:rPr>
          <w:sz w:val="28"/>
          <w:szCs w:val="28"/>
        </w:rPr>
      </w:pPr>
      <w:bookmarkStart w:id="20" w:name="_Toc512010122"/>
      <w:r w:rsidRPr="00A85BE8">
        <w:rPr>
          <w:sz w:val="28"/>
          <w:szCs w:val="28"/>
        </w:rPr>
        <w:t>5.1 Treatment Assignment</w:t>
      </w:r>
      <w:bookmarkEnd w:id="20"/>
    </w:p>
    <w:p w:rsidR="00EB3F1F" w:rsidRPr="00A85BE8" w:rsidRDefault="00C64CB1" w:rsidP="0057002E">
      <w:pPr>
        <w:adjustRightInd w:val="0"/>
        <w:snapToGrid w:val="0"/>
        <w:spacing w:afterLines="50" w:after="156" w:line="360" w:lineRule="auto"/>
        <w:rPr>
          <w:sz w:val="24"/>
        </w:rPr>
      </w:pPr>
      <w:r w:rsidRPr="00A85BE8">
        <w:rPr>
          <w:sz w:val="24"/>
        </w:rPr>
        <w:t xml:space="preserve">  </w:t>
      </w:r>
      <w:r w:rsidR="00EB3F1F" w:rsidRPr="00A85BE8">
        <w:rPr>
          <w:sz w:val="24"/>
        </w:rPr>
        <w:t>Patients who meet the eligibility criteria and consent to participate will be randomized at 1:1 ratio to receive 7.5 mg/kg ATG (7.5 mg group</w:t>
      </w:r>
      <w:r w:rsidR="007C661C" w:rsidRPr="00A85BE8">
        <w:rPr>
          <w:sz w:val="24"/>
        </w:rPr>
        <w:t>, experimental Group</w:t>
      </w:r>
      <w:r w:rsidR="00EB3F1F" w:rsidRPr="00A85BE8">
        <w:rPr>
          <w:sz w:val="24"/>
        </w:rPr>
        <w:t xml:space="preserve">) or 10.0 mg/kg ATG (10.0 mg group, control group). </w:t>
      </w:r>
    </w:p>
    <w:p w:rsidR="00C64CB1" w:rsidRPr="00A85BE8" w:rsidRDefault="00EB3F1F" w:rsidP="001F6F17">
      <w:pPr>
        <w:pStyle w:val="2"/>
        <w:rPr>
          <w:sz w:val="28"/>
          <w:szCs w:val="28"/>
        </w:rPr>
      </w:pPr>
      <w:bookmarkStart w:id="21" w:name="_Toc512010123"/>
      <w:r w:rsidRPr="00A85BE8">
        <w:rPr>
          <w:sz w:val="28"/>
          <w:szCs w:val="28"/>
        </w:rPr>
        <w:t>5.2 Study Treatment</w:t>
      </w:r>
      <w:bookmarkEnd w:id="21"/>
    </w:p>
    <w:p w:rsidR="006138D8" w:rsidRPr="00A85BE8" w:rsidRDefault="00983177" w:rsidP="0057002E">
      <w:pPr>
        <w:adjustRightInd w:val="0"/>
        <w:snapToGrid w:val="0"/>
        <w:spacing w:afterLines="50" w:after="156" w:line="360" w:lineRule="auto"/>
        <w:ind w:firstLineChars="150" w:firstLine="360"/>
        <w:rPr>
          <w:sz w:val="24"/>
        </w:rPr>
      </w:pPr>
      <w:r w:rsidRPr="00A85BE8">
        <w:rPr>
          <w:sz w:val="24"/>
        </w:rPr>
        <w:t>ATG (Thymoglobulin; rabbit anti-human thymocyte immunoglobulin, I</w:t>
      </w:r>
      <w:r w:rsidR="006138D8" w:rsidRPr="00A85BE8">
        <w:rPr>
          <w:sz w:val="24"/>
        </w:rPr>
        <w:t>mtix Sangstat, Lyon, France) will be</w:t>
      </w:r>
      <w:r w:rsidRPr="00A85BE8">
        <w:rPr>
          <w:sz w:val="24"/>
        </w:rPr>
        <w:t xml:space="preserve"> administered in 2.5mg/kg/day from days -3 to -1 in</w:t>
      </w:r>
      <w:r w:rsidR="00045947" w:rsidRPr="00A85BE8">
        <w:rPr>
          <w:sz w:val="24"/>
        </w:rPr>
        <w:t xml:space="preserve"> </w:t>
      </w:r>
      <w:r w:rsidRPr="00A85BE8">
        <w:rPr>
          <w:sz w:val="24"/>
        </w:rPr>
        <w:t>7.5</w:t>
      </w:r>
      <w:r w:rsidR="00045947" w:rsidRPr="00A85BE8">
        <w:rPr>
          <w:sz w:val="24"/>
        </w:rPr>
        <w:t xml:space="preserve"> </w:t>
      </w:r>
      <w:r w:rsidRPr="00A85BE8">
        <w:rPr>
          <w:sz w:val="24"/>
        </w:rPr>
        <w:t>mg group, and days -4 to -1 in 10</w:t>
      </w:r>
      <w:r w:rsidR="00045947" w:rsidRPr="00A85BE8">
        <w:rPr>
          <w:sz w:val="24"/>
        </w:rPr>
        <w:t xml:space="preserve">.0 </w:t>
      </w:r>
      <w:r w:rsidRPr="00A85BE8">
        <w:rPr>
          <w:sz w:val="24"/>
        </w:rPr>
        <w:t xml:space="preserve">mg group. </w:t>
      </w:r>
      <w:r w:rsidR="006138D8" w:rsidRPr="00A85BE8">
        <w:rPr>
          <w:sz w:val="24"/>
        </w:rPr>
        <w:t>If ATG-related diarrhea or grade III fever (according to the Common Terminology Criteria for Adverse Events</w:t>
      </w:r>
      <w:r w:rsidR="00C275DE" w:rsidRPr="00A85BE8">
        <w:rPr>
          <w:sz w:val="24"/>
        </w:rPr>
        <w:t>, the CTCAE, version</w:t>
      </w:r>
      <w:r w:rsidR="00847EA3" w:rsidRPr="00A85BE8">
        <w:rPr>
          <w:sz w:val="24"/>
        </w:rPr>
        <w:t>3</w:t>
      </w:r>
      <w:r w:rsidR="00C275DE" w:rsidRPr="00A85BE8">
        <w:rPr>
          <w:sz w:val="24"/>
        </w:rPr>
        <w:t>.0</w:t>
      </w:r>
      <w:r w:rsidR="006138D8" w:rsidRPr="00A85BE8">
        <w:rPr>
          <w:sz w:val="24"/>
        </w:rPr>
        <w:t>) occurred, additional dexamethasone (5.0 mg) would be given for treatment, and the speed of ATG infusion would be slowed down. If the subject experienced severe ATG associated allergic reaction at the first dose, he will be excluded from the study.</w:t>
      </w:r>
    </w:p>
    <w:p w:rsidR="00001295" w:rsidRPr="00A85BE8" w:rsidRDefault="00001295" w:rsidP="001F6F17">
      <w:pPr>
        <w:pStyle w:val="1"/>
        <w:rPr>
          <w:sz w:val="32"/>
          <w:szCs w:val="32"/>
        </w:rPr>
      </w:pPr>
      <w:bookmarkStart w:id="22" w:name="_Toc512010124"/>
      <w:r w:rsidRPr="00A85BE8">
        <w:rPr>
          <w:sz w:val="32"/>
          <w:szCs w:val="32"/>
        </w:rPr>
        <w:t xml:space="preserve">6. </w:t>
      </w:r>
      <w:r w:rsidR="00E1490F" w:rsidRPr="00A85BE8">
        <w:rPr>
          <w:sz w:val="32"/>
          <w:szCs w:val="32"/>
        </w:rPr>
        <w:t>Efficacy Assessments</w:t>
      </w:r>
      <w:bookmarkEnd w:id="22"/>
    </w:p>
    <w:p w:rsidR="007462E6" w:rsidRPr="00A85BE8" w:rsidRDefault="007462E6" w:rsidP="001F6F17">
      <w:pPr>
        <w:pStyle w:val="2"/>
        <w:rPr>
          <w:sz w:val="28"/>
          <w:szCs w:val="28"/>
        </w:rPr>
      </w:pPr>
      <w:bookmarkStart w:id="23" w:name="_Toc512010125"/>
      <w:r w:rsidRPr="00A85BE8">
        <w:rPr>
          <w:sz w:val="28"/>
          <w:szCs w:val="28"/>
        </w:rPr>
        <w:t>6.1 Definition</w:t>
      </w:r>
      <w:bookmarkEnd w:id="23"/>
    </w:p>
    <w:p w:rsidR="00034F1C" w:rsidRPr="00A85BE8" w:rsidRDefault="008F0101" w:rsidP="00CB4005">
      <w:pPr>
        <w:adjustRightInd w:val="0"/>
        <w:snapToGrid w:val="0"/>
        <w:spacing w:afterLines="50" w:after="156" w:line="360" w:lineRule="auto"/>
        <w:ind w:leftChars="171" w:left="479" w:hangingChars="50" w:hanging="120"/>
        <w:rPr>
          <w:sz w:val="24"/>
        </w:rPr>
      </w:pPr>
      <w:r w:rsidRPr="00A85BE8">
        <w:rPr>
          <w:sz w:val="24"/>
        </w:rPr>
        <w:t xml:space="preserve">1. </w:t>
      </w:r>
      <w:r w:rsidR="001F56F9" w:rsidRPr="00A85BE8">
        <w:rPr>
          <w:sz w:val="24"/>
        </w:rPr>
        <w:t>Hematopoietic engraftment was defined as the first of 3 consecutive days with an absolute neutrophil count exceeding 0.5×10</w:t>
      </w:r>
      <w:r w:rsidR="001F56F9" w:rsidRPr="00A85BE8">
        <w:rPr>
          <w:sz w:val="24"/>
          <w:vertAlign w:val="superscript"/>
        </w:rPr>
        <w:t>9</w:t>
      </w:r>
      <w:r w:rsidR="001F56F9" w:rsidRPr="00A85BE8">
        <w:rPr>
          <w:sz w:val="24"/>
        </w:rPr>
        <w:t>/L, and platelet reconstitution was defined the first day of a platelet count &gt;20×10</w:t>
      </w:r>
      <w:r w:rsidR="001F56F9" w:rsidRPr="00A85BE8">
        <w:rPr>
          <w:sz w:val="24"/>
          <w:vertAlign w:val="superscript"/>
        </w:rPr>
        <w:t>9</w:t>
      </w:r>
      <w:r w:rsidR="001F56F9" w:rsidRPr="00A85BE8">
        <w:rPr>
          <w:sz w:val="24"/>
        </w:rPr>
        <w:t>/L without platelet transfusion</w:t>
      </w:r>
      <w:r w:rsidR="001F56F9" w:rsidRPr="00A85BE8" w:rsidDel="001F56F9">
        <w:rPr>
          <w:sz w:val="24"/>
        </w:rPr>
        <w:t xml:space="preserve"> </w:t>
      </w:r>
      <w:r w:rsidR="00034F1C" w:rsidRPr="00A85BE8">
        <w:rPr>
          <w:sz w:val="24"/>
        </w:rPr>
        <w:t xml:space="preserve">Primary </w:t>
      </w:r>
      <w:r w:rsidR="00034F1C" w:rsidRPr="00A85BE8">
        <w:rPr>
          <w:kern w:val="0"/>
          <w:sz w:val="24"/>
        </w:rPr>
        <w:t xml:space="preserve">poor graft function (PGF) </w:t>
      </w:r>
      <w:r w:rsidR="0038163A" w:rsidRPr="00A85BE8">
        <w:rPr>
          <w:sz w:val="24"/>
        </w:rPr>
        <w:t>i</w:t>
      </w:r>
      <w:r w:rsidR="00034F1C" w:rsidRPr="00A85BE8">
        <w:rPr>
          <w:sz w:val="24"/>
        </w:rPr>
        <w:t>s defined as a slow or incomplete recovery of blood cell counts (ANC ≤0.5×10</w:t>
      </w:r>
      <w:r w:rsidR="00034F1C" w:rsidRPr="00A85BE8">
        <w:rPr>
          <w:sz w:val="24"/>
          <w:vertAlign w:val="superscript"/>
        </w:rPr>
        <w:t>9</w:t>
      </w:r>
      <w:r w:rsidR="00034F1C" w:rsidRPr="00A85BE8">
        <w:rPr>
          <w:sz w:val="24"/>
        </w:rPr>
        <w:t>/L and PLT ≤20×10</w:t>
      </w:r>
      <w:r w:rsidR="00034F1C" w:rsidRPr="00A85BE8">
        <w:rPr>
          <w:sz w:val="24"/>
          <w:vertAlign w:val="superscript"/>
        </w:rPr>
        <w:t>9</w:t>
      </w:r>
      <w:r w:rsidR="00034F1C" w:rsidRPr="00A85BE8">
        <w:rPr>
          <w:sz w:val="24"/>
        </w:rPr>
        <w:t>/L) by days +30 post-transplantation.</w:t>
      </w:r>
    </w:p>
    <w:p w:rsidR="00A3469C" w:rsidRPr="00A85BE8" w:rsidRDefault="008F0101" w:rsidP="0057002E">
      <w:pPr>
        <w:adjustRightInd w:val="0"/>
        <w:snapToGrid w:val="0"/>
        <w:spacing w:afterLines="50" w:after="156" w:line="360" w:lineRule="auto"/>
        <w:ind w:leftChars="200" w:left="420"/>
        <w:rPr>
          <w:sz w:val="24"/>
        </w:rPr>
      </w:pPr>
      <w:r w:rsidRPr="00A85BE8">
        <w:rPr>
          <w:sz w:val="24"/>
        </w:rPr>
        <w:t xml:space="preserve">2. </w:t>
      </w:r>
      <w:r w:rsidR="00A3469C" w:rsidRPr="00A85BE8">
        <w:rPr>
          <w:sz w:val="24"/>
        </w:rPr>
        <w:t>CMV viremia means positive CMV-DNA in the blood</w:t>
      </w:r>
      <w:r w:rsidR="001902A8" w:rsidRPr="00A85BE8">
        <w:rPr>
          <w:sz w:val="24"/>
        </w:rPr>
        <w:t xml:space="preserve"> twice consecutively</w:t>
      </w:r>
      <w:r w:rsidR="00A3469C" w:rsidRPr="00A85BE8">
        <w:rPr>
          <w:sz w:val="24"/>
        </w:rPr>
        <w:t>.</w:t>
      </w:r>
    </w:p>
    <w:p w:rsidR="00A3469C" w:rsidRPr="00A85BE8" w:rsidRDefault="008F0101" w:rsidP="0057002E">
      <w:pPr>
        <w:adjustRightInd w:val="0"/>
        <w:snapToGrid w:val="0"/>
        <w:spacing w:afterLines="50" w:after="156" w:line="360" w:lineRule="auto"/>
        <w:ind w:leftChars="200" w:left="420"/>
        <w:rPr>
          <w:sz w:val="24"/>
        </w:rPr>
      </w:pPr>
      <w:r w:rsidRPr="00A85BE8">
        <w:rPr>
          <w:sz w:val="24"/>
        </w:rPr>
        <w:t xml:space="preserve">3. </w:t>
      </w:r>
      <w:r w:rsidR="00A3469C" w:rsidRPr="00A85BE8">
        <w:rPr>
          <w:sz w:val="24"/>
        </w:rPr>
        <w:t>EBV viremia means positive EBV-DNA in the blood</w:t>
      </w:r>
      <w:r w:rsidR="001902A8" w:rsidRPr="00A85BE8">
        <w:rPr>
          <w:sz w:val="24"/>
        </w:rPr>
        <w:t xml:space="preserve"> twice consecutively</w:t>
      </w:r>
      <w:r w:rsidR="00A3469C" w:rsidRPr="00A85BE8">
        <w:rPr>
          <w:sz w:val="24"/>
        </w:rPr>
        <w:t xml:space="preserve">. </w:t>
      </w:r>
    </w:p>
    <w:p w:rsidR="00A3469C" w:rsidRPr="00A85BE8" w:rsidRDefault="008F0101" w:rsidP="0057002E">
      <w:pPr>
        <w:adjustRightInd w:val="0"/>
        <w:snapToGrid w:val="0"/>
        <w:spacing w:afterLines="50" w:after="156" w:line="360" w:lineRule="auto"/>
        <w:ind w:leftChars="200" w:left="420"/>
        <w:rPr>
          <w:sz w:val="24"/>
        </w:rPr>
      </w:pPr>
      <w:r w:rsidRPr="00A85BE8">
        <w:rPr>
          <w:sz w:val="24"/>
        </w:rPr>
        <w:t xml:space="preserve">4. </w:t>
      </w:r>
      <w:r w:rsidR="00B436A2" w:rsidRPr="00A85BE8">
        <w:rPr>
          <w:sz w:val="24"/>
        </w:rPr>
        <w:t xml:space="preserve">EBV-associated diseases </w:t>
      </w:r>
      <w:r w:rsidR="0038163A" w:rsidRPr="00A85BE8">
        <w:rPr>
          <w:sz w:val="24"/>
        </w:rPr>
        <w:t xml:space="preserve">are </w:t>
      </w:r>
      <w:r w:rsidR="00B436A2" w:rsidRPr="00A85BE8">
        <w:rPr>
          <w:sz w:val="24"/>
        </w:rPr>
        <w:t xml:space="preserve">classified into EBV-associated post-transplant lymphoproliferative diseases (PTLD) and EBV-associated other diseases. </w:t>
      </w:r>
      <w:bookmarkStart w:id="24" w:name="OLE_LINK9"/>
      <w:r w:rsidR="00B436A2" w:rsidRPr="00A85BE8">
        <w:rPr>
          <w:sz w:val="24"/>
        </w:rPr>
        <w:t>The diagnosis of</w:t>
      </w:r>
      <w:bookmarkEnd w:id="24"/>
      <w:r w:rsidR="00B436A2" w:rsidRPr="00A85BE8">
        <w:rPr>
          <w:sz w:val="24"/>
        </w:rPr>
        <w:t xml:space="preserve"> EBV-associated PTLD </w:t>
      </w:r>
      <w:r w:rsidR="0038163A" w:rsidRPr="00A85BE8">
        <w:rPr>
          <w:sz w:val="24"/>
        </w:rPr>
        <w:t xml:space="preserve">is </w:t>
      </w:r>
      <w:r w:rsidR="00B436A2" w:rsidRPr="00A85BE8">
        <w:rPr>
          <w:sz w:val="24"/>
        </w:rPr>
        <w:t>according to the criteria of World Health Organization (WHO). The diagnosis of EBV-associated other diseases</w:t>
      </w:r>
      <w:bookmarkStart w:id="25" w:name="OLE_LINK10"/>
      <w:r w:rsidR="00B436A2" w:rsidRPr="00A85BE8">
        <w:rPr>
          <w:sz w:val="24"/>
        </w:rPr>
        <w:t xml:space="preserve"> </w:t>
      </w:r>
      <w:r w:rsidR="0038163A" w:rsidRPr="00A85BE8">
        <w:rPr>
          <w:sz w:val="24"/>
        </w:rPr>
        <w:t>is</w:t>
      </w:r>
      <w:r w:rsidR="00B436A2" w:rsidRPr="00A85BE8">
        <w:rPr>
          <w:sz w:val="24"/>
        </w:rPr>
        <w:t xml:space="preserve"> based on the criteria of the European Conference on Infections in Leukemia and literatures, </w:t>
      </w:r>
      <w:bookmarkEnd w:id="25"/>
      <w:r w:rsidR="00B436A2" w:rsidRPr="00A85BE8">
        <w:rPr>
          <w:sz w:val="24"/>
        </w:rPr>
        <w:t>wh</w:t>
      </w:r>
      <w:r w:rsidR="0038163A" w:rsidRPr="00A85BE8">
        <w:rPr>
          <w:sz w:val="24"/>
        </w:rPr>
        <w:t>ich include</w:t>
      </w:r>
      <w:r w:rsidR="00B436A2" w:rsidRPr="00A85BE8">
        <w:rPr>
          <w:sz w:val="24"/>
        </w:rPr>
        <w:t xml:space="preserve"> EBV-associated diseases with tissue other than lymphatic tissue involvement</w:t>
      </w:r>
      <w:r w:rsidR="00B53F55" w:rsidRPr="00A85BE8">
        <w:rPr>
          <w:sz w:val="24"/>
        </w:rPr>
        <w:t xml:space="preserve"> </w:t>
      </w:r>
      <w:r w:rsidR="00EC3911" w:rsidRPr="00A85BE8">
        <w:rPr>
          <w:sz w:val="24"/>
        </w:rPr>
        <w:t>[</w:t>
      </w:r>
      <w:r w:rsidR="00B53F55" w:rsidRPr="00A85BE8">
        <w:rPr>
          <w:sz w:val="24"/>
        </w:rPr>
        <w:t xml:space="preserve">see </w:t>
      </w:r>
      <w:r w:rsidR="00EC3911" w:rsidRPr="00A85BE8">
        <w:rPr>
          <w:sz w:val="24"/>
        </w:rPr>
        <w:t>appendix</w:t>
      </w:r>
      <w:r w:rsidR="00B53F55" w:rsidRPr="00A85BE8">
        <w:rPr>
          <w:sz w:val="24"/>
        </w:rPr>
        <w:t xml:space="preserve"> 1</w:t>
      </w:r>
      <w:r w:rsidR="00EC3911" w:rsidRPr="00A85BE8">
        <w:rPr>
          <w:sz w:val="24"/>
        </w:rPr>
        <w:t>]</w:t>
      </w:r>
      <w:r w:rsidR="00B436A2" w:rsidRPr="00A85BE8">
        <w:rPr>
          <w:sz w:val="24"/>
        </w:rPr>
        <w:t>.</w:t>
      </w:r>
      <w:r w:rsidR="00B53F55" w:rsidRPr="00A85BE8">
        <w:rPr>
          <w:sz w:val="24"/>
        </w:rPr>
        <w:t xml:space="preserve"> </w:t>
      </w:r>
    </w:p>
    <w:p w:rsidR="002960D1" w:rsidRPr="00A85BE8" w:rsidRDefault="008F0101" w:rsidP="0057002E">
      <w:pPr>
        <w:adjustRightInd w:val="0"/>
        <w:snapToGrid w:val="0"/>
        <w:spacing w:afterLines="50" w:after="156" w:line="360" w:lineRule="auto"/>
        <w:ind w:leftChars="200" w:left="420"/>
        <w:rPr>
          <w:sz w:val="24"/>
        </w:rPr>
      </w:pPr>
      <w:r w:rsidRPr="00A85BE8">
        <w:rPr>
          <w:sz w:val="24"/>
        </w:rPr>
        <w:t xml:space="preserve">5. </w:t>
      </w:r>
      <w:r w:rsidR="002960D1" w:rsidRPr="00A85BE8">
        <w:rPr>
          <w:sz w:val="24"/>
        </w:rPr>
        <w:t xml:space="preserve">The diagnosis of </w:t>
      </w:r>
      <w:r w:rsidR="00B436A2" w:rsidRPr="00A85BE8">
        <w:rPr>
          <w:sz w:val="24"/>
        </w:rPr>
        <w:t>CMV-associated</w:t>
      </w:r>
      <w:r w:rsidR="003F52D0" w:rsidRPr="00A85BE8">
        <w:rPr>
          <w:sz w:val="24"/>
        </w:rPr>
        <w:t xml:space="preserve"> </w:t>
      </w:r>
      <w:r w:rsidR="0038163A" w:rsidRPr="00A85BE8">
        <w:rPr>
          <w:sz w:val="24"/>
        </w:rPr>
        <w:t xml:space="preserve">disease </w:t>
      </w:r>
      <w:r w:rsidR="00186ED6" w:rsidRPr="00A85BE8">
        <w:rPr>
          <w:sz w:val="24"/>
        </w:rPr>
        <w:t>is according to the criteria of the European Conference on Infecti</w:t>
      </w:r>
      <w:r w:rsidR="000A44F5" w:rsidRPr="00A85BE8">
        <w:rPr>
          <w:sz w:val="24"/>
        </w:rPr>
        <w:t>ons in Leukemia</w:t>
      </w:r>
      <w:r w:rsidR="00D067B7" w:rsidRPr="00A85BE8">
        <w:rPr>
          <w:sz w:val="24"/>
        </w:rPr>
        <w:t xml:space="preserve"> </w:t>
      </w:r>
      <w:r w:rsidR="00537FC5" w:rsidRPr="00A85BE8">
        <w:rPr>
          <w:sz w:val="24"/>
        </w:rPr>
        <w:t>[see appendix 2].</w:t>
      </w:r>
    </w:p>
    <w:p w:rsidR="00034F1C" w:rsidRPr="00A85BE8" w:rsidRDefault="008F0101" w:rsidP="0057002E">
      <w:pPr>
        <w:adjustRightInd w:val="0"/>
        <w:snapToGrid w:val="0"/>
        <w:spacing w:afterLines="50" w:after="156" w:line="360" w:lineRule="auto"/>
        <w:ind w:leftChars="200" w:left="420"/>
        <w:rPr>
          <w:sz w:val="24"/>
        </w:rPr>
      </w:pPr>
      <w:r w:rsidRPr="00A85BE8">
        <w:rPr>
          <w:sz w:val="24"/>
        </w:rPr>
        <w:t xml:space="preserve">6. </w:t>
      </w:r>
      <w:r w:rsidR="00222072" w:rsidRPr="00A85BE8">
        <w:rPr>
          <w:sz w:val="24"/>
        </w:rPr>
        <w:t>aGVHD i</w:t>
      </w:r>
      <w:r w:rsidR="00034F1C" w:rsidRPr="00A85BE8">
        <w:rPr>
          <w:sz w:val="24"/>
        </w:rPr>
        <w:t xml:space="preserve">s defined according to the 1994 Consensus Conference on Acute GVHD Grading and graded from I to IV grades, and cGVHD </w:t>
      </w:r>
      <w:r w:rsidR="00222072" w:rsidRPr="00A85BE8">
        <w:rPr>
          <w:sz w:val="24"/>
        </w:rPr>
        <w:t>is</w:t>
      </w:r>
      <w:r w:rsidR="00034F1C" w:rsidRPr="00A85BE8">
        <w:rPr>
          <w:sz w:val="24"/>
        </w:rPr>
        <w:t xml:space="preserve"> graded as limited and extensive according to the literature</w:t>
      </w:r>
      <w:r w:rsidR="00D067B7" w:rsidRPr="00A85BE8">
        <w:rPr>
          <w:sz w:val="24"/>
        </w:rPr>
        <w:t xml:space="preserve"> </w:t>
      </w:r>
      <w:r w:rsidR="000620A3" w:rsidRPr="00A85BE8">
        <w:rPr>
          <w:sz w:val="24"/>
        </w:rPr>
        <w:t>[</w:t>
      </w:r>
      <w:r w:rsidR="00D067B7" w:rsidRPr="00A85BE8">
        <w:rPr>
          <w:sz w:val="24"/>
        </w:rPr>
        <w:t xml:space="preserve">see </w:t>
      </w:r>
      <w:r w:rsidR="00EC3911" w:rsidRPr="00A85BE8">
        <w:rPr>
          <w:sz w:val="24"/>
        </w:rPr>
        <w:t>appendix</w:t>
      </w:r>
      <w:r w:rsidR="00D067B7" w:rsidRPr="00A85BE8">
        <w:rPr>
          <w:sz w:val="24"/>
        </w:rPr>
        <w:t xml:space="preserve"> 3</w:t>
      </w:r>
      <w:r w:rsidR="000620A3" w:rsidRPr="00A85BE8">
        <w:rPr>
          <w:sz w:val="24"/>
        </w:rPr>
        <w:t>]</w:t>
      </w:r>
      <w:r w:rsidR="00034F1C" w:rsidRPr="00A85BE8">
        <w:rPr>
          <w:sz w:val="24"/>
        </w:rPr>
        <w:t>.</w:t>
      </w:r>
    </w:p>
    <w:p w:rsidR="00034F1C" w:rsidRPr="00A85BE8" w:rsidRDefault="008F0101" w:rsidP="0057002E">
      <w:pPr>
        <w:adjustRightInd w:val="0"/>
        <w:snapToGrid w:val="0"/>
        <w:spacing w:afterLines="50" w:after="156" w:line="360" w:lineRule="auto"/>
        <w:ind w:leftChars="200" w:left="420"/>
        <w:rPr>
          <w:sz w:val="24"/>
        </w:rPr>
      </w:pPr>
      <w:r w:rsidRPr="00A85BE8">
        <w:rPr>
          <w:sz w:val="24"/>
        </w:rPr>
        <w:t xml:space="preserve">7. </w:t>
      </w:r>
      <w:r w:rsidR="00A3469C" w:rsidRPr="00A85BE8">
        <w:rPr>
          <w:sz w:val="24"/>
        </w:rPr>
        <w:t xml:space="preserve">Relapse is defined as </w:t>
      </w:r>
      <w:r w:rsidR="00034F1C" w:rsidRPr="00A85BE8">
        <w:rPr>
          <w:sz w:val="24"/>
        </w:rPr>
        <w:t>as hematologic relapse that were re-appearance of blasts in the peripheral blood, any manifestation of leukemia outside the hematopoietic system, or &gt;5% blasts in the BM smear.</w:t>
      </w:r>
    </w:p>
    <w:p w:rsidR="00034F1C" w:rsidRPr="00A85BE8" w:rsidRDefault="008F0101" w:rsidP="0057002E">
      <w:pPr>
        <w:adjustRightInd w:val="0"/>
        <w:snapToGrid w:val="0"/>
        <w:spacing w:afterLines="50" w:after="156" w:line="360" w:lineRule="auto"/>
        <w:ind w:leftChars="200" w:left="420"/>
        <w:rPr>
          <w:sz w:val="24"/>
        </w:rPr>
      </w:pPr>
      <w:r w:rsidRPr="00A85BE8">
        <w:rPr>
          <w:sz w:val="24"/>
        </w:rPr>
        <w:t xml:space="preserve">8. </w:t>
      </w:r>
      <w:r w:rsidR="00034F1C" w:rsidRPr="00A85BE8">
        <w:rPr>
          <w:sz w:val="24"/>
        </w:rPr>
        <w:t xml:space="preserve">NRM </w:t>
      </w:r>
      <w:r w:rsidR="00222072" w:rsidRPr="00A85BE8">
        <w:rPr>
          <w:sz w:val="24"/>
        </w:rPr>
        <w:t>i</w:t>
      </w:r>
      <w:r w:rsidR="00034F1C" w:rsidRPr="00A85BE8">
        <w:rPr>
          <w:sz w:val="24"/>
        </w:rPr>
        <w:t>s defined as death without relapse.</w:t>
      </w:r>
    </w:p>
    <w:p w:rsidR="00034F1C" w:rsidRPr="00A85BE8" w:rsidRDefault="008F0101" w:rsidP="0057002E">
      <w:pPr>
        <w:adjustRightInd w:val="0"/>
        <w:snapToGrid w:val="0"/>
        <w:spacing w:afterLines="50" w:after="156" w:line="360" w:lineRule="auto"/>
        <w:ind w:leftChars="200" w:left="420"/>
        <w:rPr>
          <w:sz w:val="24"/>
        </w:rPr>
      </w:pPr>
      <w:r w:rsidRPr="00A85BE8">
        <w:rPr>
          <w:sz w:val="24"/>
        </w:rPr>
        <w:t xml:space="preserve">9. </w:t>
      </w:r>
      <w:r w:rsidR="0038163A" w:rsidRPr="00A85BE8">
        <w:rPr>
          <w:sz w:val="24"/>
        </w:rPr>
        <w:t>OS refers</w:t>
      </w:r>
      <w:r w:rsidR="00034F1C" w:rsidRPr="00A85BE8">
        <w:rPr>
          <w:sz w:val="24"/>
        </w:rPr>
        <w:t xml:space="preserve"> to survived until the final follow-up time point. </w:t>
      </w:r>
    </w:p>
    <w:p w:rsidR="00FD2AFD" w:rsidRPr="00A85BE8" w:rsidRDefault="008F0101" w:rsidP="0057002E">
      <w:pPr>
        <w:adjustRightInd w:val="0"/>
        <w:snapToGrid w:val="0"/>
        <w:spacing w:afterLines="50" w:after="156" w:line="360" w:lineRule="auto"/>
        <w:ind w:leftChars="200" w:left="420"/>
        <w:rPr>
          <w:sz w:val="24"/>
        </w:rPr>
      </w:pPr>
      <w:r w:rsidRPr="00A85BE8">
        <w:rPr>
          <w:sz w:val="24"/>
        </w:rPr>
        <w:t xml:space="preserve">10. </w:t>
      </w:r>
      <w:r w:rsidR="00034F1C" w:rsidRPr="00A85BE8">
        <w:rPr>
          <w:sz w:val="24"/>
        </w:rPr>
        <w:t xml:space="preserve">DFS </w:t>
      </w:r>
      <w:r w:rsidR="0038163A" w:rsidRPr="00A85BE8">
        <w:rPr>
          <w:sz w:val="24"/>
        </w:rPr>
        <w:t>is</w:t>
      </w:r>
      <w:r w:rsidR="00034F1C" w:rsidRPr="00A85BE8">
        <w:rPr>
          <w:sz w:val="24"/>
        </w:rPr>
        <w:t xml:space="preserve"> defined as survival in continuous CR without relapse.</w:t>
      </w:r>
    </w:p>
    <w:p w:rsidR="00222072" w:rsidRPr="00A85BE8" w:rsidRDefault="008F0101" w:rsidP="0057002E">
      <w:pPr>
        <w:adjustRightInd w:val="0"/>
        <w:snapToGrid w:val="0"/>
        <w:spacing w:afterLines="50" w:after="156" w:line="360" w:lineRule="auto"/>
        <w:ind w:leftChars="200" w:left="420"/>
        <w:rPr>
          <w:sz w:val="24"/>
        </w:rPr>
      </w:pPr>
      <w:r w:rsidRPr="00A85BE8">
        <w:rPr>
          <w:sz w:val="24"/>
        </w:rPr>
        <w:t xml:space="preserve">11. </w:t>
      </w:r>
      <w:r w:rsidR="001B2E6A" w:rsidRPr="00A85BE8">
        <w:rPr>
          <w:sz w:val="24"/>
        </w:rPr>
        <w:t>Tolerability</w:t>
      </w:r>
      <w:r w:rsidR="001B2E6A" w:rsidRPr="00A85BE8" w:rsidDel="001B2E6A">
        <w:rPr>
          <w:sz w:val="24"/>
        </w:rPr>
        <w:t xml:space="preserve"> </w:t>
      </w:r>
      <w:r w:rsidR="0038163A" w:rsidRPr="00A85BE8">
        <w:rPr>
          <w:sz w:val="24"/>
        </w:rPr>
        <w:t>is evaluated based upon clinical symptoms and laboratory abnormalities (</w:t>
      </w:r>
      <w:r w:rsidR="00222072" w:rsidRPr="00A85BE8">
        <w:rPr>
          <w:sz w:val="24"/>
        </w:rPr>
        <w:t>adverse events of ATG assessed according to the CACTE, version</w:t>
      </w:r>
      <w:r w:rsidR="00063D7A" w:rsidRPr="00A85BE8">
        <w:rPr>
          <w:sz w:val="24"/>
        </w:rPr>
        <w:t>3</w:t>
      </w:r>
      <w:r w:rsidR="00222072" w:rsidRPr="00A85BE8">
        <w:rPr>
          <w:sz w:val="24"/>
        </w:rPr>
        <w:t>.0)</w:t>
      </w:r>
      <w:r w:rsidR="00322FB5" w:rsidRPr="00A85BE8">
        <w:rPr>
          <w:sz w:val="24"/>
        </w:rPr>
        <w:t xml:space="preserve">. </w:t>
      </w:r>
      <w:r w:rsidR="00222072" w:rsidRPr="00A85BE8">
        <w:rPr>
          <w:sz w:val="24"/>
        </w:rPr>
        <w:t>The clinical symptoms include the symptoms may be associated with the administrat</w:t>
      </w:r>
      <w:r w:rsidR="00322FB5" w:rsidRPr="00A85BE8">
        <w:rPr>
          <w:sz w:val="24"/>
        </w:rPr>
        <w:t xml:space="preserve">ion of ATG reported previously, including </w:t>
      </w:r>
      <w:r w:rsidR="00222072" w:rsidRPr="00A85BE8">
        <w:rPr>
          <w:sz w:val="24"/>
        </w:rPr>
        <w:t>headache</w:t>
      </w:r>
      <w:r w:rsidR="00322FB5" w:rsidRPr="00A85BE8">
        <w:rPr>
          <w:sz w:val="24"/>
        </w:rPr>
        <w:t xml:space="preserve">, </w:t>
      </w:r>
      <w:r w:rsidR="00222072" w:rsidRPr="00A85BE8">
        <w:rPr>
          <w:sz w:val="24"/>
        </w:rPr>
        <w:t>arthralgia</w:t>
      </w:r>
      <w:r w:rsidR="00322FB5" w:rsidRPr="00A85BE8">
        <w:rPr>
          <w:sz w:val="24"/>
        </w:rPr>
        <w:t xml:space="preserve">, </w:t>
      </w:r>
      <w:r w:rsidR="00222072" w:rsidRPr="00A85BE8">
        <w:rPr>
          <w:sz w:val="24"/>
        </w:rPr>
        <w:t>bone pain</w:t>
      </w:r>
      <w:r w:rsidR="00322FB5" w:rsidRPr="00A85BE8">
        <w:rPr>
          <w:sz w:val="24"/>
        </w:rPr>
        <w:t xml:space="preserve">, </w:t>
      </w:r>
      <w:r w:rsidR="00222072" w:rsidRPr="00A85BE8">
        <w:rPr>
          <w:sz w:val="24"/>
        </w:rPr>
        <w:t>fatigue</w:t>
      </w:r>
      <w:r w:rsidR="00322FB5" w:rsidRPr="00A85BE8">
        <w:rPr>
          <w:sz w:val="24"/>
        </w:rPr>
        <w:t xml:space="preserve">, fever, lightheadedness, </w:t>
      </w:r>
      <w:r w:rsidR="00222072" w:rsidRPr="00A85BE8">
        <w:rPr>
          <w:sz w:val="24"/>
        </w:rPr>
        <w:t>petechiae</w:t>
      </w:r>
      <w:r w:rsidR="00322FB5" w:rsidRPr="00A85BE8">
        <w:rPr>
          <w:sz w:val="24"/>
        </w:rPr>
        <w:t xml:space="preserve">, </w:t>
      </w:r>
      <w:r w:rsidR="00222072" w:rsidRPr="00A85BE8">
        <w:rPr>
          <w:sz w:val="24"/>
        </w:rPr>
        <w:t>mucositis</w:t>
      </w:r>
      <w:r w:rsidR="00322FB5" w:rsidRPr="00A85BE8">
        <w:rPr>
          <w:sz w:val="24"/>
        </w:rPr>
        <w:t xml:space="preserve"> and </w:t>
      </w:r>
      <w:r w:rsidR="00222072" w:rsidRPr="00A85BE8">
        <w:rPr>
          <w:sz w:val="24"/>
        </w:rPr>
        <w:t>diarrhea</w:t>
      </w:r>
      <w:r w:rsidR="00322FB5" w:rsidRPr="00A85BE8">
        <w:rPr>
          <w:sz w:val="24"/>
        </w:rPr>
        <w:t>. The index of adverse events include h</w:t>
      </w:r>
      <w:r w:rsidR="00222072" w:rsidRPr="00A85BE8">
        <w:rPr>
          <w:sz w:val="24"/>
        </w:rPr>
        <w:t>epatic function</w:t>
      </w:r>
      <w:r w:rsidR="00322FB5" w:rsidRPr="00A85BE8">
        <w:rPr>
          <w:sz w:val="24"/>
        </w:rPr>
        <w:t xml:space="preserve"> (</w:t>
      </w:r>
      <w:r w:rsidR="00222072" w:rsidRPr="00A85BE8">
        <w:rPr>
          <w:sz w:val="24"/>
        </w:rPr>
        <w:t>ALT</w:t>
      </w:r>
      <w:r w:rsidR="00322FB5" w:rsidRPr="00A85BE8">
        <w:rPr>
          <w:sz w:val="24"/>
        </w:rPr>
        <w:t xml:space="preserve">, </w:t>
      </w:r>
      <w:r w:rsidR="00222072" w:rsidRPr="00A85BE8">
        <w:rPr>
          <w:sz w:val="24"/>
        </w:rPr>
        <w:t>AST</w:t>
      </w:r>
      <w:r w:rsidR="00322FB5" w:rsidRPr="00A85BE8">
        <w:rPr>
          <w:sz w:val="24"/>
        </w:rPr>
        <w:t xml:space="preserve">, </w:t>
      </w:r>
      <w:r w:rsidR="00222072" w:rsidRPr="00A85BE8">
        <w:rPr>
          <w:sz w:val="24"/>
        </w:rPr>
        <w:t>TBIL</w:t>
      </w:r>
      <w:r w:rsidR="00322FB5" w:rsidRPr="00A85BE8">
        <w:rPr>
          <w:sz w:val="24"/>
        </w:rPr>
        <w:t xml:space="preserve">, </w:t>
      </w:r>
      <w:r w:rsidR="00222072" w:rsidRPr="00A85BE8">
        <w:rPr>
          <w:sz w:val="24"/>
        </w:rPr>
        <w:t>DBIL</w:t>
      </w:r>
      <w:r w:rsidR="00322FB5" w:rsidRPr="00A85BE8">
        <w:rPr>
          <w:sz w:val="24"/>
        </w:rPr>
        <w:t>) and r</w:t>
      </w:r>
      <w:r w:rsidR="00222072" w:rsidRPr="00A85BE8">
        <w:rPr>
          <w:sz w:val="24"/>
        </w:rPr>
        <w:t>enal function</w:t>
      </w:r>
      <w:r w:rsidR="00322FB5" w:rsidRPr="00A85BE8">
        <w:rPr>
          <w:sz w:val="24"/>
        </w:rPr>
        <w:t xml:space="preserve"> (</w:t>
      </w:r>
      <w:r w:rsidR="00222072" w:rsidRPr="00A85BE8">
        <w:rPr>
          <w:sz w:val="24"/>
        </w:rPr>
        <w:t>BUN</w:t>
      </w:r>
      <w:r w:rsidR="00322FB5" w:rsidRPr="00A85BE8">
        <w:rPr>
          <w:sz w:val="24"/>
        </w:rPr>
        <w:t xml:space="preserve">, </w:t>
      </w:r>
      <w:r w:rsidR="00222072" w:rsidRPr="00A85BE8">
        <w:rPr>
          <w:sz w:val="24"/>
        </w:rPr>
        <w:t>Scr</w:t>
      </w:r>
      <w:r w:rsidR="00322FB5" w:rsidRPr="00A85BE8">
        <w:rPr>
          <w:sz w:val="24"/>
        </w:rPr>
        <w:t>).</w:t>
      </w:r>
    </w:p>
    <w:p w:rsidR="00970E24" w:rsidRPr="00A85BE8" w:rsidRDefault="00001295" w:rsidP="001F6F17">
      <w:pPr>
        <w:pStyle w:val="2"/>
        <w:rPr>
          <w:sz w:val="28"/>
          <w:szCs w:val="28"/>
        </w:rPr>
      </w:pPr>
      <w:bookmarkStart w:id="26" w:name="_Toc512010126"/>
      <w:r w:rsidRPr="00A85BE8">
        <w:rPr>
          <w:sz w:val="28"/>
          <w:szCs w:val="28"/>
        </w:rPr>
        <w:t>6.</w:t>
      </w:r>
      <w:r w:rsidR="007462E6" w:rsidRPr="00A85BE8">
        <w:rPr>
          <w:sz w:val="28"/>
          <w:szCs w:val="28"/>
        </w:rPr>
        <w:t>2</w:t>
      </w:r>
      <w:r w:rsidRPr="00A85BE8">
        <w:rPr>
          <w:sz w:val="28"/>
          <w:szCs w:val="28"/>
        </w:rPr>
        <w:t xml:space="preserve">. </w:t>
      </w:r>
      <w:bookmarkStart w:id="27" w:name="OLE_LINK60"/>
      <w:r w:rsidR="00970E24" w:rsidRPr="00A85BE8">
        <w:rPr>
          <w:sz w:val="28"/>
          <w:szCs w:val="28"/>
        </w:rPr>
        <w:t>Primary Endpoint</w:t>
      </w:r>
      <w:bookmarkEnd w:id="26"/>
    </w:p>
    <w:p w:rsidR="00970E24" w:rsidRPr="00A85BE8" w:rsidRDefault="00C275DE" w:rsidP="0057002E">
      <w:pPr>
        <w:adjustRightInd w:val="0"/>
        <w:snapToGrid w:val="0"/>
        <w:spacing w:afterLines="50" w:after="156" w:line="360" w:lineRule="auto"/>
        <w:ind w:firstLineChars="200" w:firstLine="480"/>
        <w:rPr>
          <w:sz w:val="24"/>
        </w:rPr>
      </w:pPr>
      <w:r w:rsidRPr="00A85BE8">
        <w:rPr>
          <w:sz w:val="24"/>
        </w:rPr>
        <w:t>Incidence of EBV</w:t>
      </w:r>
      <w:r w:rsidR="0016756A" w:rsidRPr="00A85BE8">
        <w:rPr>
          <w:sz w:val="24"/>
        </w:rPr>
        <w:t xml:space="preserve"> DNAemia</w:t>
      </w:r>
      <w:r w:rsidRPr="00A85BE8">
        <w:rPr>
          <w:sz w:val="24"/>
        </w:rPr>
        <w:t xml:space="preserve"> within 1 year post-transplantation</w:t>
      </w:r>
    </w:p>
    <w:p w:rsidR="00D97488" w:rsidRPr="00A85BE8" w:rsidRDefault="00C275DE" w:rsidP="001F6F17">
      <w:pPr>
        <w:pStyle w:val="2"/>
        <w:rPr>
          <w:sz w:val="28"/>
          <w:szCs w:val="28"/>
        </w:rPr>
      </w:pPr>
      <w:bookmarkStart w:id="28" w:name="_Toc512010127"/>
      <w:bookmarkEnd w:id="27"/>
      <w:r w:rsidRPr="00A85BE8">
        <w:rPr>
          <w:sz w:val="28"/>
          <w:szCs w:val="28"/>
        </w:rPr>
        <w:t>6</w:t>
      </w:r>
      <w:r w:rsidR="00970E24" w:rsidRPr="00A85BE8">
        <w:rPr>
          <w:sz w:val="28"/>
          <w:szCs w:val="28"/>
        </w:rPr>
        <w:t>.</w:t>
      </w:r>
      <w:r w:rsidR="007462E6" w:rsidRPr="00A85BE8">
        <w:rPr>
          <w:sz w:val="28"/>
          <w:szCs w:val="28"/>
        </w:rPr>
        <w:t>3</w:t>
      </w:r>
      <w:r w:rsidR="00970E24" w:rsidRPr="00A85BE8">
        <w:rPr>
          <w:sz w:val="28"/>
          <w:szCs w:val="28"/>
        </w:rPr>
        <w:t xml:space="preserve"> Secondary </w:t>
      </w:r>
      <w:r w:rsidR="00D97488" w:rsidRPr="00A85BE8">
        <w:rPr>
          <w:sz w:val="28"/>
          <w:szCs w:val="28"/>
        </w:rPr>
        <w:t>Endpoints</w:t>
      </w:r>
      <w:bookmarkEnd w:id="28"/>
      <w:r w:rsidR="00D97488" w:rsidRPr="00A85BE8">
        <w:rPr>
          <w:sz w:val="28"/>
          <w:szCs w:val="28"/>
        </w:rPr>
        <w:t xml:space="preserve"> </w:t>
      </w:r>
    </w:p>
    <w:p w:rsidR="00427AC1" w:rsidRPr="00A85BE8" w:rsidRDefault="00D97488" w:rsidP="0057002E">
      <w:pPr>
        <w:adjustRightInd w:val="0"/>
        <w:snapToGrid w:val="0"/>
        <w:spacing w:afterLines="50" w:after="156" w:line="360" w:lineRule="auto"/>
        <w:ind w:firstLineChars="50" w:firstLine="120"/>
        <w:rPr>
          <w:sz w:val="24"/>
        </w:rPr>
      </w:pPr>
      <w:r w:rsidRPr="00A85BE8">
        <w:rPr>
          <w:sz w:val="24"/>
        </w:rPr>
        <w:t xml:space="preserve">   1. </w:t>
      </w:r>
      <w:r w:rsidR="004F31B9" w:rsidRPr="00A85BE8">
        <w:rPr>
          <w:sz w:val="24"/>
        </w:rPr>
        <w:t>T</w:t>
      </w:r>
      <w:r w:rsidRPr="00A85BE8">
        <w:rPr>
          <w:sz w:val="24"/>
        </w:rPr>
        <w:t>he incidence</w:t>
      </w:r>
      <w:r w:rsidR="00427AC1" w:rsidRPr="00A85BE8">
        <w:rPr>
          <w:sz w:val="24"/>
        </w:rPr>
        <w:t>s</w:t>
      </w:r>
      <w:r w:rsidRPr="00A85BE8">
        <w:rPr>
          <w:sz w:val="24"/>
        </w:rPr>
        <w:t xml:space="preserve"> of grade II to IV</w:t>
      </w:r>
      <w:r w:rsidR="00427AC1" w:rsidRPr="00A85BE8">
        <w:rPr>
          <w:sz w:val="24"/>
        </w:rPr>
        <w:t xml:space="preserve"> and grade III to IV</w:t>
      </w:r>
      <w:r w:rsidRPr="00A85BE8">
        <w:rPr>
          <w:sz w:val="24"/>
        </w:rPr>
        <w:t xml:space="preserve"> aGVHD within 100 days post-transplantation. </w:t>
      </w:r>
    </w:p>
    <w:p w:rsidR="00427AC1" w:rsidRPr="00A85BE8" w:rsidRDefault="00427AC1" w:rsidP="0057002E">
      <w:pPr>
        <w:adjustRightInd w:val="0"/>
        <w:snapToGrid w:val="0"/>
        <w:spacing w:afterLines="50" w:after="156" w:line="360" w:lineRule="auto"/>
        <w:ind w:firstLineChars="50" w:firstLine="120"/>
        <w:rPr>
          <w:sz w:val="24"/>
        </w:rPr>
      </w:pPr>
      <w:r w:rsidRPr="00A85BE8">
        <w:rPr>
          <w:sz w:val="24"/>
        </w:rPr>
        <w:t xml:space="preserve">   2. </w:t>
      </w:r>
      <w:r w:rsidR="004F31B9" w:rsidRPr="00A85BE8">
        <w:rPr>
          <w:sz w:val="24"/>
        </w:rPr>
        <w:t>H</w:t>
      </w:r>
      <w:r w:rsidRPr="00A85BE8">
        <w:rPr>
          <w:sz w:val="24"/>
        </w:rPr>
        <w:t>ematopoietic engraftment</w:t>
      </w:r>
    </w:p>
    <w:p w:rsidR="008532E3" w:rsidRPr="00A85BE8" w:rsidRDefault="008532E3" w:rsidP="0057002E">
      <w:pPr>
        <w:adjustRightInd w:val="0"/>
        <w:snapToGrid w:val="0"/>
        <w:spacing w:afterLines="50" w:after="156" w:line="360" w:lineRule="auto"/>
        <w:ind w:firstLineChars="50" w:firstLine="120"/>
        <w:rPr>
          <w:sz w:val="24"/>
        </w:rPr>
      </w:pPr>
      <w:r w:rsidRPr="00A85BE8">
        <w:rPr>
          <w:sz w:val="24"/>
        </w:rPr>
        <w:t xml:space="preserve">   3.</w:t>
      </w:r>
      <w:r w:rsidR="00A80EBC" w:rsidRPr="00A85BE8">
        <w:rPr>
          <w:sz w:val="24"/>
        </w:rPr>
        <w:t xml:space="preserve"> </w:t>
      </w:r>
      <w:r w:rsidR="00394FE2" w:rsidRPr="00A85BE8">
        <w:rPr>
          <w:sz w:val="24"/>
        </w:rPr>
        <w:t>EBV-associated diseases</w:t>
      </w:r>
    </w:p>
    <w:p w:rsidR="00CF63ED" w:rsidRPr="00A85BE8" w:rsidRDefault="00427AC1" w:rsidP="0057002E">
      <w:pPr>
        <w:adjustRightInd w:val="0"/>
        <w:snapToGrid w:val="0"/>
        <w:spacing w:afterLines="50" w:after="156" w:line="360" w:lineRule="auto"/>
        <w:ind w:firstLineChars="50" w:firstLine="120"/>
        <w:rPr>
          <w:sz w:val="24"/>
        </w:rPr>
      </w:pPr>
      <w:r w:rsidRPr="00A85BE8">
        <w:rPr>
          <w:sz w:val="24"/>
        </w:rPr>
        <w:t xml:space="preserve">   </w:t>
      </w:r>
      <w:r w:rsidR="008532E3" w:rsidRPr="00A85BE8">
        <w:rPr>
          <w:sz w:val="24"/>
        </w:rPr>
        <w:t>4</w:t>
      </w:r>
      <w:r w:rsidRPr="00A85BE8">
        <w:rPr>
          <w:sz w:val="24"/>
        </w:rPr>
        <w:t>. CMV infections (CMV</w:t>
      </w:r>
      <w:r w:rsidR="0016756A" w:rsidRPr="00A85BE8">
        <w:rPr>
          <w:sz w:val="24"/>
        </w:rPr>
        <w:t xml:space="preserve"> DNAemia</w:t>
      </w:r>
      <w:r w:rsidRPr="00A85BE8">
        <w:rPr>
          <w:sz w:val="24"/>
        </w:rPr>
        <w:t xml:space="preserve"> and associated diseases</w:t>
      </w:r>
      <w:r w:rsidR="008532E3" w:rsidRPr="00A85BE8">
        <w:rPr>
          <w:sz w:val="24"/>
        </w:rPr>
        <w:t>)</w:t>
      </w:r>
    </w:p>
    <w:p w:rsidR="00CF63ED" w:rsidRPr="00A85BE8" w:rsidRDefault="008532E3" w:rsidP="0057002E">
      <w:pPr>
        <w:adjustRightInd w:val="0"/>
        <w:snapToGrid w:val="0"/>
        <w:spacing w:afterLines="50" w:after="156" w:line="360" w:lineRule="auto"/>
        <w:ind w:firstLine="480"/>
        <w:rPr>
          <w:sz w:val="24"/>
        </w:rPr>
      </w:pPr>
      <w:r w:rsidRPr="00A85BE8">
        <w:rPr>
          <w:sz w:val="24"/>
        </w:rPr>
        <w:t>5</w:t>
      </w:r>
      <w:r w:rsidR="00CF63ED" w:rsidRPr="00A85BE8">
        <w:rPr>
          <w:sz w:val="24"/>
        </w:rPr>
        <w:t>. cGVHD</w:t>
      </w:r>
    </w:p>
    <w:p w:rsidR="00CF63ED" w:rsidRPr="00A85BE8" w:rsidRDefault="008532E3" w:rsidP="0057002E">
      <w:pPr>
        <w:adjustRightInd w:val="0"/>
        <w:snapToGrid w:val="0"/>
        <w:spacing w:afterLines="50" w:after="156" w:line="360" w:lineRule="auto"/>
        <w:ind w:firstLine="480"/>
        <w:rPr>
          <w:sz w:val="24"/>
        </w:rPr>
      </w:pPr>
      <w:r w:rsidRPr="00A85BE8">
        <w:rPr>
          <w:sz w:val="24"/>
        </w:rPr>
        <w:t>6</w:t>
      </w:r>
      <w:r w:rsidR="00CF63ED" w:rsidRPr="00A85BE8">
        <w:rPr>
          <w:sz w:val="24"/>
        </w:rPr>
        <w:t xml:space="preserve">. </w:t>
      </w:r>
      <w:r w:rsidR="004F31B9" w:rsidRPr="00A85BE8">
        <w:rPr>
          <w:sz w:val="24"/>
        </w:rPr>
        <w:t>R</w:t>
      </w:r>
      <w:r w:rsidR="00CF63ED" w:rsidRPr="00A85BE8">
        <w:rPr>
          <w:sz w:val="24"/>
        </w:rPr>
        <w:t>elapse</w:t>
      </w:r>
    </w:p>
    <w:p w:rsidR="00CF63ED" w:rsidRPr="00A85BE8" w:rsidRDefault="008532E3" w:rsidP="0057002E">
      <w:pPr>
        <w:adjustRightInd w:val="0"/>
        <w:snapToGrid w:val="0"/>
        <w:spacing w:afterLines="50" w:after="156" w:line="360" w:lineRule="auto"/>
        <w:ind w:firstLine="480"/>
        <w:rPr>
          <w:sz w:val="24"/>
        </w:rPr>
      </w:pPr>
      <w:r w:rsidRPr="00A85BE8">
        <w:rPr>
          <w:sz w:val="24"/>
        </w:rPr>
        <w:t>7</w:t>
      </w:r>
      <w:r w:rsidR="00CF63ED" w:rsidRPr="00A85BE8">
        <w:rPr>
          <w:sz w:val="24"/>
        </w:rPr>
        <w:t>.</w:t>
      </w:r>
      <w:r w:rsidR="004F31B9" w:rsidRPr="00A85BE8">
        <w:rPr>
          <w:sz w:val="24"/>
        </w:rPr>
        <w:t xml:space="preserve"> NRM</w:t>
      </w:r>
    </w:p>
    <w:p w:rsidR="00CF63ED" w:rsidRPr="00A85BE8" w:rsidRDefault="008532E3" w:rsidP="0057002E">
      <w:pPr>
        <w:adjustRightInd w:val="0"/>
        <w:snapToGrid w:val="0"/>
        <w:spacing w:afterLines="50" w:after="156" w:line="360" w:lineRule="auto"/>
        <w:ind w:firstLine="480"/>
        <w:rPr>
          <w:sz w:val="24"/>
        </w:rPr>
      </w:pPr>
      <w:r w:rsidRPr="00A85BE8">
        <w:rPr>
          <w:sz w:val="24"/>
        </w:rPr>
        <w:t>8</w:t>
      </w:r>
      <w:r w:rsidR="00CF63ED" w:rsidRPr="00A85BE8">
        <w:rPr>
          <w:sz w:val="24"/>
        </w:rPr>
        <w:t>.</w:t>
      </w:r>
      <w:r w:rsidR="00253A20" w:rsidRPr="00A85BE8">
        <w:rPr>
          <w:sz w:val="24"/>
        </w:rPr>
        <w:t xml:space="preserve"> </w:t>
      </w:r>
      <w:r w:rsidR="00CF63ED" w:rsidRPr="00A85BE8">
        <w:rPr>
          <w:sz w:val="24"/>
        </w:rPr>
        <w:t>OS</w:t>
      </w:r>
    </w:p>
    <w:p w:rsidR="00CF63ED" w:rsidRPr="00A85BE8" w:rsidRDefault="008532E3" w:rsidP="0057002E">
      <w:pPr>
        <w:adjustRightInd w:val="0"/>
        <w:snapToGrid w:val="0"/>
        <w:spacing w:afterLines="50" w:after="156" w:line="360" w:lineRule="auto"/>
        <w:ind w:firstLine="480"/>
        <w:rPr>
          <w:sz w:val="24"/>
        </w:rPr>
      </w:pPr>
      <w:r w:rsidRPr="00A85BE8">
        <w:rPr>
          <w:sz w:val="24"/>
        </w:rPr>
        <w:t>9</w:t>
      </w:r>
      <w:r w:rsidR="00CF63ED" w:rsidRPr="00A85BE8">
        <w:rPr>
          <w:sz w:val="24"/>
        </w:rPr>
        <w:t>. DFS</w:t>
      </w:r>
    </w:p>
    <w:p w:rsidR="00222072" w:rsidRPr="00A85BE8" w:rsidRDefault="008532E3" w:rsidP="0057002E">
      <w:pPr>
        <w:adjustRightInd w:val="0"/>
        <w:snapToGrid w:val="0"/>
        <w:spacing w:afterLines="50" w:after="156" w:line="360" w:lineRule="auto"/>
        <w:ind w:firstLine="480"/>
        <w:rPr>
          <w:sz w:val="24"/>
        </w:rPr>
      </w:pPr>
      <w:r w:rsidRPr="00A85BE8">
        <w:rPr>
          <w:sz w:val="24"/>
        </w:rPr>
        <w:t>10</w:t>
      </w:r>
      <w:r w:rsidR="00CF63ED" w:rsidRPr="00A85BE8">
        <w:rPr>
          <w:sz w:val="24"/>
        </w:rPr>
        <w:t xml:space="preserve">. </w:t>
      </w:r>
      <w:bookmarkStart w:id="29" w:name="OLE_LINK11"/>
      <w:r w:rsidR="0005216D" w:rsidRPr="00A85BE8">
        <w:rPr>
          <w:sz w:val="24"/>
        </w:rPr>
        <w:t>Tolerability</w:t>
      </w:r>
      <w:bookmarkEnd w:id="29"/>
    </w:p>
    <w:p w:rsidR="00B9080D" w:rsidRPr="00A85BE8" w:rsidRDefault="007F599B" w:rsidP="001F6F17">
      <w:pPr>
        <w:pStyle w:val="2"/>
        <w:rPr>
          <w:sz w:val="28"/>
          <w:szCs w:val="28"/>
        </w:rPr>
      </w:pPr>
      <w:bookmarkStart w:id="30" w:name="_Toc512010128"/>
      <w:r w:rsidRPr="00A85BE8">
        <w:rPr>
          <w:sz w:val="28"/>
          <w:szCs w:val="28"/>
        </w:rPr>
        <w:t xml:space="preserve">6.4 Methods </w:t>
      </w:r>
      <w:r w:rsidR="007B73FF" w:rsidRPr="00A85BE8">
        <w:rPr>
          <w:sz w:val="28"/>
          <w:szCs w:val="28"/>
        </w:rPr>
        <w:t>and Schedule</w:t>
      </w:r>
      <w:r w:rsidR="00BF149C" w:rsidRPr="00A85BE8">
        <w:rPr>
          <w:sz w:val="28"/>
          <w:szCs w:val="28"/>
        </w:rPr>
        <w:t xml:space="preserve"> </w:t>
      </w:r>
      <w:r w:rsidRPr="00A85BE8">
        <w:rPr>
          <w:sz w:val="28"/>
          <w:szCs w:val="28"/>
        </w:rPr>
        <w:t xml:space="preserve">Of </w:t>
      </w:r>
      <w:bookmarkStart w:id="31" w:name="OLE_LINK58"/>
      <w:bookmarkStart w:id="32" w:name="OLE_LINK59"/>
      <w:r w:rsidRPr="00A85BE8">
        <w:rPr>
          <w:sz w:val="28"/>
          <w:szCs w:val="28"/>
        </w:rPr>
        <w:t>endpoints assessments</w:t>
      </w:r>
      <w:bookmarkEnd w:id="30"/>
      <w:bookmarkEnd w:id="31"/>
      <w:bookmarkEnd w:id="32"/>
    </w:p>
    <w:p w:rsidR="00170F54" w:rsidRPr="00A85BE8" w:rsidRDefault="000F6BB3" w:rsidP="0057002E">
      <w:pPr>
        <w:adjustRightInd w:val="0"/>
        <w:snapToGrid w:val="0"/>
        <w:spacing w:afterLines="50" w:after="156" w:line="360" w:lineRule="auto"/>
        <w:ind w:firstLineChars="150" w:firstLine="360"/>
        <w:rPr>
          <w:sz w:val="24"/>
        </w:rPr>
      </w:pPr>
      <w:r w:rsidRPr="00A85BE8">
        <w:rPr>
          <w:sz w:val="24"/>
        </w:rPr>
        <w:t xml:space="preserve">Patients will be followed for adverse events for 30 days after study treatment post-transplantation. </w:t>
      </w:r>
      <w:r w:rsidR="00B9080D" w:rsidRPr="00A85BE8">
        <w:rPr>
          <w:sz w:val="24"/>
        </w:rPr>
        <w:t xml:space="preserve">The CMV-DNA and EBV-DNA loads of blood </w:t>
      </w:r>
      <w:r w:rsidR="00BF149C" w:rsidRPr="00A85BE8">
        <w:rPr>
          <w:sz w:val="24"/>
        </w:rPr>
        <w:t xml:space="preserve">will be </w:t>
      </w:r>
      <w:r w:rsidR="00B9080D" w:rsidRPr="00A85BE8">
        <w:rPr>
          <w:sz w:val="24"/>
        </w:rPr>
        <w:t xml:space="preserve">detected regularly by quantitative real-time polymerase chain reaction (RQ-PCR). The threshold for EBV-DNA and CMV-DNA copies in plasma provided by the manufacturer (ZJ Bio-Tech Co., Ltd., Shanghai, China) </w:t>
      </w:r>
      <w:r w:rsidR="00BF149C" w:rsidRPr="00A85BE8">
        <w:rPr>
          <w:sz w:val="24"/>
        </w:rPr>
        <w:t xml:space="preserve">is </w:t>
      </w:r>
      <w:r w:rsidR="00B9080D" w:rsidRPr="00A85BE8">
        <w:rPr>
          <w:sz w:val="24"/>
        </w:rPr>
        <w:t xml:space="preserve">less than 500 copies/ml. EBV-DNA or CMV-DNA </w:t>
      </w:r>
      <w:r w:rsidR="00BF149C" w:rsidRPr="00A85BE8">
        <w:rPr>
          <w:sz w:val="24"/>
        </w:rPr>
        <w:t>i</w:t>
      </w:r>
      <w:r w:rsidR="00B9080D" w:rsidRPr="00A85BE8">
        <w:rPr>
          <w:sz w:val="24"/>
        </w:rPr>
        <w:t xml:space="preserve">s considered positive when the copies exceeded 500 copies/ml. The CMV-DNA and EBV-DNA of blood </w:t>
      </w:r>
      <w:r w:rsidR="00BF149C" w:rsidRPr="00A85BE8">
        <w:rPr>
          <w:sz w:val="24"/>
        </w:rPr>
        <w:t>i</w:t>
      </w:r>
      <w:r w:rsidR="00B9080D" w:rsidRPr="00A85BE8">
        <w:rPr>
          <w:sz w:val="24"/>
        </w:rPr>
        <w:t>s monitored weekly for the first 3 months after transplantation; during the 4</w:t>
      </w:r>
      <w:r w:rsidR="00B9080D" w:rsidRPr="00A85BE8">
        <w:rPr>
          <w:sz w:val="24"/>
          <w:vertAlign w:val="superscript"/>
        </w:rPr>
        <w:t>th</w:t>
      </w:r>
      <w:r w:rsidR="00B9080D" w:rsidRPr="00A85BE8">
        <w:rPr>
          <w:sz w:val="24"/>
        </w:rPr>
        <w:t xml:space="preserve"> to 9</w:t>
      </w:r>
      <w:r w:rsidR="00B9080D" w:rsidRPr="00A85BE8">
        <w:rPr>
          <w:sz w:val="24"/>
          <w:vertAlign w:val="superscript"/>
        </w:rPr>
        <w:t>th</w:t>
      </w:r>
      <w:r w:rsidR="00B9080D" w:rsidRPr="00A85BE8">
        <w:rPr>
          <w:sz w:val="24"/>
        </w:rPr>
        <w:t xml:space="preserve"> month post-transplantation, the monitoring frequency was once every 2 weeks; and the frequency was once a month for the 10</w:t>
      </w:r>
      <w:r w:rsidR="00B9080D" w:rsidRPr="00A85BE8">
        <w:rPr>
          <w:sz w:val="24"/>
          <w:vertAlign w:val="superscript"/>
        </w:rPr>
        <w:t>th</w:t>
      </w:r>
      <w:r w:rsidR="00B9080D" w:rsidRPr="00A85BE8">
        <w:rPr>
          <w:sz w:val="24"/>
        </w:rPr>
        <w:t xml:space="preserve"> to 12</w:t>
      </w:r>
      <w:r w:rsidR="00B9080D" w:rsidRPr="00A85BE8">
        <w:rPr>
          <w:sz w:val="24"/>
          <w:vertAlign w:val="superscript"/>
        </w:rPr>
        <w:t>th</w:t>
      </w:r>
      <w:r w:rsidR="00B9080D" w:rsidRPr="00A85BE8">
        <w:rPr>
          <w:sz w:val="24"/>
        </w:rPr>
        <w:t xml:space="preserve"> month. If positive, viral load </w:t>
      </w:r>
      <w:r w:rsidR="00BF149C" w:rsidRPr="00A85BE8">
        <w:rPr>
          <w:sz w:val="24"/>
        </w:rPr>
        <w:t xml:space="preserve">will be </w:t>
      </w:r>
      <w:r w:rsidR="00B9080D" w:rsidRPr="00A85BE8">
        <w:rPr>
          <w:sz w:val="24"/>
        </w:rPr>
        <w:t>monitored twice a week.</w:t>
      </w:r>
      <w:r w:rsidR="00C74D48" w:rsidRPr="00A85BE8">
        <w:rPr>
          <w:sz w:val="24"/>
        </w:rPr>
        <w:t xml:space="preserve"> </w:t>
      </w:r>
      <w:r w:rsidR="00C74D48" w:rsidRPr="00A85BE8">
        <w:rPr>
          <w:rFonts w:eastAsiaTheme="minorEastAsia" w:hint="eastAsia"/>
          <w:sz w:val="24"/>
        </w:rPr>
        <w:t>E</w:t>
      </w:r>
      <w:r w:rsidR="00BF149C" w:rsidRPr="00A85BE8">
        <w:rPr>
          <w:sz w:val="24"/>
        </w:rPr>
        <w:t>ndpoints assessments will be assessed according to the criteria previously mentioned throughout the study period.</w:t>
      </w:r>
    </w:p>
    <w:p w:rsidR="00170F54" w:rsidRPr="00A85BE8" w:rsidRDefault="00170F54" w:rsidP="001F6F17">
      <w:pPr>
        <w:pStyle w:val="1"/>
        <w:rPr>
          <w:sz w:val="32"/>
          <w:szCs w:val="32"/>
        </w:rPr>
      </w:pPr>
      <w:bookmarkStart w:id="33" w:name="_Toc512010129"/>
      <w:r w:rsidRPr="00A85BE8">
        <w:rPr>
          <w:sz w:val="32"/>
          <w:szCs w:val="32"/>
        </w:rPr>
        <w:t>7. Safety</w:t>
      </w:r>
      <w:bookmarkEnd w:id="33"/>
    </w:p>
    <w:p w:rsidR="00170F54" w:rsidRPr="00A85BE8" w:rsidRDefault="00170F54" w:rsidP="001F6F17">
      <w:pPr>
        <w:pStyle w:val="2"/>
        <w:rPr>
          <w:sz w:val="28"/>
          <w:szCs w:val="28"/>
        </w:rPr>
      </w:pPr>
      <w:bookmarkStart w:id="34" w:name="_Toc512010130"/>
      <w:r w:rsidRPr="00A85BE8">
        <w:rPr>
          <w:sz w:val="28"/>
          <w:szCs w:val="28"/>
        </w:rPr>
        <w:t>7.1 Safety Endpoints</w:t>
      </w:r>
      <w:bookmarkEnd w:id="34"/>
    </w:p>
    <w:p w:rsidR="00170F54" w:rsidRPr="00A85BE8" w:rsidRDefault="008D7F21" w:rsidP="001F6F17">
      <w:pPr>
        <w:pStyle w:val="3"/>
        <w:rPr>
          <w:rFonts w:eastAsiaTheme="minorEastAsia"/>
          <w:sz w:val="24"/>
          <w:szCs w:val="24"/>
        </w:rPr>
      </w:pPr>
      <w:bookmarkStart w:id="35" w:name="_Toc512010131"/>
      <w:r w:rsidRPr="00A85BE8">
        <w:rPr>
          <w:sz w:val="24"/>
          <w:szCs w:val="24"/>
        </w:rPr>
        <w:t>7</w:t>
      </w:r>
      <w:r w:rsidR="000A780C" w:rsidRPr="00A85BE8">
        <w:rPr>
          <w:sz w:val="24"/>
          <w:szCs w:val="24"/>
        </w:rPr>
        <w:t>.1</w:t>
      </w:r>
      <w:r w:rsidR="00170F54" w:rsidRPr="00A85BE8">
        <w:rPr>
          <w:sz w:val="24"/>
          <w:szCs w:val="24"/>
        </w:rPr>
        <w:t>.1 Clinical symptoms</w:t>
      </w:r>
      <w:bookmarkEnd w:id="35"/>
    </w:p>
    <w:p w:rsidR="00170F54" w:rsidRPr="00A85BE8" w:rsidRDefault="00170F54" w:rsidP="0057002E">
      <w:pPr>
        <w:adjustRightInd w:val="0"/>
        <w:snapToGrid w:val="0"/>
        <w:spacing w:afterLines="50" w:after="156" w:line="360" w:lineRule="auto"/>
        <w:ind w:leftChars="100" w:left="210"/>
        <w:rPr>
          <w:sz w:val="24"/>
        </w:rPr>
      </w:pPr>
      <w:r w:rsidRPr="00A85BE8">
        <w:rPr>
          <w:sz w:val="24"/>
        </w:rPr>
        <w:t xml:space="preserve">The clinical symptoms include the symptoms may be associated with the administration of ATG reported previously. </w:t>
      </w:r>
    </w:p>
    <w:p w:rsidR="00170F54" w:rsidRPr="00A85BE8" w:rsidRDefault="00170F54" w:rsidP="0057002E">
      <w:pPr>
        <w:adjustRightInd w:val="0"/>
        <w:snapToGrid w:val="0"/>
        <w:spacing w:afterLines="50" w:after="156" w:line="360" w:lineRule="auto"/>
        <w:ind w:leftChars="100" w:left="210"/>
        <w:rPr>
          <w:sz w:val="24"/>
        </w:rPr>
      </w:pPr>
      <w:r w:rsidRPr="00A85BE8">
        <w:rPr>
          <w:sz w:val="24"/>
        </w:rPr>
        <w:t></w:t>
      </w:r>
      <w:r w:rsidRPr="00A85BE8">
        <w:rPr>
          <w:sz w:val="24"/>
        </w:rPr>
        <w:tab/>
        <w:t>headache</w:t>
      </w:r>
    </w:p>
    <w:p w:rsidR="00170F54" w:rsidRPr="00A85BE8" w:rsidRDefault="00170F54" w:rsidP="0057002E">
      <w:pPr>
        <w:adjustRightInd w:val="0"/>
        <w:snapToGrid w:val="0"/>
        <w:spacing w:afterLines="50" w:after="156" w:line="360" w:lineRule="auto"/>
        <w:ind w:leftChars="100" w:left="210"/>
        <w:rPr>
          <w:sz w:val="24"/>
        </w:rPr>
      </w:pPr>
      <w:r w:rsidRPr="00A85BE8">
        <w:rPr>
          <w:sz w:val="24"/>
        </w:rPr>
        <w:t></w:t>
      </w:r>
      <w:r w:rsidRPr="00A85BE8">
        <w:rPr>
          <w:sz w:val="24"/>
        </w:rPr>
        <w:tab/>
        <w:t>arthralgia</w:t>
      </w:r>
    </w:p>
    <w:p w:rsidR="00170F54" w:rsidRPr="00A85BE8" w:rsidRDefault="00170F54" w:rsidP="0057002E">
      <w:pPr>
        <w:adjustRightInd w:val="0"/>
        <w:snapToGrid w:val="0"/>
        <w:spacing w:afterLines="50" w:after="156" w:line="360" w:lineRule="auto"/>
        <w:ind w:leftChars="100" w:left="210"/>
        <w:rPr>
          <w:sz w:val="24"/>
        </w:rPr>
      </w:pPr>
      <w:r w:rsidRPr="00A85BE8">
        <w:rPr>
          <w:sz w:val="24"/>
        </w:rPr>
        <w:t></w:t>
      </w:r>
      <w:r w:rsidRPr="00A85BE8">
        <w:rPr>
          <w:sz w:val="24"/>
        </w:rPr>
        <w:tab/>
        <w:t>bone pain</w:t>
      </w:r>
    </w:p>
    <w:p w:rsidR="00170F54" w:rsidRPr="00A85BE8" w:rsidRDefault="00170F54" w:rsidP="0057002E">
      <w:pPr>
        <w:adjustRightInd w:val="0"/>
        <w:snapToGrid w:val="0"/>
        <w:spacing w:afterLines="50" w:after="156" w:line="360" w:lineRule="auto"/>
        <w:ind w:leftChars="100" w:left="210"/>
        <w:rPr>
          <w:sz w:val="24"/>
        </w:rPr>
      </w:pPr>
      <w:r w:rsidRPr="00A85BE8">
        <w:rPr>
          <w:sz w:val="24"/>
        </w:rPr>
        <w:t></w:t>
      </w:r>
      <w:r w:rsidRPr="00A85BE8">
        <w:rPr>
          <w:sz w:val="24"/>
        </w:rPr>
        <w:tab/>
        <w:t>fatigue</w:t>
      </w:r>
    </w:p>
    <w:p w:rsidR="00170F54" w:rsidRPr="00A85BE8" w:rsidRDefault="00170F54" w:rsidP="0057002E">
      <w:pPr>
        <w:adjustRightInd w:val="0"/>
        <w:snapToGrid w:val="0"/>
        <w:spacing w:afterLines="50" w:after="156" w:line="360" w:lineRule="auto"/>
        <w:ind w:leftChars="100" w:left="210"/>
        <w:rPr>
          <w:sz w:val="24"/>
        </w:rPr>
      </w:pPr>
      <w:r w:rsidRPr="00A85BE8">
        <w:rPr>
          <w:sz w:val="24"/>
        </w:rPr>
        <w:t></w:t>
      </w:r>
      <w:r w:rsidRPr="00A85BE8">
        <w:rPr>
          <w:sz w:val="24"/>
        </w:rPr>
        <w:tab/>
        <w:t xml:space="preserve">fever </w:t>
      </w:r>
    </w:p>
    <w:p w:rsidR="00170F54" w:rsidRPr="00A85BE8" w:rsidRDefault="00170F54" w:rsidP="0057002E">
      <w:pPr>
        <w:adjustRightInd w:val="0"/>
        <w:snapToGrid w:val="0"/>
        <w:spacing w:afterLines="50" w:after="156" w:line="360" w:lineRule="auto"/>
        <w:ind w:leftChars="100" w:left="210"/>
        <w:rPr>
          <w:sz w:val="24"/>
        </w:rPr>
      </w:pPr>
      <w:r w:rsidRPr="00A85BE8">
        <w:rPr>
          <w:sz w:val="24"/>
        </w:rPr>
        <w:t></w:t>
      </w:r>
      <w:r w:rsidRPr="00A85BE8">
        <w:rPr>
          <w:sz w:val="24"/>
        </w:rPr>
        <w:tab/>
        <w:t xml:space="preserve">lightheadedness </w:t>
      </w:r>
    </w:p>
    <w:p w:rsidR="00170F54" w:rsidRPr="00A85BE8" w:rsidRDefault="00170F54" w:rsidP="0057002E">
      <w:pPr>
        <w:adjustRightInd w:val="0"/>
        <w:snapToGrid w:val="0"/>
        <w:spacing w:afterLines="50" w:after="156" w:line="360" w:lineRule="auto"/>
        <w:ind w:leftChars="100" w:left="210"/>
        <w:rPr>
          <w:sz w:val="24"/>
        </w:rPr>
      </w:pPr>
      <w:r w:rsidRPr="00A85BE8">
        <w:rPr>
          <w:sz w:val="24"/>
        </w:rPr>
        <w:t></w:t>
      </w:r>
      <w:r w:rsidRPr="00A85BE8">
        <w:rPr>
          <w:sz w:val="24"/>
        </w:rPr>
        <w:tab/>
        <w:t>petechiae</w:t>
      </w:r>
    </w:p>
    <w:p w:rsidR="00170F54" w:rsidRPr="00A85BE8" w:rsidRDefault="00170F54" w:rsidP="0057002E">
      <w:pPr>
        <w:adjustRightInd w:val="0"/>
        <w:snapToGrid w:val="0"/>
        <w:spacing w:afterLines="50" w:after="156" w:line="360" w:lineRule="auto"/>
        <w:ind w:leftChars="100" w:left="210"/>
        <w:rPr>
          <w:sz w:val="24"/>
        </w:rPr>
      </w:pPr>
      <w:r w:rsidRPr="00A85BE8">
        <w:rPr>
          <w:sz w:val="24"/>
        </w:rPr>
        <w:t></w:t>
      </w:r>
      <w:r w:rsidRPr="00A85BE8">
        <w:rPr>
          <w:sz w:val="24"/>
        </w:rPr>
        <w:tab/>
        <w:t>mucositis</w:t>
      </w:r>
    </w:p>
    <w:p w:rsidR="00170F54" w:rsidRPr="00A85BE8" w:rsidRDefault="00170F54" w:rsidP="0057002E">
      <w:pPr>
        <w:adjustRightInd w:val="0"/>
        <w:snapToGrid w:val="0"/>
        <w:spacing w:afterLines="50" w:after="156" w:line="360" w:lineRule="auto"/>
        <w:ind w:leftChars="100" w:left="210"/>
        <w:rPr>
          <w:sz w:val="24"/>
        </w:rPr>
      </w:pPr>
      <w:r w:rsidRPr="00A85BE8">
        <w:rPr>
          <w:sz w:val="24"/>
        </w:rPr>
        <w:t></w:t>
      </w:r>
      <w:r w:rsidRPr="00A85BE8">
        <w:rPr>
          <w:sz w:val="24"/>
        </w:rPr>
        <w:tab/>
        <w:t>diarrhea</w:t>
      </w:r>
    </w:p>
    <w:p w:rsidR="00170F54" w:rsidRPr="00A85BE8" w:rsidRDefault="00AE63DE" w:rsidP="001F6F17">
      <w:pPr>
        <w:pStyle w:val="3"/>
        <w:rPr>
          <w:sz w:val="24"/>
          <w:szCs w:val="24"/>
        </w:rPr>
      </w:pPr>
      <w:bookmarkStart w:id="36" w:name="_Toc512010132"/>
      <w:r w:rsidRPr="00A85BE8">
        <w:rPr>
          <w:sz w:val="24"/>
          <w:szCs w:val="24"/>
        </w:rPr>
        <w:t>7</w:t>
      </w:r>
      <w:r w:rsidR="000A780C" w:rsidRPr="00A85BE8">
        <w:rPr>
          <w:sz w:val="24"/>
          <w:szCs w:val="24"/>
        </w:rPr>
        <w:t>.1</w:t>
      </w:r>
      <w:r w:rsidR="00170F54" w:rsidRPr="00A85BE8">
        <w:rPr>
          <w:sz w:val="24"/>
          <w:szCs w:val="24"/>
        </w:rPr>
        <w:t xml:space="preserve">.2 Laboratory abnormalities: Incidence of adverse events, grade according to the </w:t>
      </w:r>
      <w:r w:rsidR="00490631" w:rsidRPr="00A85BE8">
        <w:rPr>
          <w:sz w:val="24"/>
          <w:szCs w:val="24"/>
        </w:rPr>
        <w:t xml:space="preserve">CTCAE </w:t>
      </w:r>
      <w:r w:rsidR="00170F54" w:rsidRPr="00A85BE8">
        <w:rPr>
          <w:sz w:val="24"/>
          <w:szCs w:val="24"/>
        </w:rPr>
        <w:t>version3.0</w:t>
      </w:r>
      <w:bookmarkEnd w:id="36"/>
    </w:p>
    <w:p w:rsidR="00170F54" w:rsidRPr="00A85BE8" w:rsidRDefault="00170F54" w:rsidP="0057002E">
      <w:pPr>
        <w:adjustRightInd w:val="0"/>
        <w:snapToGrid w:val="0"/>
        <w:spacing w:afterLines="50" w:after="156" w:line="360" w:lineRule="auto"/>
        <w:ind w:leftChars="100" w:left="210"/>
        <w:rPr>
          <w:sz w:val="24"/>
        </w:rPr>
      </w:pPr>
      <w:r w:rsidRPr="00A85BE8">
        <w:rPr>
          <w:sz w:val="24"/>
        </w:rPr>
        <w:t></w:t>
      </w:r>
      <w:r w:rsidRPr="00A85BE8">
        <w:rPr>
          <w:sz w:val="24"/>
        </w:rPr>
        <w:tab/>
      </w:r>
      <w:r w:rsidR="00CA632B" w:rsidRPr="00A85BE8">
        <w:rPr>
          <w:sz w:val="24"/>
        </w:rPr>
        <w:t>1.</w:t>
      </w:r>
      <w:r w:rsidR="00403D08" w:rsidRPr="00A85BE8">
        <w:rPr>
          <w:sz w:val="24"/>
        </w:rPr>
        <w:t xml:space="preserve"> </w:t>
      </w:r>
      <w:r w:rsidRPr="00A85BE8">
        <w:rPr>
          <w:sz w:val="24"/>
        </w:rPr>
        <w:t>Hepatic function</w:t>
      </w:r>
    </w:p>
    <w:p w:rsidR="00170F54" w:rsidRPr="00A85BE8" w:rsidRDefault="00170F54" w:rsidP="0057002E">
      <w:pPr>
        <w:adjustRightInd w:val="0"/>
        <w:snapToGrid w:val="0"/>
        <w:spacing w:afterLines="50" w:after="156" w:line="360" w:lineRule="auto"/>
        <w:ind w:leftChars="300" w:left="630"/>
        <w:rPr>
          <w:sz w:val="24"/>
        </w:rPr>
      </w:pPr>
      <w:r w:rsidRPr="00A85BE8">
        <w:rPr>
          <w:sz w:val="24"/>
        </w:rPr>
        <w:t></w:t>
      </w:r>
      <w:r w:rsidRPr="00A85BE8">
        <w:rPr>
          <w:sz w:val="24"/>
        </w:rPr>
        <w:tab/>
        <w:t>ALT</w:t>
      </w:r>
    </w:p>
    <w:p w:rsidR="00170F54" w:rsidRPr="00A85BE8" w:rsidRDefault="00170F54" w:rsidP="0057002E">
      <w:pPr>
        <w:adjustRightInd w:val="0"/>
        <w:snapToGrid w:val="0"/>
        <w:spacing w:afterLines="50" w:after="156" w:line="360" w:lineRule="auto"/>
        <w:ind w:leftChars="300" w:left="630"/>
        <w:rPr>
          <w:sz w:val="24"/>
        </w:rPr>
      </w:pPr>
      <w:r w:rsidRPr="00A85BE8">
        <w:rPr>
          <w:sz w:val="24"/>
        </w:rPr>
        <w:t></w:t>
      </w:r>
      <w:r w:rsidRPr="00A85BE8">
        <w:rPr>
          <w:sz w:val="24"/>
        </w:rPr>
        <w:tab/>
        <w:t>AST</w:t>
      </w:r>
    </w:p>
    <w:p w:rsidR="00170F54" w:rsidRPr="00A85BE8" w:rsidRDefault="00170F54" w:rsidP="0057002E">
      <w:pPr>
        <w:adjustRightInd w:val="0"/>
        <w:snapToGrid w:val="0"/>
        <w:spacing w:afterLines="50" w:after="156" w:line="360" w:lineRule="auto"/>
        <w:ind w:leftChars="300" w:left="630"/>
        <w:rPr>
          <w:sz w:val="24"/>
        </w:rPr>
      </w:pPr>
      <w:r w:rsidRPr="00A85BE8">
        <w:rPr>
          <w:sz w:val="24"/>
        </w:rPr>
        <w:t></w:t>
      </w:r>
      <w:r w:rsidRPr="00A85BE8">
        <w:rPr>
          <w:sz w:val="24"/>
        </w:rPr>
        <w:tab/>
        <w:t>TBIL</w:t>
      </w:r>
    </w:p>
    <w:p w:rsidR="00170F54" w:rsidRPr="00A85BE8" w:rsidRDefault="00170F54" w:rsidP="0057002E">
      <w:pPr>
        <w:adjustRightInd w:val="0"/>
        <w:snapToGrid w:val="0"/>
        <w:spacing w:afterLines="50" w:after="156" w:line="360" w:lineRule="auto"/>
        <w:ind w:leftChars="300" w:left="630"/>
        <w:rPr>
          <w:sz w:val="24"/>
        </w:rPr>
      </w:pPr>
      <w:r w:rsidRPr="00A85BE8">
        <w:rPr>
          <w:sz w:val="24"/>
        </w:rPr>
        <w:t></w:t>
      </w:r>
      <w:r w:rsidRPr="00A85BE8">
        <w:rPr>
          <w:sz w:val="24"/>
        </w:rPr>
        <w:tab/>
        <w:t>DBIL</w:t>
      </w:r>
    </w:p>
    <w:p w:rsidR="00170F54" w:rsidRPr="00A85BE8" w:rsidRDefault="00403D08" w:rsidP="0057002E">
      <w:pPr>
        <w:adjustRightInd w:val="0"/>
        <w:snapToGrid w:val="0"/>
        <w:spacing w:afterLines="50" w:after="156" w:line="360" w:lineRule="auto"/>
        <w:ind w:leftChars="300" w:left="630"/>
        <w:rPr>
          <w:sz w:val="24"/>
        </w:rPr>
      </w:pPr>
      <w:r w:rsidRPr="00A85BE8">
        <w:rPr>
          <w:sz w:val="24"/>
        </w:rPr>
        <w:t></w:t>
      </w:r>
      <w:r w:rsidR="00CA632B" w:rsidRPr="00A85BE8">
        <w:rPr>
          <w:sz w:val="24"/>
        </w:rPr>
        <w:t>2.</w:t>
      </w:r>
      <w:r w:rsidRPr="00A85BE8">
        <w:rPr>
          <w:sz w:val="24"/>
        </w:rPr>
        <w:t xml:space="preserve"> </w:t>
      </w:r>
      <w:r w:rsidR="00170F54" w:rsidRPr="00A85BE8">
        <w:rPr>
          <w:sz w:val="24"/>
        </w:rPr>
        <w:t>Renal function</w:t>
      </w:r>
    </w:p>
    <w:p w:rsidR="00170F54" w:rsidRPr="00A85BE8" w:rsidRDefault="00170F54" w:rsidP="0057002E">
      <w:pPr>
        <w:adjustRightInd w:val="0"/>
        <w:snapToGrid w:val="0"/>
        <w:spacing w:afterLines="50" w:after="156" w:line="360" w:lineRule="auto"/>
        <w:ind w:leftChars="300" w:left="630"/>
        <w:rPr>
          <w:sz w:val="24"/>
        </w:rPr>
      </w:pPr>
      <w:r w:rsidRPr="00A85BE8">
        <w:rPr>
          <w:sz w:val="24"/>
        </w:rPr>
        <w:t></w:t>
      </w:r>
      <w:r w:rsidRPr="00A85BE8">
        <w:rPr>
          <w:sz w:val="24"/>
        </w:rPr>
        <w:tab/>
        <w:t>BUN</w:t>
      </w:r>
    </w:p>
    <w:p w:rsidR="00170F54" w:rsidRPr="00A85BE8" w:rsidRDefault="00170F54" w:rsidP="0057002E">
      <w:pPr>
        <w:adjustRightInd w:val="0"/>
        <w:snapToGrid w:val="0"/>
        <w:spacing w:afterLines="50" w:after="156" w:line="360" w:lineRule="auto"/>
        <w:ind w:leftChars="300" w:left="630"/>
        <w:rPr>
          <w:sz w:val="24"/>
        </w:rPr>
      </w:pPr>
      <w:r w:rsidRPr="00A85BE8">
        <w:rPr>
          <w:sz w:val="24"/>
        </w:rPr>
        <w:t></w:t>
      </w:r>
      <w:r w:rsidRPr="00A85BE8">
        <w:rPr>
          <w:sz w:val="24"/>
        </w:rPr>
        <w:tab/>
        <w:t>Scr</w:t>
      </w:r>
    </w:p>
    <w:p w:rsidR="000A780C" w:rsidRPr="00A85BE8" w:rsidRDefault="00631B9A" w:rsidP="001F6F17">
      <w:pPr>
        <w:pStyle w:val="2"/>
        <w:rPr>
          <w:sz w:val="28"/>
          <w:szCs w:val="28"/>
        </w:rPr>
      </w:pPr>
      <w:bookmarkStart w:id="37" w:name="_Toc512010133"/>
      <w:r w:rsidRPr="00A85BE8">
        <w:rPr>
          <w:sz w:val="28"/>
          <w:szCs w:val="28"/>
        </w:rPr>
        <w:t>7.2 Adverse Events</w:t>
      </w:r>
      <w:bookmarkEnd w:id="37"/>
    </w:p>
    <w:p w:rsidR="00295053" w:rsidRPr="00A85BE8" w:rsidRDefault="00490631" w:rsidP="0057002E">
      <w:pPr>
        <w:adjustRightInd w:val="0"/>
        <w:snapToGrid w:val="0"/>
        <w:spacing w:afterLines="50" w:after="156" w:line="360" w:lineRule="auto"/>
        <w:ind w:leftChars="100" w:left="210"/>
        <w:rPr>
          <w:sz w:val="24"/>
        </w:rPr>
      </w:pPr>
      <w:r w:rsidRPr="00A85BE8">
        <w:rPr>
          <w:sz w:val="24"/>
        </w:rPr>
        <w:t xml:space="preserve">  The investigator is required to make an assessment of the toxicity grade of each </w:t>
      </w:r>
      <w:r w:rsidR="00C523AC" w:rsidRPr="00A85BE8">
        <w:rPr>
          <w:sz w:val="24"/>
        </w:rPr>
        <w:t xml:space="preserve">adverse events (AE) </w:t>
      </w:r>
      <w:r w:rsidRPr="00A85BE8">
        <w:rPr>
          <w:sz w:val="24"/>
        </w:rPr>
        <w:t xml:space="preserve">or </w:t>
      </w:r>
      <w:r w:rsidR="00C523AC" w:rsidRPr="00A85BE8">
        <w:rPr>
          <w:sz w:val="24"/>
        </w:rPr>
        <w:t xml:space="preserve">serious adverse events (SAE) </w:t>
      </w:r>
      <w:r w:rsidRPr="00A85BE8">
        <w:rPr>
          <w:sz w:val="24"/>
        </w:rPr>
        <w:t>reported. In this protocol, the toxicity grade of each AE/SAE will be evaluated according to the CTCAE version 3.0.</w:t>
      </w:r>
    </w:p>
    <w:p w:rsidR="001C2B7A" w:rsidRPr="00A85BE8" w:rsidRDefault="0098473D" w:rsidP="001F6F17">
      <w:pPr>
        <w:pStyle w:val="1"/>
        <w:rPr>
          <w:sz w:val="32"/>
          <w:szCs w:val="32"/>
        </w:rPr>
      </w:pPr>
      <w:bookmarkStart w:id="38" w:name="_Toc512010134"/>
      <w:r w:rsidRPr="00A85BE8">
        <w:rPr>
          <w:sz w:val="32"/>
          <w:szCs w:val="32"/>
        </w:rPr>
        <w:t>8. Rules of Follow-Up</w:t>
      </w:r>
      <w:bookmarkEnd w:id="38"/>
    </w:p>
    <w:p w:rsidR="00166AD1" w:rsidRPr="00A85BE8" w:rsidRDefault="00166AD1" w:rsidP="001F6F17">
      <w:pPr>
        <w:pStyle w:val="2"/>
        <w:rPr>
          <w:sz w:val="28"/>
          <w:szCs w:val="28"/>
        </w:rPr>
      </w:pPr>
      <w:bookmarkStart w:id="39" w:name="_Toc512010135"/>
      <w:r w:rsidRPr="00A85BE8">
        <w:rPr>
          <w:sz w:val="28"/>
          <w:szCs w:val="28"/>
        </w:rPr>
        <w:t>8.1 Follow-up Period</w:t>
      </w:r>
      <w:bookmarkEnd w:id="39"/>
    </w:p>
    <w:p w:rsidR="00166AD1" w:rsidRPr="00A85BE8" w:rsidRDefault="00166AD1" w:rsidP="0057002E">
      <w:pPr>
        <w:adjustRightInd w:val="0"/>
        <w:snapToGrid w:val="0"/>
        <w:spacing w:afterLines="50" w:after="156" w:line="360" w:lineRule="auto"/>
        <w:ind w:leftChars="100" w:left="210"/>
        <w:rPr>
          <w:sz w:val="24"/>
        </w:rPr>
      </w:pPr>
      <w:r w:rsidRPr="00A85BE8">
        <w:rPr>
          <w:sz w:val="24"/>
        </w:rPr>
        <w:t xml:space="preserve"> Starting after completion of ATG treatment or withdrawal from the study for other reasons.</w:t>
      </w:r>
    </w:p>
    <w:p w:rsidR="00166AD1" w:rsidRPr="00A85BE8" w:rsidRDefault="00166AD1" w:rsidP="001C7B10">
      <w:pPr>
        <w:pStyle w:val="2"/>
        <w:rPr>
          <w:sz w:val="28"/>
          <w:szCs w:val="28"/>
        </w:rPr>
      </w:pPr>
      <w:bookmarkStart w:id="40" w:name="_Toc512010136"/>
      <w:r w:rsidRPr="00A85BE8">
        <w:rPr>
          <w:sz w:val="28"/>
          <w:szCs w:val="28"/>
        </w:rPr>
        <w:t>8.2 Visit Scheduling</w:t>
      </w:r>
      <w:bookmarkEnd w:id="40"/>
    </w:p>
    <w:p w:rsidR="00166AD1" w:rsidRPr="00A85BE8" w:rsidRDefault="00166AD1" w:rsidP="0057002E">
      <w:pPr>
        <w:adjustRightInd w:val="0"/>
        <w:snapToGrid w:val="0"/>
        <w:spacing w:afterLines="50" w:after="156" w:line="360" w:lineRule="auto"/>
        <w:ind w:leftChars="100" w:left="210"/>
        <w:rPr>
          <w:sz w:val="24"/>
        </w:rPr>
      </w:pPr>
      <w:r w:rsidRPr="00A85BE8">
        <w:rPr>
          <w:sz w:val="24"/>
        </w:rPr>
        <w:t xml:space="preserve"> Every week for the first 3 months after transplantation, every two weeks during the 4th to 9th month post-transplantation, every month for the 10th to 24th month, and then every three months for the 25th to 36th month.</w:t>
      </w:r>
    </w:p>
    <w:p w:rsidR="00166AD1" w:rsidRPr="00A85BE8" w:rsidRDefault="00166AD1" w:rsidP="001C7B10">
      <w:pPr>
        <w:pStyle w:val="2"/>
        <w:rPr>
          <w:sz w:val="28"/>
          <w:szCs w:val="28"/>
        </w:rPr>
      </w:pPr>
      <w:bookmarkStart w:id="41" w:name="_Toc512010137"/>
      <w:r w:rsidRPr="00A85BE8">
        <w:rPr>
          <w:sz w:val="28"/>
          <w:szCs w:val="28"/>
        </w:rPr>
        <w:t>8.3 Contents</w:t>
      </w:r>
      <w:bookmarkEnd w:id="41"/>
    </w:p>
    <w:p w:rsidR="00D761F2" w:rsidRPr="00A85BE8" w:rsidRDefault="0026008D" w:rsidP="0057002E">
      <w:pPr>
        <w:adjustRightInd w:val="0"/>
        <w:snapToGrid w:val="0"/>
        <w:spacing w:afterLines="50" w:after="156" w:line="360" w:lineRule="auto"/>
        <w:ind w:leftChars="100" w:left="210"/>
        <w:rPr>
          <w:sz w:val="24"/>
        </w:rPr>
      </w:pPr>
      <w:r w:rsidRPr="00A85BE8">
        <w:rPr>
          <w:sz w:val="24"/>
        </w:rPr>
        <w:t xml:space="preserve"> The contents of every follow-up visit include complaints of subjects, physical examination, hematology, urinalysis, biochemistry and</w:t>
      </w:r>
      <w:r w:rsidR="002A485F" w:rsidRPr="00A85BE8">
        <w:rPr>
          <w:sz w:val="24"/>
        </w:rPr>
        <w:t xml:space="preserve"> viral loads in blood (EBV-DNA or CMV-DNA)</w:t>
      </w:r>
      <w:r w:rsidRPr="00A85BE8">
        <w:rPr>
          <w:sz w:val="24"/>
        </w:rPr>
        <w:t xml:space="preserve">. All of the results must be documented </w:t>
      </w:r>
      <w:r w:rsidR="005A2FB3" w:rsidRPr="00A85BE8">
        <w:rPr>
          <w:sz w:val="24"/>
        </w:rPr>
        <w:t>in the original medical record.</w:t>
      </w:r>
    </w:p>
    <w:p w:rsidR="00CC1DF3" w:rsidRPr="00A85BE8" w:rsidRDefault="00560810" w:rsidP="001C7B10">
      <w:pPr>
        <w:pStyle w:val="1"/>
        <w:rPr>
          <w:sz w:val="32"/>
          <w:szCs w:val="32"/>
        </w:rPr>
      </w:pPr>
      <w:bookmarkStart w:id="42" w:name="_Toc512010138"/>
      <w:r w:rsidRPr="00A85BE8">
        <w:rPr>
          <w:sz w:val="32"/>
          <w:szCs w:val="32"/>
        </w:rPr>
        <w:t>9</w:t>
      </w:r>
      <w:r w:rsidR="00DA561C" w:rsidRPr="00A85BE8">
        <w:rPr>
          <w:sz w:val="32"/>
          <w:szCs w:val="32"/>
        </w:rPr>
        <w:t>. Data Analysis a</w:t>
      </w:r>
      <w:r w:rsidR="002F4D83" w:rsidRPr="00A85BE8">
        <w:rPr>
          <w:sz w:val="32"/>
          <w:szCs w:val="32"/>
        </w:rPr>
        <w:t>nd Statistical Considerations</w:t>
      </w:r>
      <w:bookmarkEnd w:id="42"/>
    </w:p>
    <w:p w:rsidR="00A60A69" w:rsidRPr="00A85BE8" w:rsidRDefault="00560810" w:rsidP="001C7B10">
      <w:pPr>
        <w:pStyle w:val="2"/>
        <w:rPr>
          <w:sz w:val="28"/>
          <w:szCs w:val="28"/>
        </w:rPr>
      </w:pPr>
      <w:bookmarkStart w:id="43" w:name="_Toc512010139"/>
      <w:r w:rsidRPr="00A85BE8">
        <w:rPr>
          <w:sz w:val="28"/>
          <w:szCs w:val="28"/>
        </w:rPr>
        <w:t>9</w:t>
      </w:r>
      <w:r w:rsidR="00A60A69" w:rsidRPr="00A85BE8">
        <w:rPr>
          <w:sz w:val="28"/>
          <w:szCs w:val="28"/>
        </w:rPr>
        <w:t>.</w:t>
      </w:r>
      <w:r w:rsidR="00CC1DF3" w:rsidRPr="00A85BE8">
        <w:rPr>
          <w:sz w:val="28"/>
          <w:szCs w:val="28"/>
        </w:rPr>
        <w:t>1</w:t>
      </w:r>
      <w:r w:rsidR="00A60A69" w:rsidRPr="00A85BE8">
        <w:rPr>
          <w:sz w:val="28"/>
          <w:szCs w:val="28"/>
        </w:rPr>
        <w:t xml:space="preserve"> Study Design Considerations</w:t>
      </w:r>
      <w:bookmarkEnd w:id="43"/>
      <w:r w:rsidR="00A60A69" w:rsidRPr="00A85BE8">
        <w:rPr>
          <w:sz w:val="28"/>
          <w:szCs w:val="28"/>
        </w:rPr>
        <w:t xml:space="preserve"> </w:t>
      </w:r>
    </w:p>
    <w:p w:rsidR="00A60A69" w:rsidRPr="00A85BE8" w:rsidRDefault="00A60A69" w:rsidP="0057002E">
      <w:pPr>
        <w:adjustRightInd w:val="0"/>
        <w:snapToGrid w:val="0"/>
        <w:spacing w:afterLines="50" w:after="156" w:line="360" w:lineRule="auto"/>
        <w:ind w:firstLineChars="150" w:firstLine="360"/>
        <w:rPr>
          <w:sz w:val="24"/>
        </w:rPr>
      </w:pPr>
      <w:r w:rsidRPr="00A85BE8">
        <w:rPr>
          <w:sz w:val="24"/>
        </w:rPr>
        <w:t>This is a prospective, multi-center, controlled, open-label, randomized (1:1) phase Ⅳ study of comparison of different d</w:t>
      </w:r>
      <w:r w:rsidR="002A14DA" w:rsidRPr="00A85BE8">
        <w:rPr>
          <w:sz w:val="24"/>
        </w:rPr>
        <w:t>osages ATG for GVHD prophylaxis</w:t>
      </w:r>
      <w:r w:rsidRPr="00A85BE8">
        <w:rPr>
          <w:sz w:val="24"/>
        </w:rPr>
        <w:t xml:space="preserve"> (7.5 mg/kg vs. 10.0 mg/kg) in patients receiving haplo-HSCT. </w:t>
      </w:r>
      <w:r w:rsidR="00F6302E" w:rsidRPr="00A85BE8">
        <w:rPr>
          <w:sz w:val="24"/>
        </w:rPr>
        <w:t>The primary Endpoint was incidence of EBV</w:t>
      </w:r>
      <w:r w:rsidR="0016756A" w:rsidRPr="00A85BE8">
        <w:rPr>
          <w:sz w:val="24"/>
        </w:rPr>
        <w:t xml:space="preserve"> DNAemia</w:t>
      </w:r>
      <w:r w:rsidR="00F6302E" w:rsidRPr="00A85BE8">
        <w:rPr>
          <w:sz w:val="24"/>
        </w:rPr>
        <w:t xml:space="preserve"> within 1 year post-transplantation, and the study is designed to determine if 7.5</w:t>
      </w:r>
      <w:bookmarkStart w:id="44" w:name="OLE_LINK61"/>
      <w:r w:rsidR="00F6302E" w:rsidRPr="00A85BE8">
        <w:rPr>
          <w:sz w:val="24"/>
        </w:rPr>
        <w:t xml:space="preserve"> mg/kg</w:t>
      </w:r>
      <w:bookmarkEnd w:id="44"/>
      <w:r w:rsidR="00F6302E" w:rsidRPr="00A85BE8">
        <w:rPr>
          <w:sz w:val="24"/>
        </w:rPr>
        <w:t xml:space="preserve"> ATG is superior to 10.0 mg/kg in the study population with respect to EBV</w:t>
      </w:r>
      <w:r w:rsidR="0016756A" w:rsidRPr="00A85BE8">
        <w:rPr>
          <w:sz w:val="24"/>
        </w:rPr>
        <w:t xml:space="preserve"> DNAemia</w:t>
      </w:r>
      <w:r w:rsidR="00F6302E" w:rsidRPr="00A85BE8">
        <w:rPr>
          <w:sz w:val="24"/>
        </w:rPr>
        <w:t>.</w:t>
      </w:r>
    </w:p>
    <w:p w:rsidR="00D13742" w:rsidRPr="00A85BE8" w:rsidRDefault="00560810" w:rsidP="001C7B10">
      <w:pPr>
        <w:pStyle w:val="3"/>
        <w:rPr>
          <w:sz w:val="24"/>
          <w:szCs w:val="24"/>
        </w:rPr>
      </w:pPr>
      <w:bookmarkStart w:id="45" w:name="_Toc512010140"/>
      <w:r w:rsidRPr="00A85BE8">
        <w:rPr>
          <w:sz w:val="24"/>
          <w:szCs w:val="24"/>
        </w:rPr>
        <w:t>9</w:t>
      </w:r>
      <w:r w:rsidR="00D62C8A" w:rsidRPr="00A85BE8">
        <w:rPr>
          <w:sz w:val="24"/>
          <w:szCs w:val="24"/>
        </w:rPr>
        <w:t>.1.1</w:t>
      </w:r>
      <w:r w:rsidR="00D13742" w:rsidRPr="00A85BE8">
        <w:rPr>
          <w:sz w:val="24"/>
          <w:szCs w:val="24"/>
        </w:rPr>
        <w:t xml:space="preserve"> Sample Size Assumptions</w:t>
      </w:r>
      <w:bookmarkEnd w:id="45"/>
    </w:p>
    <w:p w:rsidR="00BE502A" w:rsidRPr="00A85BE8" w:rsidRDefault="00D13742" w:rsidP="0057002E">
      <w:pPr>
        <w:adjustRightInd w:val="0"/>
        <w:snapToGrid w:val="0"/>
        <w:spacing w:afterLines="50" w:after="156" w:line="360" w:lineRule="auto"/>
        <w:ind w:firstLineChars="100" w:firstLine="240"/>
        <w:rPr>
          <w:rFonts w:eastAsiaTheme="minorEastAsia"/>
          <w:sz w:val="24"/>
        </w:rPr>
      </w:pPr>
      <w:r w:rsidRPr="00A85BE8">
        <w:rPr>
          <w:sz w:val="24"/>
        </w:rPr>
        <w:t xml:space="preserve">  </w:t>
      </w:r>
      <w:r w:rsidR="0016756A" w:rsidRPr="00A85BE8">
        <w:rPr>
          <w:sz w:val="24"/>
        </w:rPr>
        <w:t xml:space="preserve">In the initial design, we predefined grade II to IV acute GVHD as the primary endpoint. We hypothesized that non-inferiority of 7.5 mg/kg ATG against 10.0 mg/kg ATG was established if the difference of the 95% CI in grade II to IV acute GVHD between the two groups was within 15%. On the assumption of an incidence of grade II to IV acute GVHD of 30%, an estimated 197 patients in each group were required at the one-sided significance level of 5% with a power of 90%. After the analysis of the first 210 patients enrolled in the study, the 100-day incidence of grade II to IV acute GVHD was 28.9% and 27.8% in the 7.5 mg/kg and 10.0 mg/kg groups with a difference of 1.2% with 95% CI of -10.0% to 13.4%. The 1-year incidence of EBV DNAemia in the 7.5 mg/kg group was significantly lower than that in the 10.0 mg/kg group (27.1% in 7.5 mg/kg group vs 45.2% in the 10.0 mg/kg group). According to the recommendation of the data and safety monitoring committee, the change of the primary endpoint was made to evaluate the superiority of a dose level of 7.5 mg ATG on viral infections without increasing aGVHD after haplo-HSCT. </w:t>
      </w:r>
    </w:p>
    <w:p w:rsidR="00D13742" w:rsidRPr="00A85BE8" w:rsidRDefault="00D13742" w:rsidP="0057002E">
      <w:pPr>
        <w:adjustRightInd w:val="0"/>
        <w:snapToGrid w:val="0"/>
        <w:spacing w:afterLines="50" w:after="156" w:line="360" w:lineRule="auto"/>
        <w:ind w:firstLineChars="100" w:firstLine="240"/>
        <w:rPr>
          <w:sz w:val="24"/>
        </w:rPr>
      </w:pPr>
      <w:r w:rsidRPr="00A85BE8">
        <w:rPr>
          <w:sz w:val="24"/>
        </w:rPr>
        <w:t>The sample size calculation is with the following assumptions:</w:t>
      </w:r>
    </w:p>
    <w:p w:rsidR="00D13742" w:rsidRPr="00A85BE8" w:rsidRDefault="00D13742" w:rsidP="0057002E">
      <w:pPr>
        <w:pStyle w:val="a7"/>
        <w:numPr>
          <w:ilvl w:val="0"/>
          <w:numId w:val="29"/>
        </w:numPr>
        <w:adjustRightInd w:val="0"/>
        <w:snapToGrid w:val="0"/>
        <w:spacing w:afterLines="50" w:after="156" w:line="360" w:lineRule="auto"/>
        <w:ind w:firstLineChars="0"/>
        <w:rPr>
          <w:sz w:val="24"/>
        </w:rPr>
      </w:pPr>
      <w:r w:rsidRPr="00A85BE8">
        <w:rPr>
          <w:sz w:val="24"/>
        </w:rPr>
        <w:t>Inci</w:t>
      </w:r>
      <w:r w:rsidR="00AE2371" w:rsidRPr="00A85BE8">
        <w:rPr>
          <w:sz w:val="24"/>
        </w:rPr>
        <w:t>dence of EBV</w:t>
      </w:r>
      <w:r w:rsidR="0016756A" w:rsidRPr="00A85BE8">
        <w:rPr>
          <w:sz w:val="24"/>
        </w:rPr>
        <w:t xml:space="preserve"> DNAemia</w:t>
      </w:r>
      <w:r w:rsidR="00AE2371" w:rsidRPr="00A85BE8">
        <w:rPr>
          <w:sz w:val="24"/>
        </w:rPr>
        <w:t xml:space="preserve"> within 1 year post-transplantation in 7.5 mg</w:t>
      </w:r>
      <w:r w:rsidRPr="00A85BE8">
        <w:rPr>
          <w:sz w:val="24"/>
        </w:rPr>
        <w:t xml:space="preserve"> group: </w:t>
      </w:r>
      <w:r w:rsidR="00AE2371" w:rsidRPr="00A85BE8">
        <w:rPr>
          <w:sz w:val="24"/>
        </w:rPr>
        <w:t>30</w:t>
      </w:r>
      <w:r w:rsidRPr="00A85BE8">
        <w:rPr>
          <w:sz w:val="24"/>
        </w:rPr>
        <w:t>%</w:t>
      </w:r>
    </w:p>
    <w:p w:rsidR="00D13742" w:rsidRPr="00A85BE8" w:rsidRDefault="00AE2371" w:rsidP="0057002E">
      <w:pPr>
        <w:pStyle w:val="a7"/>
        <w:numPr>
          <w:ilvl w:val="0"/>
          <w:numId w:val="29"/>
        </w:numPr>
        <w:adjustRightInd w:val="0"/>
        <w:snapToGrid w:val="0"/>
        <w:spacing w:afterLines="50" w:after="156" w:line="360" w:lineRule="auto"/>
        <w:ind w:firstLineChars="0"/>
        <w:rPr>
          <w:sz w:val="24"/>
        </w:rPr>
      </w:pPr>
      <w:r w:rsidRPr="00A85BE8">
        <w:rPr>
          <w:sz w:val="24"/>
        </w:rPr>
        <w:t>Incidence of EBV</w:t>
      </w:r>
      <w:r w:rsidR="0016756A" w:rsidRPr="00A85BE8">
        <w:rPr>
          <w:sz w:val="24"/>
        </w:rPr>
        <w:t xml:space="preserve"> DNAemia</w:t>
      </w:r>
      <w:r w:rsidRPr="00A85BE8">
        <w:rPr>
          <w:sz w:val="24"/>
        </w:rPr>
        <w:t xml:space="preserve"> within 1 year post-transplantation in 10.0 mg group</w:t>
      </w:r>
      <w:r w:rsidR="00D13742" w:rsidRPr="00A85BE8">
        <w:rPr>
          <w:sz w:val="24"/>
        </w:rPr>
        <w:t xml:space="preserve">: </w:t>
      </w:r>
      <w:r w:rsidRPr="00A85BE8">
        <w:rPr>
          <w:sz w:val="24"/>
        </w:rPr>
        <w:t>42</w:t>
      </w:r>
      <w:r w:rsidR="00D13742" w:rsidRPr="00A85BE8">
        <w:rPr>
          <w:sz w:val="24"/>
        </w:rPr>
        <w:t>%</w:t>
      </w:r>
    </w:p>
    <w:p w:rsidR="00D13742" w:rsidRPr="00A85BE8" w:rsidRDefault="00D13742" w:rsidP="0057002E">
      <w:pPr>
        <w:pStyle w:val="a7"/>
        <w:numPr>
          <w:ilvl w:val="0"/>
          <w:numId w:val="29"/>
        </w:numPr>
        <w:adjustRightInd w:val="0"/>
        <w:snapToGrid w:val="0"/>
        <w:spacing w:afterLines="50" w:after="156" w:line="360" w:lineRule="auto"/>
        <w:ind w:firstLineChars="0"/>
        <w:rPr>
          <w:sz w:val="24"/>
        </w:rPr>
      </w:pPr>
      <w:r w:rsidRPr="00A85BE8">
        <w:rPr>
          <w:sz w:val="24"/>
        </w:rPr>
        <w:t>a 1:1 randomization scheme</w:t>
      </w:r>
    </w:p>
    <w:p w:rsidR="00C23B52" w:rsidRPr="00A85BE8" w:rsidRDefault="00D13742" w:rsidP="0057002E">
      <w:pPr>
        <w:pStyle w:val="a7"/>
        <w:numPr>
          <w:ilvl w:val="0"/>
          <w:numId w:val="29"/>
        </w:numPr>
        <w:adjustRightInd w:val="0"/>
        <w:snapToGrid w:val="0"/>
        <w:spacing w:afterLines="50" w:after="156" w:line="360" w:lineRule="auto"/>
        <w:ind w:firstLineChars="0"/>
        <w:rPr>
          <w:sz w:val="24"/>
        </w:rPr>
      </w:pPr>
      <w:r w:rsidRPr="00A85BE8">
        <w:rPr>
          <w:sz w:val="24"/>
        </w:rPr>
        <w:t xml:space="preserve">a 5% </w:t>
      </w:r>
      <w:r w:rsidR="00595EE3" w:rsidRPr="00A85BE8">
        <w:rPr>
          <w:sz w:val="24"/>
        </w:rPr>
        <w:t>1-tailed risk of erroneously claiming a difference in the presence of no true underlying difference by Chi-square test or Fisher’s exact test</w:t>
      </w:r>
    </w:p>
    <w:p w:rsidR="00D13742" w:rsidRPr="00A85BE8" w:rsidRDefault="00D13742" w:rsidP="0057002E">
      <w:pPr>
        <w:pStyle w:val="a7"/>
        <w:numPr>
          <w:ilvl w:val="0"/>
          <w:numId w:val="29"/>
        </w:numPr>
        <w:adjustRightInd w:val="0"/>
        <w:snapToGrid w:val="0"/>
        <w:spacing w:afterLines="50" w:after="156" w:line="360" w:lineRule="auto"/>
        <w:ind w:firstLineChars="0"/>
        <w:rPr>
          <w:sz w:val="24"/>
        </w:rPr>
      </w:pPr>
      <w:r w:rsidRPr="00A85BE8">
        <w:rPr>
          <w:sz w:val="24"/>
        </w:rPr>
        <w:t>a 80% chance of successfully declaring a difference in the presence of a true</w:t>
      </w:r>
      <w:r w:rsidR="00C23B52" w:rsidRPr="00A85BE8">
        <w:rPr>
          <w:sz w:val="24"/>
        </w:rPr>
        <w:t xml:space="preserve"> </w:t>
      </w:r>
      <w:r w:rsidRPr="00A85BE8">
        <w:rPr>
          <w:sz w:val="24"/>
        </w:rPr>
        <w:t>underlying difference (power)</w:t>
      </w:r>
    </w:p>
    <w:p w:rsidR="00D13742" w:rsidRPr="00A85BE8" w:rsidRDefault="00C23B52" w:rsidP="0057002E">
      <w:pPr>
        <w:pStyle w:val="a7"/>
        <w:numPr>
          <w:ilvl w:val="0"/>
          <w:numId w:val="29"/>
        </w:numPr>
        <w:adjustRightInd w:val="0"/>
        <w:snapToGrid w:val="0"/>
        <w:spacing w:afterLines="50" w:after="156" w:line="360" w:lineRule="auto"/>
        <w:ind w:firstLineChars="0"/>
        <w:rPr>
          <w:sz w:val="24"/>
        </w:rPr>
      </w:pPr>
      <w:r w:rsidRPr="00A85BE8">
        <w:rPr>
          <w:sz w:val="24"/>
        </w:rPr>
        <w:t>5</w:t>
      </w:r>
      <w:r w:rsidR="00D13742" w:rsidRPr="00A85BE8">
        <w:rPr>
          <w:sz w:val="24"/>
        </w:rPr>
        <w:t>% percent of cases drop</w:t>
      </w:r>
    </w:p>
    <w:p w:rsidR="00D13742" w:rsidRPr="00A85BE8" w:rsidRDefault="00D13742" w:rsidP="0057002E">
      <w:pPr>
        <w:adjustRightInd w:val="0"/>
        <w:snapToGrid w:val="0"/>
        <w:spacing w:afterLines="50" w:after="156" w:line="360" w:lineRule="auto"/>
        <w:ind w:firstLineChars="100" w:firstLine="240"/>
        <w:rPr>
          <w:sz w:val="24"/>
        </w:rPr>
      </w:pPr>
      <w:r w:rsidRPr="00A85BE8">
        <w:rPr>
          <w:sz w:val="24"/>
        </w:rPr>
        <w:t xml:space="preserve">Under the above assumptions, a total sample size of </w:t>
      </w:r>
      <w:r w:rsidR="00C23B52" w:rsidRPr="00A85BE8">
        <w:rPr>
          <w:sz w:val="24"/>
        </w:rPr>
        <w:t>412</w:t>
      </w:r>
      <w:r w:rsidRPr="00A85BE8">
        <w:rPr>
          <w:sz w:val="24"/>
        </w:rPr>
        <w:t xml:space="preserve"> subjects is required</w:t>
      </w:r>
      <w:r w:rsidR="00C23B52" w:rsidRPr="00A85BE8">
        <w:rPr>
          <w:sz w:val="24"/>
        </w:rPr>
        <w:t xml:space="preserve"> (206 in each group)</w:t>
      </w:r>
      <w:r w:rsidRPr="00A85BE8">
        <w:rPr>
          <w:sz w:val="24"/>
        </w:rPr>
        <w:t>.</w:t>
      </w:r>
    </w:p>
    <w:p w:rsidR="00D62C8A" w:rsidRPr="00A85BE8" w:rsidRDefault="00560810" w:rsidP="001C7B10">
      <w:pPr>
        <w:pStyle w:val="3"/>
        <w:rPr>
          <w:sz w:val="24"/>
          <w:szCs w:val="24"/>
        </w:rPr>
      </w:pPr>
      <w:bookmarkStart w:id="46" w:name="_Toc512010141"/>
      <w:r w:rsidRPr="00A85BE8">
        <w:rPr>
          <w:sz w:val="24"/>
          <w:szCs w:val="24"/>
        </w:rPr>
        <w:t>9</w:t>
      </w:r>
      <w:r w:rsidR="00D62C8A" w:rsidRPr="00A85BE8">
        <w:rPr>
          <w:sz w:val="24"/>
          <w:szCs w:val="24"/>
        </w:rPr>
        <w:t>.1.2 Primary Efficacy Endpoint</w:t>
      </w:r>
      <w:bookmarkEnd w:id="46"/>
    </w:p>
    <w:p w:rsidR="00D62C8A" w:rsidRPr="00A85BE8" w:rsidRDefault="00D62C8A" w:rsidP="0057002E">
      <w:pPr>
        <w:adjustRightInd w:val="0"/>
        <w:snapToGrid w:val="0"/>
        <w:spacing w:afterLines="50" w:after="156" w:line="360" w:lineRule="auto"/>
        <w:ind w:firstLineChars="100" w:firstLine="240"/>
        <w:rPr>
          <w:sz w:val="24"/>
        </w:rPr>
      </w:pPr>
      <w:r w:rsidRPr="00A85BE8">
        <w:rPr>
          <w:sz w:val="24"/>
        </w:rPr>
        <w:t>The primary efficacy endpoint was incidence of EBV</w:t>
      </w:r>
      <w:r w:rsidR="0016756A" w:rsidRPr="00A85BE8">
        <w:rPr>
          <w:sz w:val="24"/>
        </w:rPr>
        <w:t xml:space="preserve"> DNAemia</w:t>
      </w:r>
      <w:r w:rsidRPr="00A85BE8">
        <w:rPr>
          <w:sz w:val="24"/>
        </w:rPr>
        <w:t xml:space="preserve"> post-transplantation</w:t>
      </w:r>
    </w:p>
    <w:p w:rsidR="00D62C8A" w:rsidRPr="00A85BE8" w:rsidRDefault="00560810" w:rsidP="001C7B10">
      <w:pPr>
        <w:pStyle w:val="3"/>
        <w:rPr>
          <w:sz w:val="24"/>
          <w:szCs w:val="24"/>
        </w:rPr>
      </w:pPr>
      <w:bookmarkStart w:id="47" w:name="_Toc512010142"/>
      <w:r w:rsidRPr="00A85BE8">
        <w:rPr>
          <w:sz w:val="24"/>
          <w:szCs w:val="24"/>
        </w:rPr>
        <w:t>9</w:t>
      </w:r>
      <w:r w:rsidR="00D62C8A" w:rsidRPr="00A85BE8">
        <w:rPr>
          <w:sz w:val="24"/>
          <w:szCs w:val="24"/>
        </w:rPr>
        <w:t>.1.3 Secondary Efficacy Endpoints</w:t>
      </w:r>
      <w:bookmarkEnd w:id="47"/>
    </w:p>
    <w:p w:rsidR="00D62C8A" w:rsidRPr="00A85BE8" w:rsidRDefault="00D62C8A" w:rsidP="0057002E">
      <w:pPr>
        <w:adjustRightInd w:val="0"/>
        <w:snapToGrid w:val="0"/>
        <w:spacing w:afterLines="50" w:after="156" w:line="360" w:lineRule="auto"/>
        <w:ind w:firstLineChars="150" w:firstLine="360"/>
        <w:rPr>
          <w:sz w:val="24"/>
        </w:rPr>
      </w:pPr>
      <w:r w:rsidRPr="00A85BE8">
        <w:rPr>
          <w:sz w:val="24"/>
        </w:rPr>
        <w:t>The incidence of grade II to IV and grade III to IV aGVHD within 100 days post-transplantation; hematopoietic engraftment; cGVHD</w:t>
      </w:r>
      <w:r w:rsidR="00FC1408" w:rsidRPr="00A85BE8">
        <w:rPr>
          <w:rFonts w:hint="eastAsia"/>
          <w:sz w:val="24"/>
        </w:rPr>
        <w:t>;</w:t>
      </w:r>
      <w:r w:rsidRPr="00A85BE8">
        <w:rPr>
          <w:sz w:val="24"/>
        </w:rPr>
        <w:t xml:space="preserve"> EBV-associated diseases</w:t>
      </w:r>
      <w:r w:rsidR="00FC1408" w:rsidRPr="00A85BE8">
        <w:rPr>
          <w:rFonts w:hint="eastAsia"/>
          <w:sz w:val="24"/>
        </w:rPr>
        <w:t>;</w:t>
      </w:r>
      <w:r w:rsidRPr="00A85BE8">
        <w:rPr>
          <w:sz w:val="24"/>
        </w:rPr>
        <w:t xml:space="preserve"> CMV infections (CMV</w:t>
      </w:r>
      <w:r w:rsidR="0016756A" w:rsidRPr="00A85BE8">
        <w:rPr>
          <w:sz w:val="24"/>
        </w:rPr>
        <w:t xml:space="preserve"> DNAemia</w:t>
      </w:r>
      <w:r w:rsidRPr="00A85BE8">
        <w:rPr>
          <w:sz w:val="24"/>
        </w:rPr>
        <w:t xml:space="preserve"> and associated diseases)</w:t>
      </w:r>
      <w:r w:rsidR="00FC1408" w:rsidRPr="00A85BE8">
        <w:rPr>
          <w:rFonts w:hint="eastAsia"/>
          <w:sz w:val="24"/>
        </w:rPr>
        <w:t>;</w:t>
      </w:r>
      <w:r w:rsidRPr="00A85BE8">
        <w:rPr>
          <w:sz w:val="24"/>
        </w:rPr>
        <w:t xml:space="preserve"> relapse</w:t>
      </w:r>
      <w:r w:rsidR="00FC1408" w:rsidRPr="00A85BE8">
        <w:rPr>
          <w:rFonts w:hint="eastAsia"/>
          <w:sz w:val="24"/>
        </w:rPr>
        <w:t>;</w:t>
      </w:r>
      <w:r w:rsidRPr="00A85BE8">
        <w:rPr>
          <w:sz w:val="24"/>
        </w:rPr>
        <w:t xml:space="preserve"> non-relapse mortality (NRM)</w:t>
      </w:r>
      <w:r w:rsidR="00FC1408" w:rsidRPr="00A85BE8">
        <w:rPr>
          <w:rFonts w:hint="eastAsia"/>
          <w:sz w:val="24"/>
        </w:rPr>
        <w:t>;</w:t>
      </w:r>
      <w:r w:rsidRPr="00A85BE8">
        <w:rPr>
          <w:sz w:val="24"/>
        </w:rPr>
        <w:t xml:space="preserve"> OS</w:t>
      </w:r>
      <w:r w:rsidR="00FC1408" w:rsidRPr="00A85BE8">
        <w:rPr>
          <w:rFonts w:hint="eastAsia"/>
          <w:sz w:val="24"/>
        </w:rPr>
        <w:t>;</w:t>
      </w:r>
      <w:r w:rsidRPr="00A85BE8">
        <w:rPr>
          <w:sz w:val="24"/>
        </w:rPr>
        <w:t xml:space="preserve"> DFS and tolerance</w:t>
      </w:r>
      <w:r w:rsidR="00FC1408" w:rsidRPr="00A85BE8">
        <w:rPr>
          <w:rFonts w:hint="eastAsia"/>
          <w:sz w:val="24"/>
        </w:rPr>
        <w:t>.</w:t>
      </w:r>
    </w:p>
    <w:p w:rsidR="00D13742" w:rsidRPr="00A85BE8" w:rsidRDefault="00560810" w:rsidP="001C7B10">
      <w:pPr>
        <w:pStyle w:val="2"/>
      </w:pPr>
      <w:bookmarkStart w:id="48" w:name="_Toc512010143"/>
      <w:r w:rsidRPr="00A85BE8">
        <w:t>9</w:t>
      </w:r>
      <w:r w:rsidR="00A5617F" w:rsidRPr="00A85BE8">
        <w:t>.</w:t>
      </w:r>
      <w:r w:rsidR="00A426CD" w:rsidRPr="00A85BE8">
        <w:t>2</w:t>
      </w:r>
      <w:r w:rsidR="00A5617F" w:rsidRPr="00A85BE8">
        <w:t xml:space="preserve"> Data Analysis Considerations</w:t>
      </w:r>
      <w:bookmarkEnd w:id="48"/>
    </w:p>
    <w:p w:rsidR="002F0A8B" w:rsidRPr="00A85BE8" w:rsidRDefault="002F0A8B" w:rsidP="0057002E">
      <w:pPr>
        <w:adjustRightInd w:val="0"/>
        <w:snapToGrid w:val="0"/>
        <w:spacing w:afterLines="50" w:after="156" w:line="360" w:lineRule="auto"/>
        <w:ind w:firstLineChars="100" w:firstLine="240"/>
        <w:rPr>
          <w:sz w:val="24"/>
        </w:rPr>
      </w:pPr>
      <w:r w:rsidRPr="00A85BE8">
        <w:rPr>
          <w:sz w:val="24"/>
        </w:rPr>
        <w:t>All collected data will be checked by two physicians for completeness and plausibility, and data analysis will be conducted according to the prespecified statistical analysis plan.</w:t>
      </w:r>
    </w:p>
    <w:p w:rsidR="002F0A8B" w:rsidRPr="00A85BE8" w:rsidRDefault="002F0A8B" w:rsidP="0057002E">
      <w:pPr>
        <w:adjustRightInd w:val="0"/>
        <w:snapToGrid w:val="0"/>
        <w:spacing w:afterLines="50" w:after="156" w:line="360" w:lineRule="auto"/>
        <w:ind w:firstLineChars="100" w:firstLine="240"/>
        <w:rPr>
          <w:sz w:val="24"/>
        </w:rPr>
      </w:pPr>
      <w:r w:rsidRPr="00A85BE8">
        <w:rPr>
          <w:sz w:val="24"/>
        </w:rPr>
        <w:t>Descriptive summaries for continuous data will include the mean, standard deviation, median, minimum, and maximum. Descriptive summaries of discrete data will include the frequency and percentage of each category, as well as overall frequency and percentage totals.</w:t>
      </w:r>
    </w:p>
    <w:p w:rsidR="00054F9B" w:rsidRPr="00A85BE8" w:rsidRDefault="00560810" w:rsidP="001C7B10">
      <w:pPr>
        <w:pStyle w:val="3"/>
        <w:rPr>
          <w:sz w:val="24"/>
          <w:szCs w:val="24"/>
        </w:rPr>
      </w:pPr>
      <w:bookmarkStart w:id="49" w:name="_Toc512010144"/>
      <w:r w:rsidRPr="00A85BE8">
        <w:rPr>
          <w:sz w:val="24"/>
          <w:szCs w:val="24"/>
        </w:rPr>
        <w:t>9</w:t>
      </w:r>
      <w:r w:rsidR="00D722FA" w:rsidRPr="00A85BE8">
        <w:rPr>
          <w:sz w:val="24"/>
          <w:szCs w:val="24"/>
        </w:rPr>
        <w:t>.</w:t>
      </w:r>
      <w:r w:rsidR="005406B8" w:rsidRPr="00A85BE8">
        <w:rPr>
          <w:sz w:val="24"/>
          <w:szCs w:val="24"/>
        </w:rPr>
        <w:t>2</w:t>
      </w:r>
      <w:r w:rsidR="00B34BE2" w:rsidRPr="00A85BE8">
        <w:rPr>
          <w:sz w:val="24"/>
          <w:szCs w:val="24"/>
        </w:rPr>
        <w:t>.1</w:t>
      </w:r>
      <w:r w:rsidR="002F0A8B" w:rsidRPr="00A85BE8">
        <w:rPr>
          <w:sz w:val="24"/>
          <w:szCs w:val="24"/>
        </w:rPr>
        <w:t xml:space="preserve"> Analysis of efficacy</w:t>
      </w:r>
      <w:bookmarkEnd w:id="49"/>
      <w:r w:rsidR="002F0A8B" w:rsidRPr="00A85BE8">
        <w:rPr>
          <w:sz w:val="24"/>
          <w:szCs w:val="24"/>
        </w:rPr>
        <w:t xml:space="preserve"> </w:t>
      </w:r>
    </w:p>
    <w:p w:rsidR="006D1737" w:rsidRPr="00A85BE8" w:rsidRDefault="002F0A8B" w:rsidP="0057002E">
      <w:pPr>
        <w:adjustRightInd w:val="0"/>
        <w:snapToGrid w:val="0"/>
        <w:spacing w:afterLines="50" w:after="156" w:line="360" w:lineRule="auto"/>
        <w:ind w:firstLineChars="100" w:firstLine="240"/>
        <w:rPr>
          <w:sz w:val="24"/>
        </w:rPr>
      </w:pPr>
      <w:r w:rsidRPr="00A85BE8">
        <w:rPr>
          <w:sz w:val="24"/>
        </w:rPr>
        <w:t xml:space="preserve">For each numeric variable, the normality of distribution will be preliminarily assessed by the Kolmogorov-Smirnov test. Summary statistics, including proportions, mean, medians, and ranges, were used to describe the patient characteristics, pre-transplantation variables, adverse events, and immune recovery. The χ2 test and Mann-Whitney U test were used for categorical variables and continuous variables, respectively. </w:t>
      </w:r>
    </w:p>
    <w:p w:rsidR="009D6635" w:rsidRPr="00A85BE8" w:rsidRDefault="002F0A8B" w:rsidP="0057002E">
      <w:pPr>
        <w:adjustRightInd w:val="0"/>
        <w:snapToGrid w:val="0"/>
        <w:spacing w:afterLines="50" w:after="156" w:line="360" w:lineRule="auto"/>
        <w:ind w:firstLineChars="50" w:firstLine="120"/>
        <w:rPr>
          <w:sz w:val="24"/>
        </w:rPr>
      </w:pPr>
      <w:r w:rsidRPr="00A85BE8">
        <w:rPr>
          <w:sz w:val="24"/>
        </w:rPr>
        <w:t xml:space="preserve"> </w:t>
      </w:r>
      <w:r w:rsidR="00054F9B" w:rsidRPr="00A85BE8">
        <w:rPr>
          <w:sz w:val="24"/>
        </w:rPr>
        <w:t xml:space="preserve">Time to acute GVHD, relapse, OS, and DFS were measured from the date of HSCT (d 0). </w:t>
      </w:r>
      <w:r w:rsidR="00010E46" w:rsidRPr="00A85BE8">
        <w:rPr>
          <w:rFonts w:hint="eastAsia"/>
          <w:sz w:val="24"/>
        </w:rPr>
        <w:t xml:space="preserve">OS and DFS were </w:t>
      </w:r>
      <w:r w:rsidR="00010E46" w:rsidRPr="00A85BE8">
        <w:rPr>
          <w:sz w:val="24"/>
        </w:rPr>
        <w:t xml:space="preserve">estimated using the Kaplan-Meier method. Considering the competing risks of death, cumulative incidence curves in a competing risks setting </w:t>
      </w:r>
      <w:r w:rsidR="00010E46" w:rsidRPr="00A85BE8">
        <w:rPr>
          <w:rFonts w:hint="eastAsia"/>
          <w:sz w:val="24"/>
        </w:rPr>
        <w:t xml:space="preserve">were </w:t>
      </w:r>
      <w:r w:rsidR="00010E46" w:rsidRPr="00A85BE8">
        <w:rPr>
          <w:sz w:val="24"/>
        </w:rPr>
        <w:t>used to calculate probabilities of aGVHD, cGVHD, viral infections (EBV- and CMV- emia as well as associated diseases)</w:t>
      </w:r>
      <w:r w:rsidR="00010E46" w:rsidRPr="00A85BE8">
        <w:rPr>
          <w:rFonts w:hint="eastAsia"/>
          <w:sz w:val="24"/>
        </w:rPr>
        <w:t xml:space="preserve"> and</w:t>
      </w:r>
      <w:r w:rsidR="00010E46" w:rsidRPr="00A85BE8">
        <w:rPr>
          <w:sz w:val="24"/>
        </w:rPr>
        <w:t xml:space="preserve"> relapse</w:t>
      </w:r>
      <w:r w:rsidR="00010E46" w:rsidRPr="00A85BE8">
        <w:rPr>
          <w:rFonts w:hint="eastAsia"/>
          <w:sz w:val="24"/>
        </w:rPr>
        <w:t>.</w:t>
      </w:r>
      <w:r w:rsidR="00010E46" w:rsidRPr="00A85BE8">
        <w:rPr>
          <w:sz w:val="24"/>
        </w:rPr>
        <w:t xml:space="preserve"> </w:t>
      </w:r>
      <w:r w:rsidR="009D6635" w:rsidRPr="00A85BE8">
        <w:rPr>
          <w:sz w:val="24"/>
        </w:rPr>
        <w:t>The Co</w:t>
      </w:r>
      <w:r w:rsidR="001E2B3D" w:rsidRPr="00A85BE8">
        <w:rPr>
          <w:sz w:val="24"/>
        </w:rPr>
        <w:t>x proportional hazards model will be</w:t>
      </w:r>
      <w:r w:rsidR="009D6635" w:rsidRPr="00A85BE8">
        <w:rPr>
          <w:sz w:val="24"/>
        </w:rPr>
        <w:t xml:space="preserve"> used to evaluate the associations of patient and transplant characteristics with outcomes in multivariate a</w:t>
      </w:r>
      <w:r w:rsidR="001E2B3D" w:rsidRPr="00A85BE8">
        <w:rPr>
          <w:sz w:val="24"/>
        </w:rPr>
        <w:t xml:space="preserve">nalysis. </w:t>
      </w:r>
      <w:r w:rsidR="00010E46" w:rsidRPr="00A85BE8">
        <w:rPr>
          <w:sz w:val="24"/>
        </w:rPr>
        <w:t>The risk factors for EBV and CMV infections include age and gender of patients; conditioning;</w:t>
      </w:r>
      <w:r w:rsidR="00010E46" w:rsidRPr="00A85BE8">
        <w:t xml:space="preserve"> </w:t>
      </w:r>
      <w:r w:rsidR="00010E46" w:rsidRPr="00A85BE8">
        <w:rPr>
          <w:sz w:val="24"/>
        </w:rPr>
        <w:t>EBV serostatus in patients and donors; CMV serostatus in</w:t>
      </w:r>
      <w:r w:rsidR="00041D6E" w:rsidRPr="00A85BE8">
        <w:rPr>
          <w:sz w:val="24"/>
        </w:rPr>
        <w:t xml:space="preserve"> patients and donors; ATG dos</w:t>
      </w:r>
      <w:r w:rsidR="00041D6E" w:rsidRPr="00A85BE8">
        <w:rPr>
          <w:rFonts w:eastAsiaTheme="minorEastAsia" w:hint="eastAsia"/>
          <w:sz w:val="24"/>
        </w:rPr>
        <w:t>e</w:t>
      </w:r>
      <w:r w:rsidR="00010E46" w:rsidRPr="00A85BE8">
        <w:rPr>
          <w:sz w:val="24"/>
        </w:rPr>
        <w:t xml:space="preserve">. </w:t>
      </w:r>
      <w:r w:rsidR="00EA30E0" w:rsidRPr="00A85BE8">
        <w:rPr>
          <w:sz w:val="24"/>
        </w:rPr>
        <w:t xml:space="preserve">The risk factors for aGVHD and cGVHD </w:t>
      </w:r>
      <w:r w:rsidR="00582A43" w:rsidRPr="00A85BE8">
        <w:rPr>
          <w:sz w:val="24"/>
        </w:rPr>
        <w:t>include</w:t>
      </w:r>
      <w:r w:rsidR="00EA30E0" w:rsidRPr="00A85BE8">
        <w:rPr>
          <w:sz w:val="24"/>
        </w:rPr>
        <w:t xml:space="preserve"> age and gender of patients; </w:t>
      </w:r>
      <w:r w:rsidR="00582A43" w:rsidRPr="00A85BE8">
        <w:rPr>
          <w:sz w:val="24"/>
        </w:rPr>
        <w:t>c</w:t>
      </w:r>
      <w:r w:rsidR="00D402C5" w:rsidRPr="00A85BE8">
        <w:rPr>
          <w:sz w:val="24"/>
        </w:rPr>
        <w:t xml:space="preserve">onditioning; </w:t>
      </w:r>
      <w:r w:rsidR="00EA30E0" w:rsidRPr="00A85BE8">
        <w:rPr>
          <w:sz w:val="24"/>
        </w:rPr>
        <w:t>HLA disparity;</w:t>
      </w:r>
      <w:r w:rsidR="00D402C5" w:rsidRPr="00A85BE8">
        <w:rPr>
          <w:sz w:val="24"/>
        </w:rPr>
        <w:t xml:space="preserve"> age an</w:t>
      </w:r>
      <w:r w:rsidR="00041D6E" w:rsidRPr="00A85BE8">
        <w:rPr>
          <w:sz w:val="24"/>
        </w:rPr>
        <w:t>d gender of donors and ATG dos</w:t>
      </w:r>
      <w:r w:rsidR="00D402C5" w:rsidRPr="00A85BE8">
        <w:rPr>
          <w:sz w:val="24"/>
        </w:rPr>
        <w:t>e</w:t>
      </w:r>
      <w:r w:rsidR="00EA30E0" w:rsidRPr="00A85BE8">
        <w:rPr>
          <w:sz w:val="24"/>
        </w:rPr>
        <w:t xml:space="preserve">. </w:t>
      </w:r>
      <w:r w:rsidR="00582A43" w:rsidRPr="00A85BE8">
        <w:rPr>
          <w:sz w:val="24"/>
        </w:rPr>
        <w:t xml:space="preserve">The risk factors for survival and relapse include age and gender of patients; disease category; disease status; </w:t>
      </w:r>
      <w:r w:rsidR="00041D6E" w:rsidRPr="00A85BE8">
        <w:rPr>
          <w:sz w:val="24"/>
        </w:rPr>
        <w:t>ATG dos</w:t>
      </w:r>
      <w:r w:rsidR="00010E46" w:rsidRPr="00A85BE8">
        <w:rPr>
          <w:sz w:val="24"/>
        </w:rPr>
        <w:t>e</w:t>
      </w:r>
      <w:r w:rsidR="00E20668" w:rsidRPr="00A85BE8">
        <w:rPr>
          <w:sz w:val="24"/>
        </w:rPr>
        <w:t>.</w:t>
      </w:r>
    </w:p>
    <w:p w:rsidR="001E1BBF" w:rsidRPr="00A85BE8" w:rsidRDefault="00560810" w:rsidP="001C7B10">
      <w:pPr>
        <w:pStyle w:val="3"/>
        <w:rPr>
          <w:sz w:val="24"/>
          <w:szCs w:val="24"/>
        </w:rPr>
      </w:pPr>
      <w:bookmarkStart w:id="50" w:name="_Toc512010145"/>
      <w:r w:rsidRPr="00A85BE8">
        <w:rPr>
          <w:sz w:val="24"/>
          <w:szCs w:val="24"/>
        </w:rPr>
        <w:t>9</w:t>
      </w:r>
      <w:r w:rsidR="001E1BBF" w:rsidRPr="00A85BE8">
        <w:rPr>
          <w:sz w:val="24"/>
          <w:szCs w:val="24"/>
        </w:rPr>
        <w:t>.</w:t>
      </w:r>
      <w:r w:rsidR="005406B8" w:rsidRPr="00A85BE8">
        <w:rPr>
          <w:sz w:val="24"/>
          <w:szCs w:val="24"/>
        </w:rPr>
        <w:t>2</w:t>
      </w:r>
      <w:r w:rsidR="001E1BBF" w:rsidRPr="00A85BE8">
        <w:rPr>
          <w:sz w:val="24"/>
          <w:szCs w:val="24"/>
        </w:rPr>
        <w:t xml:space="preserve">.2 </w:t>
      </w:r>
      <w:r w:rsidR="0045032B" w:rsidRPr="00A85BE8">
        <w:rPr>
          <w:sz w:val="24"/>
          <w:szCs w:val="24"/>
        </w:rPr>
        <w:t xml:space="preserve">Analysis of </w:t>
      </w:r>
      <w:r w:rsidR="001E1BBF" w:rsidRPr="00A85BE8">
        <w:rPr>
          <w:sz w:val="24"/>
          <w:szCs w:val="24"/>
        </w:rPr>
        <w:t>safety</w:t>
      </w:r>
      <w:bookmarkEnd w:id="50"/>
    </w:p>
    <w:p w:rsidR="002F0A8B" w:rsidRPr="00A85BE8" w:rsidRDefault="001E1BBF" w:rsidP="0057002E">
      <w:pPr>
        <w:adjustRightInd w:val="0"/>
        <w:snapToGrid w:val="0"/>
        <w:spacing w:afterLines="50" w:after="156" w:line="360" w:lineRule="auto"/>
        <w:ind w:firstLineChars="50" w:firstLine="120"/>
        <w:rPr>
          <w:sz w:val="24"/>
        </w:rPr>
      </w:pPr>
      <w:r w:rsidRPr="00A85BE8">
        <w:rPr>
          <w:sz w:val="24"/>
        </w:rPr>
        <w:t></w:t>
      </w:r>
      <w:r w:rsidR="002F0A8B" w:rsidRPr="00A85BE8">
        <w:rPr>
          <w:sz w:val="24"/>
        </w:rPr>
        <w:t xml:space="preserve">All the patients in the study will be included in the safety analysis. The safety end points included clinical symptoms and laboratory abnormalities, laboratory values and vital signs analyzed by means of the chi-square test. </w:t>
      </w:r>
    </w:p>
    <w:p w:rsidR="00F945D3" w:rsidRPr="00A85BE8" w:rsidRDefault="006D1737" w:rsidP="0057002E">
      <w:pPr>
        <w:adjustRightInd w:val="0"/>
        <w:snapToGrid w:val="0"/>
        <w:spacing w:afterLines="50" w:after="156" w:line="360" w:lineRule="auto"/>
        <w:ind w:firstLineChars="150" w:firstLine="360"/>
        <w:rPr>
          <w:sz w:val="24"/>
        </w:rPr>
      </w:pPr>
      <w:r w:rsidRPr="00A85BE8">
        <w:rPr>
          <w:sz w:val="24"/>
        </w:rPr>
        <w:t xml:space="preserve">All P values </w:t>
      </w:r>
      <w:r w:rsidR="00C610B2" w:rsidRPr="00A85BE8">
        <w:rPr>
          <w:sz w:val="24"/>
        </w:rPr>
        <w:t>are</w:t>
      </w:r>
      <w:r w:rsidR="002F0A8B" w:rsidRPr="00A85BE8">
        <w:rPr>
          <w:sz w:val="24"/>
        </w:rPr>
        <w:t xml:space="preserve"> based on two-sided hypothesis tests. Alpha is set at 0.05. </w:t>
      </w:r>
      <w:r w:rsidR="00C610B2" w:rsidRPr="00A85BE8">
        <w:rPr>
          <w:sz w:val="24"/>
        </w:rPr>
        <w:t>SPSS 19.0 (SPSS Inc., Chicago, IL, USA) and R version 3.</w:t>
      </w:r>
      <w:r w:rsidR="001038BC" w:rsidRPr="00A85BE8">
        <w:rPr>
          <w:sz w:val="24"/>
        </w:rPr>
        <w:t>4</w:t>
      </w:r>
      <w:r w:rsidR="00C610B2" w:rsidRPr="00A85BE8">
        <w:rPr>
          <w:sz w:val="24"/>
        </w:rPr>
        <w:t>.</w:t>
      </w:r>
      <w:r w:rsidR="001038BC" w:rsidRPr="00A85BE8">
        <w:rPr>
          <w:sz w:val="24"/>
        </w:rPr>
        <w:t xml:space="preserve">3 </w:t>
      </w:r>
      <w:r w:rsidR="00C610B2" w:rsidRPr="00A85BE8">
        <w:rPr>
          <w:sz w:val="24"/>
        </w:rPr>
        <w:t>(R Development Core Team, Vienna, Austria) were used for all data analysis.</w:t>
      </w:r>
    </w:p>
    <w:p w:rsidR="00E520B8" w:rsidRPr="00A85BE8" w:rsidRDefault="00E520B8" w:rsidP="001C7B10">
      <w:pPr>
        <w:pStyle w:val="1"/>
        <w:rPr>
          <w:sz w:val="32"/>
          <w:szCs w:val="32"/>
        </w:rPr>
      </w:pPr>
      <w:bookmarkStart w:id="51" w:name="_Toc512010146"/>
      <w:r w:rsidRPr="00A85BE8">
        <w:rPr>
          <w:sz w:val="32"/>
          <w:szCs w:val="32"/>
        </w:rPr>
        <w:t xml:space="preserve">10. </w:t>
      </w:r>
      <w:r w:rsidR="0022390D" w:rsidRPr="00A85BE8">
        <w:rPr>
          <w:sz w:val="32"/>
          <w:szCs w:val="32"/>
        </w:rPr>
        <w:t xml:space="preserve">Materials </w:t>
      </w:r>
      <w:r w:rsidR="0022390D" w:rsidRPr="00A85BE8">
        <w:rPr>
          <w:rFonts w:eastAsiaTheme="minorEastAsia" w:hint="eastAsia"/>
          <w:sz w:val="32"/>
          <w:szCs w:val="32"/>
        </w:rPr>
        <w:t>f</w:t>
      </w:r>
      <w:r w:rsidRPr="00A85BE8">
        <w:rPr>
          <w:sz w:val="32"/>
          <w:szCs w:val="32"/>
        </w:rPr>
        <w:t>or the Study</w:t>
      </w:r>
      <w:bookmarkEnd w:id="51"/>
    </w:p>
    <w:p w:rsidR="00E520B8" w:rsidRPr="00A85BE8" w:rsidRDefault="00E520B8" w:rsidP="0057002E">
      <w:pPr>
        <w:adjustRightInd w:val="0"/>
        <w:snapToGrid w:val="0"/>
        <w:spacing w:afterLines="50" w:after="156" w:line="360" w:lineRule="auto"/>
        <w:ind w:firstLineChars="150" w:firstLine="360"/>
        <w:rPr>
          <w:sz w:val="24"/>
        </w:rPr>
      </w:pPr>
      <w:r w:rsidRPr="00A85BE8">
        <w:rPr>
          <w:sz w:val="24"/>
        </w:rPr>
        <w:t>All materials provided to study sites and investigators are as follows:</w:t>
      </w:r>
    </w:p>
    <w:p w:rsidR="00E520B8" w:rsidRPr="00A85BE8" w:rsidRDefault="00E520B8" w:rsidP="0057002E">
      <w:pPr>
        <w:pStyle w:val="a7"/>
        <w:numPr>
          <w:ilvl w:val="0"/>
          <w:numId w:val="31"/>
        </w:numPr>
        <w:adjustRightInd w:val="0"/>
        <w:snapToGrid w:val="0"/>
        <w:spacing w:afterLines="50" w:after="156" w:line="360" w:lineRule="auto"/>
        <w:ind w:firstLineChars="0"/>
        <w:rPr>
          <w:sz w:val="24"/>
        </w:rPr>
      </w:pPr>
      <w:r w:rsidRPr="00A85BE8">
        <w:rPr>
          <w:sz w:val="24"/>
        </w:rPr>
        <w:t>The study protocol</w:t>
      </w:r>
    </w:p>
    <w:p w:rsidR="00E520B8" w:rsidRPr="00A85BE8" w:rsidRDefault="00E520B8" w:rsidP="0057002E">
      <w:pPr>
        <w:pStyle w:val="a7"/>
        <w:numPr>
          <w:ilvl w:val="0"/>
          <w:numId w:val="31"/>
        </w:numPr>
        <w:adjustRightInd w:val="0"/>
        <w:snapToGrid w:val="0"/>
        <w:spacing w:afterLines="50" w:after="156" w:line="360" w:lineRule="auto"/>
        <w:ind w:firstLineChars="0"/>
        <w:rPr>
          <w:sz w:val="24"/>
        </w:rPr>
      </w:pPr>
      <w:r w:rsidRPr="00A85BE8">
        <w:rPr>
          <w:sz w:val="24"/>
        </w:rPr>
        <w:t>Informed consent</w:t>
      </w:r>
    </w:p>
    <w:p w:rsidR="00E520B8" w:rsidRPr="00A85BE8" w:rsidRDefault="00E520B8" w:rsidP="0057002E">
      <w:pPr>
        <w:pStyle w:val="a7"/>
        <w:numPr>
          <w:ilvl w:val="0"/>
          <w:numId w:val="31"/>
        </w:numPr>
        <w:adjustRightInd w:val="0"/>
        <w:snapToGrid w:val="0"/>
        <w:spacing w:afterLines="50" w:after="156" w:line="360" w:lineRule="auto"/>
        <w:ind w:firstLineChars="0"/>
        <w:rPr>
          <w:sz w:val="24"/>
        </w:rPr>
      </w:pPr>
      <w:r w:rsidRPr="00A85BE8">
        <w:rPr>
          <w:sz w:val="24"/>
        </w:rPr>
        <w:t>CRF</w:t>
      </w:r>
    </w:p>
    <w:p w:rsidR="00E520B8" w:rsidRPr="00A85BE8" w:rsidRDefault="00353F2F" w:rsidP="001C7B10">
      <w:pPr>
        <w:pStyle w:val="1"/>
        <w:rPr>
          <w:sz w:val="32"/>
          <w:szCs w:val="32"/>
        </w:rPr>
      </w:pPr>
      <w:bookmarkStart w:id="52" w:name="_Toc512010147"/>
      <w:r w:rsidRPr="00A85BE8">
        <w:rPr>
          <w:sz w:val="32"/>
          <w:szCs w:val="32"/>
        </w:rPr>
        <w:t>11. Ethical Considerations</w:t>
      </w:r>
      <w:bookmarkEnd w:id="52"/>
    </w:p>
    <w:p w:rsidR="001C2EBC" w:rsidRPr="00A85BE8" w:rsidRDefault="001C2EBC" w:rsidP="001C7B10">
      <w:pPr>
        <w:pStyle w:val="2"/>
        <w:rPr>
          <w:sz w:val="28"/>
          <w:szCs w:val="28"/>
        </w:rPr>
      </w:pPr>
      <w:bookmarkStart w:id="53" w:name="_Toc512010148"/>
      <w:r w:rsidRPr="00A85BE8">
        <w:rPr>
          <w:sz w:val="28"/>
          <w:szCs w:val="28"/>
        </w:rPr>
        <w:t>11.1 Responsibility Of Investigators</w:t>
      </w:r>
      <w:bookmarkEnd w:id="53"/>
    </w:p>
    <w:p w:rsidR="00814611" w:rsidRPr="00A85BE8" w:rsidRDefault="001C2EBC" w:rsidP="0057002E">
      <w:pPr>
        <w:adjustRightInd w:val="0"/>
        <w:snapToGrid w:val="0"/>
        <w:spacing w:afterLines="50" w:after="156" w:line="360" w:lineRule="auto"/>
        <w:ind w:leftChars="100" w:left="210" w:firstLineChars="100" w:firstLine="240"/>
        <w:rPr>
          <w:sz w:val="24"/>
        </w:rPr>
      </w:pPr>
      <w:r w:rsidRPr="00A85BE8">
        <w:rPr>
          <w:sz w:val="24"/>
        </w:rPr>
        <w:t>The investigators have the responsibility for guarantee of the clinical study’s compliance with the protocol, Chinese good clinical practice (GCP) guidelines and applicable laws and regulations.</w:t>
      </w:r>
    </w:p>
    <w:p w:rsidR="00B9531D" w:rsidRPr="00A85BE8" w:rsidRDefault="00B9531D" w:rsidP="001C7B10">
      <w:pPr>
        <w:pStyle w:val="2"/>
        <w:rPr>
          <w:sz w:val="28"/>
          <w:szCs w:val="28"/>
        </w:rPr>
      </w:pPr>
      <w:bookmarkStart w:id="54" w:name="_Toc512010149"/>
      <w:r w:rsidRPr="00A85BE8">
        <w:rPr>
          <w:sz w:val="28"/>
          <w:szCs w:val="28"/>
        </w:rPr>
        <w:t>11.2</w:t>
      </w:r>
      <w:r w:rsidR="006C3D70" w:rsidRPr="00A85BE8">
        <w:rPr>
          <w:sz w:val="28"/>
          <w:szCs w:val="28"/>
        </w:rPr>
        <w:t xml:space="preserve"> Informed Consent Process</w:t>
      </w:r>
      <w:bookmarkEnd w:id="54"/>
    </w:p>
    <w:p w:rsidR="006C3D70" w:rsidRPr="00A85BE8" w:rsidRDefault="00992CA2" w:rsidP="0057002E">
      <w:pPr>
        <w:adjustRightInd w:val="0"/>
        <w:snapToGrid w:val="0"/>
        <w:spacing w:afterLines="50" w:after="156" w:line="360" w:lineRule="auto"/>
        <w:ind w:leftChars="100" w:left="210" w:firstLineChars="100" w:firstLine="240"/>
        <w:rPr>
          <w:sz w:val="24"/>
        </w:rPr>
      </w:pPr>
      <w:r w:rsidRPr="00A85BE8">
        <w:rPr>
          <w:sz w:val="24"/>
        </w:rPr>
        <w:t xml:space="preserve">Subjects must be informed about objectives, methods, possible benefits, potential risks and possible discomforts of the study by investigators before participation in the study. </w:t>
      </w:r>
      <w:r w:rsidR="001D740F" w:rsidRPr="00A85BE8">
        <w:rPr>
          <w:sz w:val="24"/>
        </w:rPr>
        <w:t>T</w:t>
      </w:r>
      <w:r w:rsidRPr="00A85BE8">
        <w:rPr>
          <w:sz w:val="24"/>
        </w:rPr>
        <w:t>hey</w:t>
      </w:r>
      <w:r w:rsidR="001D740F" w:rsidRPr="00A85BE8">
        <w:rPr>
          <w:sz w:val="24"/>
        </w:rPr>
        <w:t xml:space="preserve"> should be informed that they</w:t>
      </w:r>
      <w:r w:rsidRPr="00A85BE8">
        <w:rPr>
          <w:sz w:val="24"/>
        </w:rPr>
        <w:t xml:space="preserve"> can withdraw from the study</w:t>
      </w:r>
      <w:r w:rsidR="007E3E3B" w:rsidRPr="00A85BE8">
        <w:rPr>
          <w:sz w:val="24"/>
        </w:rPr>
        <w:t xml:space="preserve"> at any </w:t>
      </w:r>
      <w:r w:rsidR="001D740F" w:rsidRPr="00A85BE8">
        <w:rPr>
          <w:sz w:val="24"/>
        </w:rPr>
        <w:t xml:space="preserve">time, and </w:t>
      </w:r>
      <w:r w:rsidR="007E3E3B" w:rsidRPr="00A85BE8">
        <w:rPr>
          <w:sz w:val="24"/>
        </w:rPr>
        <w:t>there is no impact on the treatment of the disease whether they take part in the study. Subjects or their legally acceptable representative should have enough time to read the inform consent and raise queries. Written informed consent must be obtained from each subject, or their legally acceptable representative.</w:t>
      </w:r>
    </w:p>
    <w:p w:rsidR="009C2AC5" w:rsidRPr="00A85BE8" w:rsidRDefault="00964E77" w:rsidP="001C7B10">
      <w:pPr>
        <w:pStyle w:val="2"/>
        <w:rPr>
          <w:sz w:val="28"/>
          <w:szCs w:val="28"/>
        </w:rPr>
      </w:pPr>
      <w:bookmarkStart w:id="55" w:name="_Toc512010150"/>
      <w:r w:rsidRPr="00A85BE8">
        <w:rPr>
          <w:sz w:val="28"/>
          <w:szCs w:val="28"/>
        </w:rPr>
        <w:t>11.3 Protection of Subjects’ Personal Data</w:t>
      </w:r>
      <w:bookmarkEnd w:id="55"/>
    </w:p>
    <w:p w:rsidR="00964E77" w:rsidRPr="00A85BE8" w:rsidRDefault="00964E77" w:rsidP="0057002E">
      <w:pPr>
        <w:adjustRightInd w:val="0"/>
        <w:snapToGrid w:val="0"/>
        <w:spacing w:afterLines="50" w:after="156" w:line="360" w:lineRule="auto"/>
        <w:ind w:leftChars="100" w:left="210"/>
        <w:rPr>
          <w:sz w:val="24"/>
        </w:rPr>
      </w:pPr>
      <w:r w:rsidRPr="00A85BE8">
        <w:rPr>
          <w:sz w:val="24"/>
        </w:rPr>
        <w:t xml:space="preserve">  Data collected in the study are limited to the efficacy and safety related to study treatment. Data will be collected and used in accordance with applicable laws and regulations.</w:t>
      </w:r>
    </w:p>
    <w:p w:rsidR="00163524" w:rsidRPr="00A85BE8" w:rsidRDefault="00163524" w:rsidP="001C7B10">
      <w:pPr>
        <w:pStyle w:val="1"/>
        <w:rPr>
          <w:sz w:val="32"/>
          <w:szCs w:val="32"/>
        </w:rPr>
      </w:pPr>
      <w:bookmarkStart w:id="56" w:name="_Toc512010151"/>
      <w:r w:rsidRPr="00A85BE8">
        <w:rPr>
          <w:sz w:val="32"/>
          <w:szCs w:val="32"/>
        </w:rPr>
        <w:t>1</w:t>
      </w:r>
      <w:r w:rsidR="0017071D" w:rsidRPr="00A85BE8">
        <w:rPr>
          <w:sz w:val="32"/>
          <w:szCs w:val="32"/>
        </w:rPr>
        <w:t>2</w:t>
      </w:r>
      <w:r w:rsidRPr="00A85BE8">
        <w:rPr>
          <w:sz w:val="32"/>
          <w:szCs w:val="32"/>
        </w:rPr>
        <w:t>. Administrative Requirements</w:t>
      </w:r>
      <w:bookmarkEnd w:id="56"/>
    </w:p>
    <w:p w:rsidR="00675FED" w:rsidRPr="00A85BE8" w:rsidRDefault="00675FED" w:rsidP="0057002E">
      <w:pPr>
        <w:adjustRightInd w:val="0"/>
        <w:snapToGrid w:val="0"/>
        <w:spacing w:afterLines="50" w:after="156" w:line="360" w:lineRule="auto"/>
        <w:ind w:firstLineChars="100" w:firstLine="240"/>
        <w:rPr>
          <w:sz w:val="24"/>
        </w:rPr>
      </w:pPr>
      <w:r w:rsidRPr="00A85BE8">
        <w:rPr>
          <w:sz w:val="24"/>
        </w:rPr>
        <w:t xml:space="preserve">Any revisions of the protocol must be agreed by the investigator and the applicant. </w:t>
      </w:r>
      <w:r w:rsidR="00EB1FF0" w:rsidRPr="00A85BE8">
        <w:rPr>
          <w:sz w:val="24"/>
        </w:rPr>
        <w:t xml:space="preserve">To </w:t>
      </w:r>
      <w:r w:rsidR="00E45E53" w:rsidRPr="00A85BE8">
        <w:rPr>
          <w:sz w:val="24"/>
        </w:rPr>
        <w:t>insure</w:t>
      </w:r>
      <w:r w:rsidR="00EB1FF0" w:rsidRPr="00A85BE8">
        <w:rPr>
          <w:sz w:val="24"/>
        </w:rPr>
        <w:t xml:space="preserve"> </w:t>
      </w:r>
      <w:r w:rsidR="00E45E53" w:rsidRPr="00A85BE8">
        <w:rPr>
          <w:sz w:val="24"/>
        </w:rPr>
        <w:t>the integrity, accuracy and reliability of the data,</w:t>
      </w:r>
      <w:r w:rsidR="00C441A7" w:rsidRPr="00A85BE8">
        <w:t xml:space="preserve"> </w:t>
      </w:r>
      <w:r w:rsidR="00CE0DC8" w:rsidRPr="00A85BE8">
        <w:rPr>
          <w:sz w:val="24"/>
        </w:rPr>
        <w:t>relevant results of e</w:t>
      </w:r>
      <w:r w:rsidR="00C441A7" w:rsidRPr="00A85BE8">
        <w:rPr>
          <w:sz w:val="24"/>
        </w:rPr>
        <w:t xml:space="preserve">xamination and treatment must be documented in original medical record and </w:t>
      </w:r>
      <w:r w:rsidR="00CE0DC8" w:rsidRPr="00A85BE8">
        <w:rPr>
          <w:sz w:val="24"/>
        </w:rPr>
        <w:t>CRF</w:t>
      </w:r>
      <w:r w:rsidR="00F93A61" w:rsidRPr="00A85BE8">
        <w:rPr>
          <w:sz w:val="24"/>
        </w:rPr>
        <w:t>.</w:t>
      </w:r>
      <w:r w:rsidR="00EB1FF0" w:rsidRPr="00A85BE8">
        <w:rPr>
          <w:sz w:val="24"/>
        </w:rPr>
        <w:t xml:space="preserve"> </w:t>
      </w:r>
      <w:r w:rsidR="0053133F" w:rsidRPr="00A85BE8">
        <w:rPr>
          <w:sz w:val="24"/>
        </w:rPr>
        <w:t xml:space="preserve"> </w:t>
      </w:r>
      <w:r w:rsidR="009725F8" w:rsidRPr="00A85BE8">
        <w:rPr>
          <w:sz w:val="24"/>
        </w:rPr>
        <w:t>Independent clinical monitoring was performed regularly by a</w:t>
      </w:r>
      <w:r w:rsidR="0053133F" w:rsidRPr="00A85BE8">
        <w:rPr>
          <w:sz w:val="24"/>
        </w:rPr>
        <w:t xml:space="preserve"> </w:t>
      </w:r>
      <w:r w:rsidR="00EB1FF0" w:rsidRPr="00A85BE8">
        <w:rPr>
          <w:sz w:val="24"/>
        </w:rPr>
        <w:t xml:space="preserve">panel of </w:t>
      </w:r>
      <w:r w:rsidR="00255872" w:rsidRPr="00A85BE8">
        <w:rPr>
          <w:sz w:val="24"/>
        </w:rPr>
        <w:t xml:space="preserve">qualified and experienced study investigators </w:t>
      </w:r>
      <w:r w:rsidR="00EB1FF0" w:rsidRPr="00A85BE8">
        <w:rPr>
          <w:sz w:val="24"/>
        </w:rPr>
        <w:t xml:space="preserve">composed of hematologists </w:t>
      </w:r>
      <w:r w:rsidR="009725F8" w:rsidRPr="00A85BE8">
        <w:rPr>
          <w:sz w:val="24"/>
        </w:rPr>
        <w:t xml:space="preserve">who are blinded as to the </w:t>
      </w:r>
      <w:r w:rsidR="00EB1FF0" w:rsidRPr="00A85BE8">
        <w:rPr>
          <w:sz w:val="24"/>
        </w:rPr>
        <w:t>treatment assignments.</w:t>
      </w:r>
    </w:p>
    <w:p w:rsidR="008902BB" w:rsidRPr="00A85BE8" w:rsidRDefault="008902BB" w:rsidP="001C7B10">
      <w:pPr>
        <w:pStyle w:val="1"/>
        <w:rPr>
          <w:sz w:val="32"/>
          <w:szCs w:val="32"/>
        </w:rPr>
      </w:pPr>
      <w:bookmarkStart w:id="57" w:name="_Toc512010152"/>
      <w:r w:rsidRPr="00A85BE8">
        <w:rPr>
          <w:sz w:val="32"/>
          <w:szCs w:val="32"/>
        </w:rPr>
        <w:t xml:space="preserve">13 </w:t>
      </w:r>
      <w:r w:rsidR="00FA0276" w:rsidRPr="00A85BE8">
        <w:rPr>
          <w:sz w:val="32"/>
          <w:szCs w:val="32"/>
        </w:rPr>
        <w:t>Appendices</w:t>
      </w:r>
      <w:bookmarkEnd w:id="57"/>
    </w:p>
    <w:p w:rsidR="006623B8" w:rsidRPr="00A85BE8" w:rsidRDefault="00FA0276" w:rsidP="001C7B10">
      <w:pPr>
        <w:pStyle w:val="2"/>
        <w:rPr>
          <w:sz w:val="28"/>
          <w:szCs w:val="28"/>
        </w:rPr>
      </w:pPr>
      <w:bookmarkStart w:id="58" w:name="_Toc512010153"/>
      <w:r w:rsidRPr="00A85BE8">
        <w:rPr>
          <w:rFonts w:hint="eastAsia"/>
          <w:sz w:val="28"/>
          <w:szCs w:val="28"/>
        </w:rPr>
        <w:t xml:space="preserve">13.1 </w:t>
      </w:r>
      <w:r w:rsidR="00B5407D" w:rsidRPr="00A85BE8">
        <w:rPr>
          <w:sz w:val="28"/>
          <w:szCs w:val="28"/>
        </w:rPr>
        <w:t>Appendix 1</w:t>
      </w:r>
      <w:r w:rsidR="001C7B10" w:rsidRPr="00A85BE8">
        <w:rPr>
          <w:rFonts w:hint="eastAsia"/>
          <w:sz w:val="28"/>
          <w:szCs w:val="28"/>
        </w:rPr>
        <w:t xml:space="preserve"> </w:t>
      </w:r>
      <w:r w:rsidR="006623B8" w:rsidRPr="00A85BE8">
        <w:rPr>
          <w:sz w:val="28"/>
          <w:szCs w:val="28"/>
        </w:rPr>
        <w:t xml:space="preserve">Definition and diagnosis of </w:t>
      </w:r>
      <w:bookmarkStart w:id="59" w:name="OLE_LINK8"/>
      <w:r w:rsidR="00A52B98" w:rsidRPr="00A85BE8">
        <w:rPr>
          <w:sz w:val="28"/>
          <w:szCs w:val="28"/>
        </w:rPr>
        <w:t>EBV-associated diseases</w:t>
      </w:r>
      <w:bookmarkEnd w:id="58"/>
      <w:bookmarkEnd w:id="59"/>
    </w:p>
    <w:p w:rsidR="00C87AF6" w:rsidRPr="00A85BE8" w:rsidRDefault="00C87AF6" w:rsidP="0057002E">
      <w:pPr>
        <w:adjustRightInd w:val="0"/>
        <w:snapToGrid w:val="0"/>
        <w:spacing w:afterLines="50" w:after="156" w:line="360" w:lineRule="auto"/>
        <w:ind w:firstLineChars="100" w:firstLine="240"/>
        <w:rPr>
          <w:sz w:val="24"/>
        </w:rPr>
      </w:pPr>
      <w:r w:rsidRPr="00A85BE8">
        <w:rPr>
          <w:sz w:val="24"/>
        </w:rPr>
        <w:t>Swerdlow SH, Webber SA, Chadburn A, Ferry JA: Post-transplant lymphoproliferative disorders. World Health Organization Classification of Tumours of Haematopoietic and Lymphoid Tissues. Lyon: IARC Press; 2008:343–349.</w:t>
      </w:r>
    </w:p>
    <w:p w:rsidR="006623B8" w:rsidRPr="00A85BE8" w:rsidRDefault="00A029A5" w:rsidP="0057002E">
      <w:pPr>
        <w:adjustRightInd w:val="0"/>
        <w:snapToGrid w:val="0"/>
        <w:spacing w:afterLines="50" w:after="156" w:line="360" w:lineRule="auto"/>
        <w:ind w:firstLineChars="100" w:firstLine="240"/>
        <w:rPr>
          <w:sz w:val="24"/>
        </w:rPr>
      </w:pPr>
      <w:r w:rsidRPr="00A85BE8">
        <w:rPr>
          <w:sz w:val="24"/>
        </w:rPr>
        <w:t>Styczynski J, Reusser P, Einsele H, de la Camara R, Cordonnier C, Ward KN, Ljungman P, Engelhard D: Management of HSV, VZV and EBV infections in patients with hematological malignancies and after SCT: guidelines from the Second European Conference on Infections in Leukemia. Bone Marrow Transplant 2009, 43(10):757–770.</w:t>
      </w:r>
    </w:p>
    <w:p w:rsidR="00520AE6" w:rsidRPr="00A85BE8" w:rsidRDefault="00F707FC" w:rsidP="00E34DE9">
      <w:pPr>
        <w:adjustRightInd w:val="0"/>
        <w:snapToGrid w:val="0"/>
        <w:spacing w:afterLines="50" w:after="156" w:line="360" w:lineRule="auto"/>
        <w:ind w:firstLineChars="100" w:firstLine="241"/>
        <w:rPr>
          <w:b/>
          <w:sz w:val="24"/>
        </w:rPr>
      </w:pPr>
      <w:r w:rsidRPr="00A85BE8">
        <w:rPr>
          <w:b/>
          <w:sz w:val="24"/>
        </w:rPr>
        <w:t>Diagnostic criteria</w:t>
      </w:r>
      <w:r w:rsidR="00520AE6" w:rsidRPr="00A85BE8">
        <w:rPr>
          <w:b/>
          <w:sz w:val="24"/>
        </w:rPr>
        <w:t>:</w:t>
      </w:r>
    </w:p>
    <w:p w:rsidR="00BB3FB2" w:rsidRPr="00A85BE8" w:rsidRDefault="008971DA" w:rsidP="00E34DE9">
      <w:pPr>
        <w:adjustRightInd w:val="0"/>
        <w:snapToGrid w:val="0"/>
        <w:spacing w:afterLines="50" w:after="156" w:line="360" w:lineRule="auto"/>
        <w:ind w:firstLineChars="100" w:firstLine="240"/>
        <w:rPr>
          <w:sz w:val="24"/>
        </w:rPr>
      </w:pPr>
      <w:r w:rsidRPr="00A85BE8">
        <w:rPr>
          <w:sz w:val="24"/>
        </w:rPr>
        <w:t>Diagnosis of o</w:t>
      </w:r>
      <w:r w:rsidR="00790DD7" w:rsidRPr="00A85BE8">
        <w:rPr>
          <w:sz w:val="24"/>
        </w:rPr>
        <w:t xml:space="preserve">ther EBV-associated diseases </w:t>
      </w:r>
      <w:r w:rsidRPr="00A85BE8">
        <w:rPr>
          <w:sz w:val="24"/>
        </w:rPr>
        <w:t>includes probable and proven EBV disease.</w:t>
      </w:r>
      <w:r w:rsidR="00186ED6" w:rsidRPr="00A85BE8">
        <w:rPr>
          <w:sz w:val="24"/>
        </w:rPr>
        <w:t xml:space="preserve"> Probable EBV disease: significant lymphadenopathy (or</w:t>
      </w:r>
      <w:r w:rsidR="00724F28" w:rsidRPr="00A85BE8">
        <w:rPr>
          <w:sz w:val="24"/>
        </w:rPr>
        <w:t xml:space="preserve"> </w:t>
      </w:r>
      <w:r w:rsidR="00186ED6" w:rsidRPr="00A85BE8">
        <w:rPr>
          <w:sz w:val="24"/>
        </w:rPr>
        <w:t>other endorgan disease) with high EBV blood load, in the</w:t>
      </w:r>
      <w:r w:rsidR="00724F28" w:rsidRPr="00A85BE8">
        <w:rPr>
          <w:sz w:val="24"/>
        </w:rPr>
        <w:t xml:space="preserve"> </w:t>
      </w:r>
      <w:r w:rsidR="00186ED6" w:rsidRPr="00A85BE8">
        <w:rPr>
          <w:sz w:val="24"/>
        </w:rPr>
        <w:t>absence of other etiologic factors or established diseases</w:t>
      </w:r>
      <w:r w:rsidR="00724F28" w:rsidRPr="00A85BE8">
        <w:rPr>
          <w:sz w:val="24"/>
        </w:rPr>
        <w:t xml:space="preserve">. </w:t>
      </w:r>
      <w:r w:rsidR="00BF2202" w:rsidRPr="00A85BE8">
        <w:rPr>
          <w:sz w:val="24"/>
        </w:rPr>
        <w:t xml:space="preserve">Proven EBV disease (PTLD or other endorgan disease): EBV detected from an organ by biopsy or other invasive procedures with a test with appropriate sensitivity and specificity together with symptoms and/or signs from the affected organ. </w:t>
      </w:r>
      <w:r w:rsidR="002E41F0" w:rsidRPr="00A85BE8">
        <w:rPr>
          <w:sz w:val="24"/>
        </w:rPr>
        <w:t>Diagnosis of PTLD must be based on symptoms and/or signs consistent with lymphoproliferative process developing after HSCT, together with detection of EBV by an appropriate method applied to a specimen from the involved tissue. Definitive diagnosis of EBV-PTLD requires biopsy and histological examination (including immunohistochemistry or flow cytometry for CD19+ and CD20+). EBV detection in biopsy specimen requires detection of viral antigens or in situ hybridization for the EBER (Epstein–Barr-encoded RNA) transcripts.</w:t>
      </w:r>
    </w:p>
    <w:p w:rsidR="00A135F9" w:rsidRPr="00A85BE8" w:rsidRDefault="00A135F9" w:rsidP="001C7B10">
      <w:pPr>
        <w:pStyle w:val="2"/>
        <w:rPr>
          <w:sz w:val="28"/>
          <w:szCs w:val="28"/>
        </w:rPr>
      </w:pPr>
      <w:bookmarkStart w:id="60" w:name="_Toc512010154"/>
      <w:r w:rsidRPr="00A85BE8">
        <w:rPr>
          <w:rFonts w:hint="eastAsia"/>
          <w:sz w:val="28"/>
          <w:szCs w:val="28"/>
        </w:rPr>
        <w:t xml:space="preserve">13.2 </w:t>
      </w:r>
      <w:r w:rsidRPr="00A85BE8">
        <w:rPr>
          <w:sz w:val="28"/>
          <w:szCs w:val="28"/>
        </w:rPr>
        <w:t xml:space="preserve">Appendix </w:t>
      </w:r>
      <w:r w:rsidRPr="00A85BE8">
        <w:rPr>
          <w:rFonts w:hint="eastAsia"/>
          <w:sz w:val="28"/>
          <w:szCs w:val="28"/>
        </w:rPr>
        <w:t>2</w:t>
      </w:r>
      <w:r w:rsidR="001C7B10" w:rsidRPr="00A85BE8">
        <w:rPr>
          <w:rFonts w:hint="eastAsia"/>
          <w:sz w:val="28"/>
          <w:szCs w:val="28"/>
        </w:rPr>
        <w:t xml:space="preserve"> </w:t>
      </w:r>
      <w:r w:rsidRPr="00A85BE8">
        <w:rPr>
          <w:sz w:val="28"/>
          <w:szCs w:val="28"/>
        </w:rPr>
        <w:t xml:space="preserve">Definition and diagnosis of </w:t>
      </w:r>
      <w:r w:rsidRPr="00A85BE8">
        <w:rPr>
          <w:rFonts w:hint="eastAsia"/>
          <w:sz w:val="28"/>
          <w:szCs w:val="28"/>
        </w:rPr>
        <w:t>CM</w:t>
      </w:r>
      <w:r w:rsidRPr="00A85BE8">
        <w:rPr>
          <w:sz w:val="28"/>
          <w:szCs w:val="28"/>
        </w:rPr>
        <w:t>V-associated diseases</w:t>
      </w:r>
      <w:bookmarkEnd w:id="60"/>
    </w:p>
    <w:p w:rsidR="002960D1" w:rsidRPr="00A85BE8" w:rsidRDefault="00360AD5" w:rsidP="0057002E">
      <w:pPr>
        <w:adjustRightInd w:val="0"/>
        <w:snapToGrid w:val="0"/>
        <w:spacing w:afterLines="50" w:after="156" w:line="360" w:lineRule="auto"/>
        <w:ind w:firstLineChars="100" w:firstLine="240"/>
        <w:rPr>
          <w:sz w:val="24"/>
        </w:rPr>
      </w:pPr>
      <w:r w:rsidRPr="00A85BE8">
        <w:rPr>
          <w:sz w:val="24"/>
        </w:rPr>
        <w:t>Ljungman P, de la Camara R, Cordonnier C, Einsele H, Engelhard D, Reusser P, Styczynski J, Ward K: Management of CMV, HHV-6, HHV-7 and Kaposisarcoma herpesvirus (HHV-8) infections in patients with hematological malignancies and after SCT. Bone Marrow Transplant 2008, 42(4):227–240.</w:t>
      </w:r>
    </w:p>
    <w:p w:rsidR="00451190" w:rsidRPr="00A85BE8" w:rsidRDefault="00451190" w:rsidP="00E34DE9">
      <w:pPr>
        <w:adjustRightInd w:val="0"/>
        <w:snapToGrid w:val="0"/>
        <w:spacing w:afterLines="50" w:after="156" w:line="360" w:lineRule="auto"/>
        <w:ind w:firstLineChars="100" w:firstLine="241"/>
        <w:rPr>
          <w:b/>
          <w:sz w:val="24"/>
        </w:rPr>
      </w:pPr>
      <w:r w:rsidRPr="00A85BE8">
        <w:rPr>
          <w:b/>
          <w:sz w:val="24"/>
        </w:rPr>
        <w:t>Diagnostic criteria:</w:t>
      </w:r>
    </w:p>
    <w:p w:rsidR="002960D1" w:rsidRPr="00A85BE8" w:rsidRDefault="002960D1" w:rsidP="0057002E">
      <w:pPr>
        <w:adjustRightInd w:val="0"/>
        <w:snapToGrid w:val="0"/>
        <w:spacing w:afterLines="50" w:after="156" w:line="360" w:lineRule="auto"/>
        <w:ind w:firstLineChars="100" w:firstLine="240"/>
        <w:rPr>
          <w:sz w:val="24"/>
        </w:rPr>
      </w:pPr>
      <w:r w:rsidRPr="00A85BE8">
        <w:rPr>
          <w:sz w:val="24"/>
        </w:rPr>
        <w:t>CMV-associated disease is defined by the presence of clinical symptoms or signs of end organ disease, combined with the evidence of CMV infection in a tissue biopsy specimen. CMV pneumonia is diagnosed on the basis of signs and symptoms compatible with a diagnosis of pneumonia (hypoxemia, x-ray) and a bronchoalveolar lavage (BAL) fluid or lung biopsy specimen positive for CMV by immunohistology. CMV gastrointestinal (GI) disease is diagnosed when GI signs or symptoms occurred, and evidence of CMV in the GI tract was diagnosed by immunohistochemistry or in situ hybridization from biopsy specimens. CMV encephalitis is defined by the identification of central nervous system symptoms together with the detection of CMV-DNA in cerebrospinal fluid samples.</w:t>
      </w:r>
    </w:p>
    <w:p w:rsidR="00CE62D9" w:rsidRPr="00A85BE8" w:rsidRDefault="001A1E31" w:rsidP="001C7B10">
      <w:pPr>
        <w:pStyle w:val="2"/>
        <w:rPr>
          <w:sz w:val="28"/>
          <w:szCs w:val="28"/>
        </w:rPr>
      </w:pPr>
      <w:bookmarkStart w:id="61" w:name="_Toc512010155"/>
      <w:r w:rsidRPr="00A85BE8">
        <w:rPr>
          <w:rFonts w:hint="eastAsia"/>
          <w:sz w:val="28"/>
          <w:szCs w:val="28"/>
        </w:rPr>
        <w:t xml:space="preserve">13.3 </w:t>
      </w:r>
      <w:r w:rsidRPr="00A85BE8">
        <w:rPr>
          <w:sz w:val="28"/>
          <w:szCs w:val="28"/>
        </w:rPr>
        <w:t xml:space="preserve">Appendix </w:t>
      </w:r>
      <w:r w:rsidRPr="00A85BE8">
        <w:rPr>
          <w:rFonts w:hint="eastAsia"/>
          <w:sz w:val="28"/>
          <w:szCs w:val="28"/>
        </w:rPr>
        <w:t>3</w:t>
      </w:r>
      <w:r w:rsidR="001C7B10" w:rsidRPr="00A85BE8">
        <w:rPr>
          <w:rFonts w:hint="eastAsia"/>
          <w:sz w:val="28"/>
          <w:szCs w:val="28"/>
        </w:rPr>
        <w:t xml:space="preserve"> </w:t>
      </w:r>
      <w:r w:rsidR="00CE62D9" w:rsidRPr="00A85BE8">
        <w:rPr>
          <w:rFonts w:hint="eastAsia"/>
          <w:sz w:val="28"/>
          <w:szCs w:val="28"/>
        </w:rPr>
        <w:t>D</w:t>
      </w:r>
      <w:r w:rsidR="00CE62D9" w:rsidRPr="00A85BE8">
        <w:rPr>
          <w:sz w:val="28"/>
          <w:szCs w:val="28"/>
        </w:rPr>
        <w:t>iagnosis</w:t>
      </w:r>
      <w:bookmarkStart w:id="62" w:name="OLE_LINK14"/>
      <w:bookmarkStart w:id="63" w:name="OLE_LINK15"/>
      <w:r w:rsidR="00CE62D9" w:rsidRPr="00A85BE8">
        <w:rPr>
          <w:sz w:val="28"/>
          <w:szCs w:val="28"/>
        </w:rPr>
        <w:t xml:space="preserve"> </w:t>
      </w:r>
      <w:r w:rsidR="005911C2" w:rsidRPr="00A85BE8">
        <w:rPr>
          <w:rFonts w:hint="eastAsia"/>
          <w:sz w:val="28"/>
          <w:szCs w:val="28"/>
        </w:rPr>
        <w:t>and Classification</w:t>
      </w:r>
      <w:bookmarkEnd w:id="62"/>
      <w:bookmarkEnd w:id="63"/>
      <w:r w:rsidR="005911C2" w:rsidRPr="00A85BE8">
        <w:rPr>
          <w:rFonts w:hint="eastAsia"/>
          <w:sz w:val="28"/>
          <w:szCs w:val="28"/>
        </w:rPr>
        <w:t xml:space="preserve"> of </w:t>
      </w:r>
      <w:r w:rsidR="00CE62D9" w:rsidRPr="00A85BE8">
        <w:rPr>
          <w:rFonts w:hint="eastAsia"/>
          <w:sz w:val="28"/>
          <w:szCs w:val="28"/>
        </w:rPr>
        <w:t xml:space="preserve">aGVHD and </w:t>
      </w:r>
      <w:r w:rsidR="00F057F4" w:rsidRPr="00A85BE8">
        <w:rPr>
          <w:rFonts w:hint="eastAsia"/>
          <w:sz w:val="28"/>
          <w:szCs w:val="28"/>
        </w:rPr>
        <w:t>cGVHD</w:t>
      </w:r>
      <w:bookmarkEnd w:id="61"/>
    </w:p>
    <w:p w:rsidR="00EB4072" w:rsidRPr="00A85BE8" w:rsidRDefault="00EB4072" w:rsidP="0057002E">
      <w:pPr>
        <w:adjustRightInd w:val="0"/>
        <w:snapToGrid w:val="0"/>
        <w:spacing w:afterLines="50" w:after="156" w:line="360" w:lineRule="auto"/>
        <w:ind w:firstLineChars="100" w:firstLine="240"/>
        <w:rPr>
          <w:sz w:val="24"/>
        </w:rPr>
      </w:pPr>
      <w:r w:rsidRPr="00A85BE8">
        <w:rPr>
          <w:sz w:val="24"/>
        </w:rPr>
        <w:t>Przepiorka D, Weisdorf D, Martin P, et al. 1994 Consensus Conference on Acute GVHD Grading. Bone Marrow Transplant 1995;15:825-8.</w:t>
      </w:r>
    </w:p>
    <w:p w:rsidR="00CE62D9" w:rsidRPr="00A85BE8" w:rsidRDefault="00EB4072" w:rsidP="0057002E">
      <w:pPr>
        <w:adjustRightInd w:val="0"/>
        <w:snapToGrid w:val="0"/>
        <w:spacing w:afterLines="50" w:after="156" w:line="360" w:lineRule="auto"/>
        <w:ind w:firstLineChars="100" w:firstLine="240"/>
        <w:rPr>
          <w:sz w:val="24"/>
        </w:rPr>
      </w:pPr>
      <w:r w:rsidRPr="00A85BE8">
        <w:rPr>
          <w:sz w:val="24"/>
        </w:rPr>
        <w:t>Horwitz ME, Sullivan KM. Chronic graft-versus-host disease.</w:t>
      </w:r>
      <w:bookmarkStart w:id="64" w:name="OLE_LINK13"/>
      <w:r w:rsidRPr="00A85BE8">
        <w:rPr>
          <w:sz w:val="24"/>
        </w:rPr>
        <w:t xml:space="preserve"> BLOOD REV 2006;20:15-27.</w:t>
      </w:r>
    </w:p>
    <w:bookmarkEnd w:id="64"/>
    <w:p w:rsidR="005911C2" w:rsidRPr="00A85BE8" w:rsidRDefault="008816C3" w:rsidP="00A7111A">
      <w:pPr>
        <w:adjustRightInd w:val="0"/>
        <w:snapToGrid w:val="0"/>
        <w:spacing w:afterLines="50" w:after="156" w:line="360" w:lineRule="auto"/>
        <w:ind w:firstLineChars="100" w:firstLine="241"/>
        <w:jc w:val="center"/>
        <w:rPr>
          <w:rFonts w:eastAsiaTheme="minorEastAsia"/>
          <w:b/>
          <w:sz w:val="24"/>
        </w:rPr>
      </w:pPr>
      <w:r w:rsidRPr="00A85BE8">
        <w:rPr>
          <w:b/>
          <w:sz w:val="24"/>
        </w:rPr>
        <w:t>Grading</w:t>
      </w:r>
      <w:r w:rsidR="00A7111A" w:rsidRPr="00A85BE8">
        <w:rPr>
          <w:b/>
          <w:sz w:val="24"/>
        </w:rPr>
        <w:t xml:space="preserve"> of aGVHD</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63"/>
      </w:tblGrid>
      <w:tr w:rsidR="00A85BE8" w:rsidRPr="00A85BE8" w:rsidTr="00CC790F">
        <w:tc>
          <w:tcPr>
            <w:tcW w:w="959" w:type="dxa"/>
            <w:tcBorders>
              <w:top w:val="single" w:sz="4" w:space="0" w:color="auto"/>
              <w:bottom w:val="single" w:sz="4" w:space="0" w:color="auto"/>
            </w:tcBorders>
          </w:tcPr>
          <w:p w:rsidR="00D74559" w:rsidRPr="00A85BE8" w:rsidRDefault="00D74559" w:rsidP="0057002E">
            <w:pPr>
              <w:adjustRightInd w:val="0"/>
              <w:snapToGrid w:val="0"/>
              <w:spacing w:afterLines="50" w:after="156" w:line="360" w:lineRule="auto"/>
              <w:rPr>
                <w:sz w:val="24"/>
              </w:rPr>
            </w:pPr>
            <w:r w:rsidRPr="00A85BE8">
              <w:rPr>
                <w:sz w:val="24"/>
              </w:rPr>
              <w:t>Grade</w:t>
            </w:r>
          </w:p>
        </w:tc>
        <w:tc>
          <w:tcPr>
            <w:tcW w:w="7563" w:type="dxa"/>
            <w:tcBorders>
              <w:top w:val="single" w:sz="4" w:space="0" w:color="auto"/>
              <w:bottom w:val="single" w:sz="4" w:space="0" w:color="auto"/>
            </w:tcBorders>
          </w:tcPr>
          <w:p w:rsidR="00D74559" w:rsidRPr="00A85BE8" w:rsidRDefault="00D74559" w:rsidP="0057002E">
            <w:pPr>
              <w:adjustRightInd w:val="0"/>
              <w:snapToGrid w:val="0"/>
              <w:spacing w:afterLines="50" w:after="156" w:line="360" w:lineRule="auto"/>
              <w:rPr>
                <w:sz w:val="24"/>
              </w:rPr>
            </w:pPr>
            <w:r w:rsidRPr="00A85BE8">
              <w:rPr>
                <w:sz w:val="24"/>
              </w:rPr>
              <w:t>Degree of organ involvement</w:t>
            </w:r>
          </w:p>
        </w:tc>
      </w:tr>
      <w:tr w:rsidR="00A85BE8" w:rsidRPr="00A85BE8" w:rsidTr="00CC790F">
        <w:tc>
          <w:tcPr>
            <w:tcW w:w="959" w:type="dxa"/>
            <w:tcBorders>
              <w:top w:val="single" w:sz="4" w:space="0" w:color="auto"/>
            </w:tcBorders>
          </w:tcPr>
          <w:p w:rsidR="00D74559" w:rsidRPr="00A85BE8" w:rsidRDefault="00A3586D" w:rsidP="0057002E">
            <w:pPr>
              <w:adjustRightInd w:val="0"/>
              <w:snapToGrid w:val="0"/>
              <w:spacing w:afterLines="50" w:after="156" w:line="360" w:lineRule="auto"/>
              <w:rPr>
                <w:sz w:val="24"/>
              </w:rPr>
            </w:pPr>
            <w:r w:rsidRPr="00A85BE8">
              <w:rPr>
                <w:rFonts w:eastAsia="仿宋"/>
                <w:sz w:val="24"/>
              </w:rPr>
              <w:t>Ⅰ</w:t>
            </w:r>
          </w:p>
        </w:tc>
        <w:tc>
          <w:tcPr>
            <w:tcW w:w="7563" w:type="dxa"/>
            <w:tcBorders>
              <w:top w:val="single" w:sz="4" w:space="0" w:color="auto"/>
            </w:tcBorders>
          </w:tcPr>
          <w:p w:rsidR="00D74559" w:rsidRPr="00A85BE8" w:rsidRDefault="00A3586D" w:rsidP="0057002E">
            <w:pPr>
              <w:adjustRightInd w:val="0"/>
              <w:snapToGrid w:val="0"/>
              <w:spacing w:afterLines="50" w:after="156" w:line="360" w:lineRule="auto"/>
              <w:rPr>
                <w:sz w:val="24"/>
              </w:rPr>
            </w:pPr>
            <w:r w:rsidRPr="00A85BE8">
              <w:rPr>
                <w:sz w:val="24"/>
              </w:rPr>
              <w:t>Stage 1–2 skin rash; no gut involvement; no liver involvement; no decrease in clinical performance</w:t>
            </w:r>
          </w:p>
        </w:tc>
      </w:tr>
      <w:tr w:rsidR="00A85BE8" w:rsidRPr="00A85BE8" w:rsidTr="00CC790F">
        <w:tc>
          <w:tcPr>
            <w:tcW w:w="959" w:type="dxa"/>
          </w:tcPr>
          <w:p w:rsidR="00D74559" w:rsidRPr="00A85BE8" w:rsidRDefault="00A3586D" w:rsidP="0057002E">
            <w:pPr>
              <w:adjustRightInd w:val="0"/>
              <w:snapToGrid w:val="0"/>
              <w:spacing w:afterLines="50" w:after="156" w:line="360" w:lineRule="auto"/>
              <w:rPr>
                <w:sz w:val="24"/>
              </w:rPr>
            </w:pPr>
            <w:r w:rsidRPr="00A85BE8">
              <w:rPr>
                <w:rFonts w:eastAsia="仿宋"/>
                <w:sz w:val="24"/>
              </w:rPr>
              <w:t>Ⅱ</w:t>
            </w:r>
          </w:p>
        </w:tc>
        <w:tc>
          <w:tcPr>
            <w:tcW w:w="7563" w:type="dxa"/>
          </w:tcPr>
          <w:p w:rsidR="00D74559" w:rsidRPr="00A85BE8" w:rsidRDefault="00A3586D" w:rsidP="0057002E">
            <w:pPr>
              <w:adjustRightInd w:val="0"/>
              <w:snapToGrid w:val="0"/>
              <w:spacing w:afterLines="50" w:after="156" w:line="360" w:lineRule="auto"/>
              <w:rPr>
                <w:sz w:val="24"/>
              </w:rPr>
            </w:pPr>
            <w:r w:rsidRPr="00A85BE8">
              <w:rPr>
                <w:sz w:val="24"/>
              </w:rPr>
              <w:t>Stage 1–3 skin rash; stage 1 gut involvement or stage 1 liver involvement (or both); mild decrease in clinical performance</w:t>
            </w:r>
          </w:p>
        </w:tc>
      </w:tr>
      <w:tr w:rsidR="00A85BE8" w:rsidRPr="00A85BE8" w:rsidTr="00CC790F">
        <w:tc>
          <w:tcPr>
            <w:tcW w:w="959" w:type="dxa"/>
          </w:tcPr>
          <w:p w:rsidR="00D74559" w:rsidRPr="00A85BE8" w:rsidRDefault="00A3586D" w:rsidP="0057002E">
            <w:pPr>
              <w:adjustRightInd w:val="0"/>
              <w:snapToGrid w:val="0"/>
              <w:spacing w:afterLines="50" w:after="156" w:line="360" w:lineRule="auto"/>
              <w:rPr>
                <w:sz w:val="24"/>
              </w:rPr>
            </w:pPr>
            <w:r w:rsidRPr="00A85BE8">
              <w:rPr>
                <w:rFonts w:eastAsia="仿宋"/>
                <w:sz w:val="24"/>
              </w:rPr>
              <w:t>Ⅲ</w:t>
            </w:r>
          </w:p>
        </w:tc>
        <w:tc>
          <w:tcPr>
            <w:tcW w:w="7563" w:type="dxa"/>
          </w:tcPr>
          <w:p w:rsidR="00D74559" w:rsidRPr="00A85BE8" w:rsidRDefault="00CC790F" w:rsidP="0057002E">
            <w:pPr>
              <w:adjustRightInd w:val="0"/>
              <w:snapToGrid w:val="0"/>
              <w:spacing w:afterLines="50" w:after="156" w:line="360" w:lineRule="auto"/>
              <w:rPr>
                <w:sz w:val="24"/>
              </w:rPr>
            </w:pPr>
            <w:r w:rsidRPr="00A85BE8">
              <w:rPr>
                <w:sz w:val="24"/>
              </w:rPr>
              <w:t>Stage 2–3 skin rash; stage 2–3 gut involvement or 2–4 liver involvement (or both); marked decrease in clinical performance</w:t>
            </w:r>
          </w:p>
        </w:tc>
      </w:tr>
      <w:tr w:rsidR="00D74559" w:rsidRPr="00A85BE8" w:rsidTr="00CC790F">
        <w:tc>
          <w:tcPr>
            <w:tcW w:w="959" w:type="dxa"/>
          </w:tcPr>
          <w:p w:rsidR="00D74559" w:rsidRPr="00A85BE8" w:rsidRDefault="00A3586D" w:rsidP="0057002E">
            <w:pPr>
              <w:adjustRightInd w:val="0"/>
              <w:snapToGrid w:val="0"/>
              <w:spacing w:afterLines="50" w:after="156" w:line="360" w:lineRule="auto"/>
              <w:rPr>
                <w:sz w:val="24"/>
              </w:rPr>
            </w:pPr>
            <w:r w:rsidRPr="00A85BE8">
              <w:rPr>
                <w:rFonts w:eastAsia="仿宋"/>
                <w:sz w:val="24"/>
              </w:rPr>
              <w:t>Ⅳ</w:t>
            </w:r>
          </w:p>
        </w:tc>
        <w:tc>
          <w:tcPr>
            <w:tcW w:w="7563" w:type="dxa"/>
          </w:tcPr>
          <w:p w:rsidR="00D74559" w:rsidRPr="00A85BE8" w:rsidRDefault="00CC790F" w:rsidP="0057002E">
            <w:pPr>
              <w:adjustRightInd w:val="0"/>
              <w:snapToGrid w:val="0"/>
              <w:spacing w:afterLines="50" w:after="156" w:line="360" w:lineRule="auto"/>
              <w:rPr>
                <w:sz w:val="24"/>
              </w:rPr>
            </w:pPr>
            <w:r w:rsidRPr="00A85BE8">
              <w:rPr>
                <w:sz w:val="24"/>
              </w:rPr>
              <w:t>Similar to Grade III with stage 2–4 organ involvement and extreme decrease in clinical performance</w:t>
            </w:r>
          </w:p>
        </w:tc>
      </w:tr>
    </w:tbl>
    <w:p w:rsidR="00F023D8" w:rsidRPr="00A85BE8" w:rsidRDefault="00F023D8" w:rsidP="0057002E">
      <w:pPr>
        <w:adjustRightInd w:val="0"/>
        <w:snapToGrid w:val="0"/>
        <w:spacing w:afterLines="50" w:after="156" w:line="360" w:lineRule="auto"/>
        <w:ind w:firstLineChars="100" w:firstLine="240"/>
        <w:rPr>
          <w:sz w:val="24"/>
        </w:rPr>
      </w:pPr>
    </w:p>
    <w:p w:rsidR="003206BE" w:rsidRPr="00A85BE8" w:rsidRDefault="008816C3" w:rsidP="00A7111A">
      <w:pPr>
        <w:adjustRightInd w:val="0"/>
        <w:snapToGrid w:val="0"/>
        <w:spacing w:afterLines="50" w:after="156" w:line="360" w:lineRule="auto"/>
        <w:ind w:firstLineChars="100" w:firstLine="241"/>
        <w:jc w:val="center"/>
        <w:rPr>
          <w:rFonts w:eastAsiaTheme="minorEastAsia"/>
          <w:b/>
          <w:sz w:val="24"/>
        </w:rPr>
      </w:pPr>
      <w:r w:rsidRPr="00A85BE8">
        <w:rPr>
          <w:b/>
          <w:sz w:val="24"/>
        </w:rPr>
        <w:t>Grading</w:t>
      </w:r>
      <w:r w:rsidR="00A7111A" w:rsidRPr="00A85BE8">
        <w:rPr>
          <w:b/>
          <w:sz w:val="24"/>
        </w:rPr>
        <w:t xml:space="preserve"> of cGVHD</w:t>
      </w:r>
    </w:p>
    <w:tbl>
      <w:tblPr>
        <w:tblStyle w:val="a5"/>
        <w:tblW w:w="87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
        <w:gridCol w:w="8312"/>
        <w:gridCol w:w="210"/>
      </w:tblGrid>
      <w:tr w:rsidR="00A85BE8" w:rsidRPr="00A85BE8" w:rsidTr="008305D0">
        <w:trPr>
          <w:gridAfter w:val="1"/>
          <w:wAfter w:w="210" w:type="dxa"/>
          <w:trHeight w:val="744"/>
        </w:trPr>
        <w:tc>
          <w:tcPr>
            <w:tcW w:w="8522" w:type="dxa"/>
            <w:gridSpan w:val="2"/>
            <w:tcBorders>
              <w:top w:val="single" w:sz="4" w:space="0" w:color="auto"/>
              <w:bottom w:val="single" w:sz="4" w:space="0" w:color="auto"/>
            </w:tcBorders>
            <w:vAlign w:val="center"/>
          </w:tcPr>
          <w:p w:rsidR="003206BE" w:rsidRPr="00A85BE8" w:rsidRDefault="008305D0" w:rsidP="0057002E">
            <w:pPr>
              <w:adjustRightInd w:val="0"/>
              <w:snapToGrid w:val="0"/>
              <w:spacing w:afterLines="50" w:after="156" w:line="360" w:lineRule="auto"/>
              <w:rPr>
                <w:sz w:val="24"/>
              </w:rPr>
            </w:pPr>
            <w:r w:rsidRPr="00A85BE8">
              <w:rPr>
                <w:sz w:val="24"/>
              </w:rPr>
              <w:t>Classification of c</w:t>
            </w:r>
            <w:r w:rsidR="00A7111A" w:rsidRPr="00A85BE8">
              <w:rPr>
                <w:sz w:val="24"/>
              </w:rPr>
              <w:t>G</w:t>
            </w:r>
            <w:r w:rsidR="00A7111A" w:rsidRPr="00A85BE8">
              <w:rPr>
                <w:rFonts w:eastAsiaTheme="minorEastAsia" w:hint="eastAsia"/>
                <w:sz w:val="24"/>
              </w:rPr>
              <w:t>V</w:t>
            </w:r>
            <w:r w:rsidRPr="00A85BE8">
              <w:rPr>
                <w:sz w:val="24"/>
              </w:rPr>
              <w:t>HD.</w:t>
            </w:r>
          </w:p>
        </w:tc>
      </w:tr>
      <w:tr w:rsidR="00A85BE8" w:rsidRPr="00A85BE8" w:rsidTr="008305D0">
        <w:trPr>
          <w:gridAfter w:val="1"/>
          <w:wAfter w:w="210" w:type="dxa"/>
          <w:trHeight w:val="744"/>
        </w:trPr>
        <w:tc>
          <w:tcPr>
            <w:tcW w:w="8522" w:type="dxa"/>
            <w:gridSpan w:val="2"/>
            <w:tcBorders>
              <w:top w:val="single" w:sz="4" w:space="0" w:color="auto"/>
            </w:tcBorders>
            <w:vAlign w:val="center"/>
          </w:tcPr>
          <w:p w:rsidR="00A45F5B" w:rsidRPr="00A85BE8" w:rsidRDefault="00A45F5B" w:rsidP="0057002E">
            <w:pPr>
              <w:adjustRightInd w:val="0"/>
              <w:snapToGrid w:val="0"/>
              <w:spacing w:afterLines="50" w:after="156" w:line="360" w:lineRule="auto"/>
              <w:rPr>
                <w:sz w:val="24"/>
              </w:rPr>
            </w:pPr>
            <w:r w:rsidRPr="00A85BE8">
              <w:rPr>
                <w:sz w:val="24"/>
              </w:rPr>
              <w:t>Limited chronic GVHD</w:t>
            </w:r>
          </w:p>
        </w:tc>
      </w:tr>
      <w:tr w:rsidR="00A85BE8" w:rsidRPr="00A85BE8" w:rsidTr="003206BE">
        <w:trPr>
          <w:gridBefore w:val="1"/>
          <w:wBefore w:w="210" w:type="dxa"/>
        </w:trPr>
        <w:tc>
          <w:tcPr>
            <w:tcW w:w="8522" w:type="dxa"/>
            <w:gridSpan w:val="2"/>
            <w:vAlign w:val="center"/>
          </w:tcPr>
          <w:p w:rsidR="00A45F5B" w:rsidRPr="00A85BE8" w:rsidRDefault="00A45F5B" w:rsidP="0057002E">
            <w:pPr>
              <w:adjustRightInd w:val="0"/>
              <w:snapToGrid w:val="0"/>
              <w:spacing w:afterLines="50" w:after="156" w:line="360" w:lineRule="auto"/>
              <w:rPr>
                <w:sz w:val="24"/>
              </w:rPr>
            </w:pPr>
            <w:r w:rsidRPr="00A85BE8">
              <w:rPr>
                <w:sz w:val="24"/>
              </w:rPr>
              <w:t>Either or both:</w:t>
            </w:r>
          </w:p>
        </w:tc>
      </w:tr>
      <w:tr w:rsidR="00A85BE8" w:rsidRPr="00A85BE8" w:rsidTr="003206BE">
        <w:trPr>
          <w:gridBefore w:val="1"/>
          <w:wBefore w:w="210" w:type="dxa"/>
        </w:trPr>
        <w:tc>
          <w:tcPr>
            <w:tcW w:w="8522" w:type="dxa"/>
            <w:gridSpan w:val="2"/>
            <w:vAlign w:val="center"/>
          </w:tcPr>
          <w:p w:rsidR="00A45F5B" w:rsidRPr="00A85BE8" w:rsidRDefault="00A45F5B" w:rsidP="0057002E">
            <w:pPr>
              <w:adjustRightInd w:val="0"/>
              <w:snapToGrid w:val="0"/>
              <w:spacing w:afterLines="50" w:after="156" w:line="360" w:lineRule="auto"/>
              <w:rPr>
                <w:sz w:val="24"/>
              </w:rPr>
            </w:pPr>
            <w:r w:rsidRPr="00A85BE8">
              <w:rPr>
                <w:sz w:val="24"/>
              </w:rPr>
              <w:t>1. Localized skin involvement</w:t>
            </w:r>
          </w:p>
        </w:tc>
      </w:tr>
      <w:tr w:rsidR="00A85BE8" w:rsidRPr="00A85BE8" w:rsidTr="003206BE">
        <w:trPr>
          <w:gridBefore w:val="1"/>
          <w:wBefore w:w="210" w:type="dxa"/>
        </w:trPr>
        <w:tc>
          <w:tcPr>
            <w:tcW w:w="8522" w:type="dxa"/>
            <w:gridSpan w:val="2"/>
            <w:vAlign w:val="center"/>
          </w:tcPr>
          <w:p w:rsidR="00A45F5B" w:rsidRPr="00A85BE8" w:rsidRDefault="00A45F5B" w:rsidP="0057002E">
            <w:pPr>
              <w:adjustRightInd w:val="0"/>
              <w:snapToGrid w:val="0"/>
              <w:spacing w:afterLines="50" w:after="156" w:line="360" w:lineRule="auto"/>
              <w:rPr>
                <w:sz w:val="24"/>
              </w:rPr>
            </w:pPr>
            <w:r w:rsidRPr="00A85BE8">
              <w:rPr>
                <w:sz w:val="24"/>
              </w:rPr>
              <w:t>2. Hepatic dysfunction due to chronic GVHD</w:t>
            </w:r>
          </w:p>
        </w:tc>
      </w:tr>
      <w:tr w:rsidR="00A85BE8" w:rsidRPr="00A85BE8" w:rsidTr="003206BE">
        <w:trPr>
          <w:gridAfter w:val="1"/>
          <w:wAfter w:w="210" w:type="dxa"/>
        </w:trPr>
        <w:tc>
          <w:tcPr>
            <w:tcW w:w="8522" w:type="dxa"/>
            <w:gridSpan w:val="2"/>
            <w:vAlign w:val="center"/>
          </w:tcPr>
          <w:p w:rsidR="00A45F5B" w:rsidRPr="00A85BE8" w:rsidRDefault="00A45F5B" w:rsidP="0057002E">
            <w:pPr>
              <w:adjustRightInd w:val="0"/>
              <w:snapToGrid w:val="0"/>
              <w:spacing w:afterLines="50" w:after="156" w:line="360" w:lineRule="auto"/>
              <w:rPr>
                <w:sz w:val="24"/>
              </w:rPr>
            </w:pPr>
            <w:r w:rsidRPr="00A85BE8">
              <w:rPr>
                <w:sz w:val="24"/>
              </w:rPr>
              <w:t>Extensive chronic GVHD</w:t>
            </w:r>
          </w:p>
        </w:tc>
      </w:tr>
      <w:tr w:rsidR="00A85BE8" w:rsidRPr="00A85BE8" w:rsidTr="003206BE">
        <w:trPr>
          <w:gridBefore w:val="1"/>
          <w:wBefore w:w="210" w:type="dxa"/>
        </w:trPr>
        <w:tc>
          <w:tcPr>
            <w:tcW w:w="8522" w:type="dxa"/>
            <w:gridSpan w:val="2"/>
            <w:vAlign w:val="center"/>
          </w:tcPr>
          <w:p w:rsidR="00A45F5B" w:rsidRPr="00A85BE8" w:rsidRDefault="00A45F5B" w:rsidP="0057002E">
            <w:pPr>
              <w:tabs>
                <w:tab w:val="left" w:pos="615"/>
              </w:tabs>
              <w:adjustRightInd w:val="0"/>
              <w:snapToGrid w:val="0"/>
              <w:spacing w:afterLines="50" w:after="156" w:line="360" w:lineRule="auto"/>
              <w:rPr>
                <w:sz w:val="24"/>
              </w:rPr>
            </w:pPr>
            <w:r w:rsidRPr="00A85BE8">
              <w:rPr>
                <w:sz w:val="24"/>
              </w:rPr>
              <w:t>Either:</w:t>
            </w:r>
          </w:p>
        </w:tc>
      </w:tr>
      <w:tr w:rsidR="00A85BE8" w:rsidRPr="00A85BE8" w:rsidTr="003206BE">
        <w:trPr>
          <w:gridBefore w:val="1"/>
          <w:wBefore w:w="210" w:type="dxa"/>
        </w:trPr>
        <w:tc>
          <w:tcPr>
            <w:tcW w:w="8522" w:type="dxa"/>
            <w:gridSpan w:val="2"/>
            <w:vAlign w:val="center"/>
          </w:tcPr>
          <w:p w:rsidR="00A45F5B" w:rsidRPr="00A85BE8" w:rsidRDefault="004212D3" w:rsidP="0057002E">
            <w:pPr>
              <w:adjustRightInd w:val="0"/>
              <w:snapToGrid w:val="0"/>
              <w:spacing w:afterLines="50" w:after="156" w:line="360" w:lineRule="auto"/>
              <w:rPr>
                <w:sz w:val="24"/>
              </w:rPr>
            </w:pPr>
            <w:r w:rsidRPr="00A85BE8">
              <w:rPr>
                <w:sz w:val="24"/>
              </w:rPr>
              <w:t>1. Generalized skin involvement, or</w:t>
            </w:r>
          </w:p>
        </w:tc>
      </w:tr>
      <w:tr w:rsidR="00A85BE8" w:rsidRPr="00A85BE8" w:rsidTr="003206BE">
        <w:trPr>
          <w:gridBefore w:val="1"/>
          <w:wBefore w:w="210" w:type="dxa"/>
        </w:trPr>
        <w:tc>
          <w:tcPr>
            <w:tcW w:w="8522" w:type="dxa"/>
            <w:gridSpan w:val="2"/>
            <w:vAlign w:val="center"/>
          </w:tcPr>
          <w:p w:rsidR="004212D3" w:rsidRPr="00A85BE8" w:rsidRDefault="004212D3" w:rsidP="0057002E">
            <w:pPr>
              <w:tabs>
                <w:tab w:val="left" w:pos="525"/>
              </w:tabs>
              <w:adjustRightInd w:val="0"/>
              <w:snapToGrid w:val="0"/>
              <w:spacing w:afterLines="50" w:after="156" w:line="360" w:lineRule="auto"/>
              <w:rPr>
                <w:sz w:val="24"/>
              </w:rPr>
            </w:pPr>
            <w:r w:rsidRPr="00A85BE8">
              <w:rPr>
                <w:sz w:val="24"/>
              </w:rPr>
              <w:t>2. Localized skin involvement and/or hepatic</w:t>
            </w:r>
            <w:r w:rsidR="009311F6" w:rsidRPr="00A85BE8">
              <w:rPr>
                <w:sz w:val="24"/>
              </w:rPr>
              <w:t xml:space="preserve"> </w:t>
            </w:r>
            <w:r w:rsidRPr="00A85BE8">
              <w:rPr>
                <w:sz w:val="24"/>
              </w:rPr>
              <w:t>dysfunction due to chronic GVHD</w:t>
            </w:r>
          </w:p>
        </w:tc>
      </w:tr>
      <w:tr w:rsidR="00A85BE8" w:rsidRPr="00A85BE8" w:rsidTr="003206BE">
        <w:trPr>
          <w:gridBefore w:val="1"/>
          <w:wBefore w:w="210" w:type="dxa"/>
        </w:trPr>
        <w:tc>
          <w:tcPr>
            <w:tcW w:w="8522" w:type="dxa"/>
            <w:gridSpan w:val="2"/>
            <w:vAlign w:val="center"/>
          </w:tcPr>
          <w:p w:rsidR="004212D3" w:rsidRPr="00A85BE8" w:rsidRDefault="004212D3" w:rsidP="0057002E">
            <w:pPr>
              <w:adjustRightInd w:val="0"/>
              <w:snapToGrid w:val="0"/>
              <w:spacing w:afterLines="50" w:after="156" w:line="360" w:lineRule="auto"/>
              <w:rPr>
                <w:sz w:val="24"/>
              </w:rPr>
            </w:pPr>
            <w:r w:rsidRPr="00A85BE8">
              <w:rPr>
                <w:sz w:val="24"/>
              </w:rPr>
              <w:t>Plus:</w:t>
            </w:r>
          </w:p>
        </w:tc>
      </w:tr>
      <w:tr w:rsidR="00A85BE8" w:rsidRPr="00A85BE8" w:rsidTr="003206BE">
        <w:trPr>
          <w:gridBefore w:val="1"/>
          <w:wBefore w:w="210" w:type="dxa"/>
        </w:trPr>
        <w:tc>
          <w:tcPr>
            <w:tcW w:w="8522" w:type="dxa"/>
            <w:gridSpan w:val="2"/>
            <w:vAlign w:val="center"/>
          </w:tcPr>
          <w:p w:rsidR="004212D3" w:rsidRPr="00A85BE8" w:rsidRDefault="004212D3" w:rsidP="0057002E">
            <w:pPr>
              <w:adjustRightInd w:val="0"/>
              <w:snapToGrid w:val="0"/>
              <w:spacing w:afterLines="50" w:after="156" w:line="360" w:lineRule="auto"/>
              <w:rPr>
                <w:sz w:val="24"/>
              </w:rPr>
            </w:pPr>
            <w:r w:rsidRPr="00A85BE8">
              <w:rPr>
                <w:sz w:val="24"/>
              </w:rPr>
              <w:t>3a. Liver histology showing chronic aggressive</w:t>
            </w:r>
            <w:r w:rsidR="00A212E1" w:rsidRPr="00A85BE8">
              <w:rPr>
                <w:sz w:val="24"/>
              </w:rPr>
              <w:t xml:space="preserve"> </w:t>
            </w:r>
            <w:r w:rsidRPr="00A85BE8">
              <w:rPr>
                <w:sz w:val="24"/>
              </w:rPr>
              <w:t>hepatitis, bridging necrosis, or cirrhosis, or</w:t>
            </w:r>
          </w:p>
        </w:tc>
      </w:tr>
      <w:tr w:rsidR="00A85BE8" w:rsidRPr="00A85BE8" w:rsidTr="003206BE">
        <w:trPr>
          <w:gridBefore w:val="1"/>
          <w:wBefore w:w="210" w:type="dxa"/>
        </w:trPr>
        <w:tc>
          <w:tcPr>
            <w:tcW w:w="8522" w:type="dxa"/>
            <w:gridSpan w:val="2"/>
            <w:vAlign w:val="center"/>
          </w:tcPr>
          <w:p w:rsidR="004212D3" w:rsidRPr="00A85BE8" w:rsidRDefault="00A212E1" w:rsidP="0057002E">
            <w:pPr>
              <w:adjustRightInd w:val="0"/>
              <w:snapToGrid w:val="0"/>
              <w:spacing w:afterLines="50" w:after="156" w:line="360" w:lineRule="auto"/>
              <w:rPr>
                <w:sz w:val="24"/>
              </w:rPr>
            </w:pPr>
            <w:r w:rsidRPr="00A85BE8">
              <w:rPr>
                <w:sz w:val="24"/>
              </w:rPr>
              <w:t>b. Involvement of eye (Schirmer test with &lt;5-mm wetting), or</w:t>
            </w:r>
          </w:p>
        </w:tc>
      </w:tr>
      <w:tr w:rsidR="00A85BE8" w:rsidRPr="00A85BE8" w:rsidTr="003206BE">
        <w:trPr>
          <w:gridBefore w:val="1"/>
          <w:wBefore w:w="210" w:type="dxa"/>
        </w:trPr>
        <w:tc>
          <w:tcPr>
            <w:tcW w:w="8522" w:type="dxa"/>
            <w:gridSpan w:val="2"/>
            <w:vAlign w:val="center"/>
          </w:tcPr>
          <w:p w:rsidR="004212D3" w:rsidRPr="00A85BE8" w:rsidRDefault="00A212E1" w:rsidP="0057002E">
            <w:pPr>
              <w:tabs>
                <w:tab w:val="left" w:pos="615"/>
              </w:tabs>
              <w:adjustRightInd w:val="0"/>
              <w:snapToGrid w:val="0"/>
              <w:spacing w:afterLines="50" w:after="156" w:line="360" w:lineRule="auto"/>
              <w:rPr>
                <w:sz w:val="24"/>
              </w:rPr>
            </w:pPr>
            <w:r w:rsidRPr="00A85BE8">
              <w:rPr>
                <w:sz w:val="24"/>
              </w:rPr>
              <w:t>c. Involvement of minor salivary glands or oral mucosa demonstrated on labial biopsy, or</w:t>
            </w:r>
          </w:p>
        </w:tc>
      </w:tr>
      <w:tr w:rsidR="00A212E1" w:rsidRPr="00A85BE8" w:rsidTr="003206BE">
        <w:trPr>
          <w:gridBefore w:val="1"/>
          <w:wBefore w:w="210" w:type="dxa"/>
        </w:trPr>
        <w:tc>
          <w:tcPr>
            <w:tcW w:w="8522" w:type="dxa"/>
            <w:gridSpan w:val="2"/>
            <w:vAlign w:val="center"/>
          </w:tcPr>
          <w:p w:rsidR="00A212E1" w:rsidRPr="00A85BE8" w:rsidRDefault="00A212E1" w:rsidP="0057002E">
            <w:pPr>
              <w:tabs>
                <w:tab w:val="left" w:pos="615"/>
              </w:tabs>
              <w:adjustRightInd w:val="0"/>
              <w:snapToGrid w:val="0"/>
              <w:spacing w:afterLines="50" w:after="156" w:line="360" w:lineRule="auto"/>
              <w:rPr>
                <w:sz w:val="24"/>
              </w:rPr>
            </w:pPr>
            <w:r w:rsidRPr="00A85BE8">
              <w:rPr>
                <w:sz w:val="24"/>
              </w:rPr>
              <w:t>d. Involvement of any other target organ</w:t>
            </w:r>
          </w:p>
        </w:tc>
      </w:tr>
    </w:tbl>
    <w:p w:rsidR="002960D1" w:rsidRPr="00A85BE8" w:rsidRDefault="002960D1" w:rsidP="0057002E">
      <w:pPr>
        <w:adjustRightInd w:val="0"/>
        <w:snapToGrid w:val="0"/>
        <w:spacing w:afterLines="50" w:after="156" w:line="360" w:lineRule="auto"/>
        <w:ind w:firstLineChars="50" w:firstLine="120"/>
        <w:rPr>
          <w:sz w:val="24"/>
        </w:rPr>
      </w:pPr>
    </w:p>
    <w:sectPr w:rsidR="002960D1" w:rsidRPr="00A85BE8" w:rsidSect="00D44870">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69" w:rsidRDefault="00806C69">
      <w:r>
        <w:separator/>
      </w:r>
    </w:p>
  </w:endnote>
  <w:endnote w:type="continuationSeparator" w:id="0">
    <w:p w:rsidR="00806C69" w:rsidRDefault="0080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9C" w:rsidRDefault="006B569C" w:rsidP="00B317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569C" w:rsidRDefault="006B569C" w:rsidP="00B3175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9C" w:rsidRDefault="006B569C" w:rsidP="00B317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6C69">
      <w:rPr>
        <w:rStyle w:val="a6"/>
        <w:noProof/>
      </w:rPr>
      <w:t>1</w:t>
    </w:r>
    <w:r>
      <w:rPr>
        <w:rStyle w:val="a6"/>
      </w:rPr>
      <w:fldChar w:fldCharType="end"/>
    </w:r>
  </w:p>
  <w:p w:rsidR="006B569C" w:rsidRDefault="006B569C" w:rsidP="00B3175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69" w:rsidRDefault="00806C69">
      <w:r>
        <w:separator/>
      </w:r>
    </w:p>
  </w:footnote>
  <w:footnote w:type="continuationSeparator" w:id="0">
    <w:p w:rsidR="00806C69" w:rsidRDefault="00806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596"/>
    <w:multiLevelType w:val="hybridMultilevel"/>
    <w:tmpl w:val="0F1CE88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7DA5860"/>
    <w:multiLevelType w:val="multilevel"/>
    <w:tmpl w:val="754416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20D3F4B"/>
    <w:multiLevelType w:val="hybridMultilevel"/>
    <w:tmpl w:val="B8565A0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9C71A9D"/>
    <w:multiLevelType w:val="hybridMultilevel"/>
    <w:tmpl w:val="51F45F02"/>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nsid w:val="20A62BDC"/>
    <w:multiLevelType w:val="multilevel"/>
    <w:tmpl w:val="A0E605E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24CD7871"/>
    <w:multiLevelType w:val="hybridMultilevel"/>
    <w:tmpl w:val="C8D07A5A"/>
    <w:lvl w:ilvl="0" w:tplc="04090001">
      <w:start w:val="1"/>
      <w:numFmt w:val="bullet"/>
      <w:lvlText w:val=""/>
      <w:lvlJc w:val="left"/>
      <w:pPr>
        <w:tabs>
          <w:tab w:val="num" w:pos="735"/>
        </w:tabs>
        <w:ind w:left="735" w:hanging="420"/>
      </w:pPr>
      <w:rPr>
        <w:rFonts w:ascii="Wingdings" w:hAnsi="Wingdings" w:hint="default"/>
      </w:rPr>
    </w:lvl>
    <w:lvl w:ilvl="1" w:tplc="04090003" w:tentative="1">
      <w:start w:val="1"/>
      <w:numFmt w:val="bullet"/>
      <w:lvlText w:val=""/>
      <w:lvlJc w:val="left"/>
      <w:pPr>
        <w:tabs>
          <w:tab w:val="num" w:pos="1155"/>
        </w:tabs>
        <w:ind w:left="1155" w:hanging="420"/>
      </w:pPr>
      <w:rPr>
        <w:rFonts w:ascii="Wingdings" w:hAnsi="Wingdings" w:hint="default"/>
      </w:rPr>
    </w:lvl>
    <w:lvl w:ilvl="2" w:tplc="04090005"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3" w:tentative="1">
      <w:start w:val="1"/>
      <w:numFmt w:val="bullet"/>
      <w:lvlText w:val=""/>
      <w:lvlJc w:val="left"/>
      <w:pPr>
        <w:tabs>
          <w:tab w:val="num" w:pos="2415"/>
        </w:tabs>
        <w:ind w:left="2415" w:hanging="420"/>
      </w:pPr>
      <w:rPr>
        <w:rFonts w:ascii="Wingdings" w:hAnsi="Wingdings" w:hint="default"/>
      </w:rPr>
    </w:lvl>
    <w:lvl w:ilvl="5" w:tplc="04090005"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3" w:tentative="1">
      <w:start w:val="1"/>
      <w:numFmt w:val="bullet"/>
      <w:lvlText w:val=""/>
      <w:lvlJc w:val="left"/>
      <w:pPr>
        <w:tabs>
          <w:tab w:val="num" w:pos="3675"/>
        </w:tabs>
        <w:ind w:left="3675" w:hanging="420"/>
      </w:pPr>
      <w:rPr>
        <w:rFonts w:ascii="Wingdings" w:hAnsi="Wingdings" w:hint="default"/>
      </w:rPr>
    </w:lvl>
    <w:lvl w:ilvl="8" w:tplc="04090005" w:tentative="1">
      <w:start w:val="1"/>
      <w:numFmt w:val="bullet"/>
      <w:lvlText w:val=""/>
      <w:lvlJc w:val="left"/>
      <w:pPr>
        <w:tabs>
          <w:tab w:val="num" w:pos="4095"/>
        </w:tabs>
        <w:ind w:left="4095" w:hanging="420"/>
      </w:pPr>
      <w:rPr>
        <w:rFonts w:ascii="Wingdings" w:hAnsi="Wingdings" w:hint="default"/>
      </w:rPr>
    </w:lvl>
  </w:abstractNum>
  <w:abstractNum w:abstractNumId="6">
    <w:nsid w:val="2F004F1D"/>
    <w:multiLevelType w:val="hybridMultilevel"/>
    <w:tmpl w:val="8E0CFE6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3E0C03A0"/>
    <w:multiLevelType w:val="hybridMultilevel"/>
    <w:tmpl w:val="A590FFB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40676066"/>
    <w:multiLevelType w:val="multilevel"/>
    <w:tmpl w:val="B9FA369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41D96594"/>
    <w:multiLevelType w:val="hybridMultilevel"/>
    <w:tmpl w:val="4344EFD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449D0DA7"/>
    <w:multiLevelType w:val="hybridMultilevel"/>
    <w:tmpl w:val="FE8AA1E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480A7858"/>
    <w:multiLevelType w:val="hybridMultilevel"/>
    <w:tmpl w:val="B9FA3692"/>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4CB87C81"/>
    <w:multiLevelType w:val="multilevel"/>
    <w:tmpl w:val="B9FA369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4D311AD6"/>
    <w:multiLevelType w:val="multilevel"/>
    <w:tmpl w:val="B9FA369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4F5A7A3E"/>
    <w:multiLevelType w:val="multilevel"/>
    <w:tmpl w:val="D4C885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5D6321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nsid w:val="59D8715F"/>
    <w:multiLevelType w:val="hybridMultilevel"/>
    <w:tmpl w:val="45A40E0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5C893200"/>
    <w:multiLevelType w:val="hybridMultilevel"/>
    <w:tmpl w:val="EE50294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5F4076E7"/>
    <w:multiLevelType w:val="multilevel"/>
    <w:tmpl w:val="A0E605E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609F7F1E"/>
    <w:multiLevelType w:val="multilevel"/>
    <w:tmpl w:val="4386EF6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63EF172D"/>
    <w:multiLevelType w:val="hybridMultilevel"/>
    <w:tmpl w:val="51F45F0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66D963A0"/>
    <w:multiLevelType w:val="hybridMultilevel"/>
    <w:tmpl w:val="A0E605E2"/>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B990877"/>
    <w:multiLevelType w:val="hybridMultilevel"/>
    <w:tmpl w:val="F788C792"/>
    <w:lvl w:ilvl="0" w:tplc="04090001">
      <w:start w:val="1"/>
      <w:numFmt w:val="bullet"/>
      <w:lvlText w:val=""/>
      <w:lvlJc w:val="left"/>
      <w:pPr>
        <w:tabs>
          <w:tab w:val="num" w:pos="735"/>
        </w:tabs>
        <w:ind w:left="735"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CF11CCF"/>
    <w:multiLevelType w:val="hybridMultilevel"/>
    <w:tmpl w:val="F5E012B4"/>
    <w:lvl w:ilvl="0" w:tplc="0409000F">
      <w:start w:val="1"/>
      <w:numFmt w:val="decimal"/>
      <w:lvlText w:val="%1."/>
      <w:lvlJc w:val="left"/>
      <w:pPr>
        <w:ind w:left="870" w:hanging="420"/>
      </w:p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4">
    <w:nsid w:val="70816628"/>
    <w:multiLevelType w:val="hybridMultilevel"/>
    <w:tmpl w:val="BF441F98"/>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108055D"/>
    <w:multiLevelType w:val="multilevel"/>
    <w:tmpl w:val="A0E605E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75157A1E"/>
    <w:multiLevelType w:val="hybridMultilevel"/>
    <w:tmpl w:val="4386EF6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7106364"/>
    <w:multiLevelType w:val="hybridMultilevel"/>
    <w:tmpl w:val="9E64D00C"/>
    <w:lvl w:ilvl="0" w:tplc="04090003">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8AF202B"/>
    <w:multiLevelType w:val="multilevel"/>
    <w:tmpl w:val="0409001D"/>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nsid w:val="7D42163B"/>
    <w:multiLevelType w:val="multilevel"/>
    <w:tmpl w:val="A0E605E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nsid w:val="7FBF2741"/>
    <w:multiLevelType w:val="hybridMultilevel"/>
    <w:tmpl w:val="319C82B4"/>
    <w:lvl w:ilvl="0" w:tplc="04090003">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28"/>
  </w:num>
  <w:num w:numId="3">
    <w:abstractNumId w:val="1"/>
  </w:num>
  <w:num w:numId="4">
    <w:abstractNumId w:val="5"/>
  </w:num>
  <w:num w:numId="5">
    <w:abstractNumId w:val="26"/>
  </w:num>
  <w:num w:numId="6">
    <w:abstractNumId w:val="19"/>
  </w:num>
  <w:num w:numId="7">
    <w:abstractNumId w:val="22"/>
  </w:num>
  <w:num w:numId="8">
    <w:abstractNumId w:val="11"/>
  </w:num>
  <w:num w:numId="9">
    <w:abstractNumId w:val="27"/>
  </w:num>
  <w:num w:numId="10">
    <w:abstractNumId w:val="30"/>
  </w:num>
  <w:num w:numId="11">
    <w:abstractNumId w:val="21"/>
  </w:num>
  <w:num w:numId="12">
    <w:abstractNumId w:val="25"/>
  </w:num>
  <w:num w:numId="13">
    <w:abstractNumId w:val="24"/>
  </w:num>
  <w:num w:numId="14">
    <w:abstractNumId w:val="18"/>
  </w:num>
  <w:num w:numId="15">
    <w:abstractNumId w:val="7"/>
  </w:num>
  <w:num w:numId="16">
    <w:abstractNumId w:val="12"/>
  </w:num>
  <w:num w:numId="17">
    <w:abstractNumId w:val="9"/>
  </w:num>
  <w:num w:numId="18">
    <w:abstractNumId w:val="13"/>
  </w:num>
  <w:num w:numId="19">
    <w:abstractNumId w:val="6"/>
  </w:num>
  <w:num w:numId="20">
    <w:abstractNumId w:val="8"/>
  </w:num>
  <w:num w:numId="21">
    <w:abstractNumId w:val="0"/>
  </w:num>
  <w:num w:numId="22">
    <w:abstractNumId w:val="14"/>
  </w:num>
  <w:num w:numId="23">
    <w:abstractNumId w:val="4"/>
  </w:num>
  <w:num w:numId="24">
    <w:abstractNumId w:val="16"/>
  </w:num>
  <w:num w:numId="25">
    <w:abstractNumId w:val="29"/>
  </w:num>
  <w:num w:numId="26">
    <w:abstractNumId w:val="2"/>
  </w:num>
  <w:num w:numId="27">
    <w:abstractNumId w:val="17"/>
  </w:num>
  <w:num w:numId="28">
    <w:abstractNumId w:val="10"/>
  </w:num>
  <w:num w:numId="29">
    <w:abstractNumId w:val="23"/>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AF"/>
    <w:rsid w:val="000003D6"/>
    <w:rsid w:val="00001295"/>
    <w:rsid w:val="000012AB"/>
    <w:rsid w:val="00001A1A"/>
    <w:rsid w:val="0000225F"/>
    <w:rsid w:val="00005686"/>
    <w:rsid w:val="00010E46"/>
    <w:rsid w:val="00011FC6"/>
    <w:rsid w:val="0001260E"/>
    <w:rsid w:val="00014AD5"/>
    <w:rsid w:val="00014BEF"/>
    <w:rsid w:val="00027244"/>
    <w:rsid w:val="00034F1C"/>
    <w:rsid w:val="00041D6E"/>
    <w:rsid w:val="00043948"/>
    <w:rsid w:val="00045947"/>
    <w:rsid w:val="000463E2"/>
    <w:rsid w:val="00046970"/>
    <w:rsid w:val="00047158"/>
    <w:rsid w:val="000471DC"/>
    <w:rsid w:val="00051AEE"/>
    <w:rsid w:val="0005216D"/>
    <w:rsid w:val="00052AF0"/>
    <w:rsid w:val="000532FE"/>
    <w:rsid w:val="00053621"/>
    <w:rsid w:val="00054CBC"/>
    <w:rsid w:val="00054F9B"/>
    <w:rsid w:val="000560E7"/>
    <w:rsid w:val="00061B2E"/>
    <w:rsid w:val="000620A3"/>
    <w:rsid w:val="00063D7A"/>
    <w:rsid w:val="0006421A"/>
    <w:rsid w:val="00064ADE"/>
    <w:rsid w:val="00076EA8"/>
    <w:rsid w:val="00083442"/>
    <w:rsid w:val="00083741"/>
    <w:rsid w:val="0008409B"/>
    <w:rsid w:val="000851D7"/>
    <w:rsid w:val="00086A24"/>
    <w:rsid w:val="0009008E"/>
    <w:rsid w:val="000923B3"/>
    <w:rsid w:val="00094131"/>
    <w:rsid w:val="000A28D4"/>
    <w:rsid w:val="000A44F5"/>
    <w:rsid w:val="000A780C"/>
    <w:rsid w:val="000B202D"/>
    <w:rsid w:val="000B6B1E"/>
    <w:rsid w:val="000B6F17"/>
    <w:rsid w:val="000B77DB"/>
    <w:rsid w:val="000C35A9"/>
    <w:rsid w:val="000C5EF2"/>
    <w:rsid w:val="000C6DD5"/>
    <w:rsid w:val="000D07A5"/>
    <w:rsid w:val="000D09F8"/>
    <w:rsid w:val="000D0D3B"/>
    <w:rsid w:val="000D0FBA"/>
    <w:rsid w:val="000D1B25"/>
    <w:rsid w:val="000D643F"/>
    <w:rsid w:val="000D67A1"/>
    <w:rsid w:val="000D744A"/>
    <w:rsid w:val="000E5F78"/>
    <w:rsid w:val="000E6FC0"/>
    <w:rsid w:val="000E7A11"/>
    <w:rsid w:val="000F01F9"/>
    <w:rsid w:val="000F1BE6"/>
    <w:rsid w:val="000F2371"/>
    <w:rsid w:val="000F3048"/>
    <w:rsid w:val="000F6BB3"/>
    <w:rsid w:val="00101677"/>
    <w:rsid w:val="001038BC"/>
    <w:rsid w:val="00104F9A"/>
    <w:rsid w:val="00107398"/>
    <w:rsid w:val="0011476B"/>
    <w:rsid w:val="00114A70"/>
    <w:rsid w:val="00116858"/>
    <w:rsid w:val="0011749A"/>
    <w:rsid w:val="001174B9"/>
    <w:rsid w:val="001206D7"/>
    <w:rsid w:val="00120F5B"/>
    <w:rsid w:val="00121392"/>
    <w:rsid w:val="001219DC"/>
    <w:rsid w:val="00124D1F"/>
    <w:rsid w:val="001261BB"/>
    <w:rsid w:val="00131064"/>
    <w:rsid w:val="001323BE"/>
    <w:rsid w:val="001347DF"/>
    <w:rsid w:val="001348E0"/>
    <w:rsid w:val="0014465C"/>
    <w:rsid w:val="00145D4F"/>
    <w:rsid w:val="001506AA"/>
    <w:rsid w:val="001526F6"/>
    <w:rsid w:val="001528EF"/>
    <w:rsid w:val="00152E35"/>
    <w:rsid w:val="00157548"/>
    <w:rsid w:val="001577BB"/>
    <w:rsid w:val="001625B9"/>
    <w:rsid w:val="001625BB"/>
    <w:rsid w:val="00163524"/>
    <w:rsid w:val="00163921"/>
    <w:rsid w:val="00164798"/>
    <w:rsid w:val="00165257"/>
    <w:rsid w:val="0016602C"/>
    <w:rsid w:val="00166AD1"/>
    <w:rsid w:val="0016756A"/>
    <w:rsid w:val="0017071D"/>
    <w:rsid w:val="00170F54"/>
    <w:rsid w:val="00171E34"/>
    <w:rsid w:val="00172090"/>
    <w:rsid w:val="00173A80"/>
    <w:rsid w:val="00173F32"/>
    <w:rsid w:val="00185DCE"/>
    <w:rsid w:val="00186ED6"/>
    <w:rsid w:val="001902A8"/>
    <w:rsid w:val="001924C7"/>
    <w:rsid w:val="001967C8"/>
    <w:rsid w:val="00196AB3"/>
    <w:rsid w:val="001A1E31"/>
    <w:rsid w:val="001A281E"/>
    <w:rsid w:val="001A46F9"/>
    <w:rsid w:val="001A4DDC"/>
    <w:rsid w:val="001A58D4"/>
    <w:rsid w:val="001B0A09"/>
    <w:rsid w:val="001B1F01"/>
    <w:rsid w:val="001B2E6A"/>
    <w:rsid w:val="001B36A9"/>
    <w:rsid w:val="001B3EB1"/>
    <w:rsid w:val="001B72C2"/>
    <w:rsid w:val="001B736A"/>
    <w:rsid w:val="001C1BA1"/>
    <w:rsid w:val="001C2B7A"/>
    <w:rsid w:val="001C2EBC"/>
    <w:rsid w:val="001C3669"/>
    <w:rsid w:val="001C4B57"/>
    <w:rsid w:val="001C67C5"/>
    <w:rsid w:val="001C7B10"/>
    <w:rsid w:val="001D1366"/>
    <w:rsid w:val="001D740F"/>
    <w:rsid w:val="001D751A"/>
    <w:rsid w:val="001E0967"/>
    <w:rsid w:val="001E198A"/>
    <w:rsid w:val="001E1BBF"/>
    <w:rsid w:val="001E2B3D"/>
    <w:rsid w:val="001E3269"/>
    <w:rsid w:val="001E4049"/>
    <w:rsid w:val="001E43F5"/>
    <w:rsid w:val="001F2432"/>
    <w:rsid w:val="001F56F9"/>
    <w:rsid w:val="001F65FA"/>
    <w:rsid w:val="001F6F17"/>
    <w:rsid w:val="002011D5"/>
    <w:rsid w:val="00201434"/>
    <w:rsid w:val="002072C1"/>
    <w:rsid w:val="00216AFF"/>
    <w:rsid w:val="00222072"/>
    <w:rsid w:val="0022270E"/>
    <w:rsid w:val="00223678"/>
    <w:rsid w:val="0022390D"/>
    <w:rsid w:val="0022422B"/>
    <w:rsid w:val="0022638F"/>
    <w:rsid w:val="002271E4"/>
    <w:rsid w:val="00233182"/>
    <w:rsid w:val="00241FBF"/>
    <w:rsid w:val="00244B1F"/>
    <w:rsid w:val="00245346"/>
    <w:rsid w:val="00245D2E"/>
    <w:rsid w:val="00253A20"/>
    <w:rsid w:val="002544DB"/>
    <w:rsid w:val="00255872"/>
    <w:rsid w:val="002569C8"/>
    <w:rsid w:val="0026008D"/>
    <w:rsid w:val="00260C7E"/>
    <w:rsid w:val="0026268F"/>
    <w:rsid w:val="00263B17"/>
    <w:rsid w:val="00263EA4"/>
    <w:rsid w:val="00264679"/>
    <w:rsid w:val="00264892"/>
    <w:rsid w:val="0026686B"/>
    <w:rsid w:val="00270C75"/>
    <w:rsid w:val="002722D6"/>
    <w:rsid w:val="00272EDD"/>
    <w:rsid w:val="00273575"/>
    <w:rsid w:val="00273AE4"/>
    <w:rsid w:val="00275342"/>
    <w:rsid w:val="00280C67"/>
    <w:rsid w:val="002811EA"/>
    <w:rsid w:val="002820C4"/>
    <w:rsid w:val="002849C4"/>
    <w:rsid w:val="00284C7C"/>
    <w:rsid w:val="00284DE2"/>
    <w:rsid w:val="00290E82"/>
    <w:rsid w:val="002910A7"/>
    <w:rsid w:val="00291576"/>
    <w:rsid w:val="0029454C"/>
    <w:rsid w:val="00294BC3"/>
    <w:rsid w:val="00295053"/>
    <w:rsid w:val="002960D1"/>
    <w:rsid w:val="00296879"/>
    <w:rsid w:val="00297439"/>
    <w:rsid w:val="002A14DA"/>
    <w:rsid w:val="002A485F"/>
    <w:rsid w:val="002A64F3"/>
    <w:rsid w:val="002A6E89"/>
    <w:rsid w:val="002B08B0"/>
    <w:rsid w:val="002C7CF8"/>
    <w:rsid w:val="002D402C"/>
    <w:rsid w:val="002D42FB"/>
    <w:rsid w:val="002D7D0D"/>
    <w:rsid w:val="002E41F0"/>
    <w:rsid w:val="002E5FC6"/>
    <w:rsid w:val="002F073B"/>
    <w:rsid w:val="002F0A8B"/>
    <w:rsid w:val="002F1D40"/>
    <w:rsid w:val="002F32CA"/>
    <w:rsid w:val="002F3B5F"/>
    <w:rsid w:val="002F4D83"/>
    <w:rsid w:val="002F6E38"/>
    <w:rsid w:val="00301C50"/>
    <w:rsid w:val="00302616"/>
    <w:rsid w:val="00311CE2"/>
    <w:rsid w:val="003144C5"/>
    <w:rsid w:val="0031452F"/>
    <w:rsid w:val="00315312"/>
    <w:rsid w:val="003206BE"/>
    <w:rsid w:val="003212BA"/>
    <w:rsid w:val="003213C7"/>
    <w:rsid w:val="00322FB5"/>
    <w:rsid w:val="00323E01"/>
    <w:rsid w:val="00324114"/>
    <w:rsid w:val="003309A5"/>
    <w:rsid w:val="00337804"/>
    <w:rsid w:val="00342269"/>
    <w:rsid w:val="00343215"/>
    <w:rsid w:val="00344A0D"/>
    <w:rsid w:val="003509C7"/>
    <w:rsid w:val="00352648"/>
    <w:rsid w:val="00353F2F"/>
    <w:rsid w:val="00357CF6"/>
    <w:rsid w:val="00360AD5"/>
    <w:rsid w:val="003612A6"/>
    <w:rsid w:val="0036394F"/>
    <w:rsid w:val="0036672A"/>
    <w:rsid w:val="003705B7"/>
    <w:rsid w:val="00371FED"/>
    <w:rsid w:val="0037667A"/>
    <w:rsid w:val="00377F98"/>
    <w:rsid w:val="0038163A"/>
    <w:rsid w:val="00382544"/>
    <w:rsid w:val="003858F2"/>
    <w:rsid w:val="0039154A"/>
    <w:rsid w:val="00393637"/>
    <w:rsid w:val="00394A92"/>
    <w:rsid w:val="00394B54"/>
    <w:rsid w:val="00394FE2"/>
    <w:rsid w:val="003957EE"/>
    <w:rsid w:val="003A0B91"/>
    <w:rsid w:val="003A1F66"/>
    <w:rsid w:val="003A700B"/>
    <w:rsid w:val="003B1CC4"/>
    <w:rsid w:val="003B47EA"/>
    <w:rsid w:val="003B6036"/>
    <w:rsid w:val="003C07D6"/>
    <w:rsid w:val="003C0C5B"/>
    <w:rsid w:val="003C3582"/>
    <w:rsid w:val="003C6295"/>
    <w:rsid w:val="003C6301"/>
    <w:rsid w:val="003C6C1B"/>
    <w:rsid w:val="003C76B7"/>
    <w:rsid w:val="003D169C"/>
    <w:rsid w:val="003D4B53"/>
    <w:rsid w:val="003D4FAF"/>
    <w:rsid w:val="003D5396"/>
    <w:rsid w:val="003E0367"/>
    <w:rsid w:val="003E2FDD"/>
    <w:rsid w:val="003E3D3F"/>
    <w:rsid w:val="003E48D9"/>
    <w:rsid w:val="003E7BA3"/>
    <w:rsid w:val="003F0F60"/>
    <w:rsid w:val="003F2D59"/>
    <w:rsid w:val="003F2DE3"/>
    <w:rsid w:val="003F44C5"/>
    <w:rsid w:val="003F52D0"/>
    <w:rsid w:val="003F54E3"/>
    <w:rsid w:val="004020B4"/>
    <w:rsid w:val="00403D08"/>
    <w:rsid w:val="004050B0"/>
    <w:rsid w:val="00406770"/>
    <w:rsid w:val="004148C8"/>
    <w:rsid w:val="00414BB4"/>
    <w:rsid w:val="004152AF"/>
    <w:rsid w:val="0041588D"/>
    <w:rsid w:val="00420A7C"/>
    <w:rsid w:val="004212D3"/>
    <w:rsid w:val="00422C30"/>
    <w:rsid w:val="00424D28"/>
    <w:rsid w:val="00427AC1"/>
    <w:rsid w:val="0043032E"/>
    <w:rsid w:val="00431FFD"/>
    <w:rsid w:val="00436237"/>
    <w:rsid w:val="00437059"/>
    <w:rsid w:val="0044083B"/>
    <w:rsid w:val="00441E77"/>
    <w:rsid w:val="00442C1B"/>
    <w:rsid w:val="00443C7A"/>
    <w:rsid w:val="00444714"/>
    <w:rsid w:val="00445EB6"/>
    <w:rsid w:val="0045032B"/>
    <w:rsid w:val="00451190"/>
    <w:rsid w:val="00451E53"/>
    <w:rsid w:val="00453CE9"/>
    <w:rsid w:val="00460937"/>
    <w:rsid w:val="004612A9"/>
    <w:rsid w:val="004660FD"/>
    <w:rsid w:val="00466DC5"/>
    <w:rsid w:val="004710FE"/>
    <w:rsid w:val="00471C91"/>
    <w:rsid w:val="00472661"/>
    <w:rsid w:val="0048221D"/>
    <w:rsid w:val="004874C3"/>
    <w:rsid w:val="00490631"/>
    <w:rsid w:val="00492666"/>
    <w:rsid w:val="00493006"/>
    <w:rsid w:val="004939C3"/>
    <w:rsid w:val="0049426A"/>
    <w:rsid w:val="0049666D"/>
    <w:rsid w:val="004A2951"/>
    <w:rsid w:val="004A2F2E"/>
    <w:rsid w:val="004A4C6A"/>
    <w:rsid w:val="004A50AF"/>
    <w:rsid w:val="004A639C"/>
    <w:rsid w:val="004A6D1D"/>
    <w:rsid w:val="004B10E7"/>
    <w:rsid w:val="004B1163"/>
    <w:rsid w:val="004B306E"/>
    <w:rsid w:val="004B3264"/>
    <w:rsid w:val="004B4D54"/>
    <w:rsid w:val="004B71C1"/>
    <w:rsid w:val="004B73FB"/>
    <w:rsid w:val="004C1CF8"/>
    <w:rsid w:val="004C5656"/>
    <w:rsid w:val="004C5F09"/>
    <w:rsid w:val="004C7E85"/>
    <w:rsid w:val="004D09A2"/>
    <w:rsid w:val="004D0A53"/>
    <w:rsid w:val="004D1561"/>
    <w:rsid w:val="004D5AEB"/>
    <w:rsid w:val="004E04DF"/>
    <w:rsid w:val="004E4F8F"/>
    <w:rsid w:val="004E6A4B"/>
    <w:rsid w:val="004E70DD"/>
    <w:rsid w:val="004E7326"/>
    <w:rsid w:val="004F1FA9"/>
    <w:rsid w:val="004F2C72"/>
    <w:rsid w:val="004F31B9"/>
    <w:rsid w:val="004F72D4"/>
    <w:rsid w:val="004F7B1C"/>
    <w:rsid w:val="00504D4A"/>
    <w:rsid w:val="00505EA9"/>
    <w:rsid w:val="00510685"/>
    <w:rsid w:val="00514BE8"/>
    <w:rsid w:val="005160FE"/>
    <w:rsid w:val="00516F5F"/>
    <w:rsid w:val="0052031E"/>
    <w:rsid w:val="005208C3"/>
    <w:rsid w:val="00520AE6"/>
    <w:rsid w:val="005271A9"/>
    <w:rsid w:val="005302C5"/>
    <w:rsid w:val="00531066"/>
    <w:rsid w:val="00531138"/>
    <w:rsid w:val="0053133F"/>
    <w:rsid w:val="00534D23"/>
    <w:rsid w:val="00536751"/>
    <w:rsid w:val="00537FC5"/>
    <w:rsid w:val="005405CE"/>
    <w:rsid w:val="005406B8"/>
    <w:rsid w:val="00547599"/>
    <w:rsid w:val="00552878"/>
    <w:rsid w:val="00552AC3"/>
    <w:rsid w:val="00553106"/>
    <w:rsid w:val="00554866"/>
    <w:rsid w:val="00557903"/>
    <w:rsid w:val="00560810"/>
    <w:rsid w:val="005614DC"/>
    <w:rsid w:val="00561E0E"/>
    <w:rsid w:val="00562822"/>
    <w:rsid w:val="005639A6"/>
    <w:rsid w:val="00566687"/>
    <w:rsid w:val="0057002E"/>
    <w:rsid w:val="00570C7D"/>
    <w:rsid w:val="0057253E"/>
    <w:rsid w:val="005740F7"/>
    <w:rsid w:val="0057516E"/>
    <w:rsid w:val="0058101F"/>
    <w:rsid w:val="00581812"/>
    <w:rsid w:val="005820B0"/>
    <w:rsid w:val="00582A43"/>
    <w:rsid w:val="005835E4"/>
    <w:rsid w:val="00583908"/>
    <w:rsid w:val="00586922"/>
    <w:rsid w:val="00586F41"/>
    <w:rsid w:val="005876B6"/>
    <w:rsid w:val="00591165"/>
    <w:rsid w:val="005911C2"/>
    <w:rsid w:val="00591F5D"/>
    <w:rsid w:val="005935F5"/>
    <w:rsid w:val="00593E7B"/>
    <w:rsid w:val="005951AF"/>
    <w:rsid w:val="00595EE3"/>
    <w:rsid w:val="005963A5"/>
    <w:rsid w:val="005A26D3"/>
    <w:rsid w:val="005A2FB3"/>
    <w:rsid w:val="005A6BF9"/>
    <w:rsid w:val="005A6EBE"/>
    <w:rsid w:val="005B03F6"/>
    <w:rsid w:val="005B0E57"/>
    <w:rsid w:val="005B2896"/>
    <w:rsid w:val="005B2C9F"/>
    <w:rsid w:val="005B4585"/>
    <w:rsid w:val="005B50BD"/>
    <w:rsid w:val="005B7AF4"/>
    <w:rsid w:val="005C0090"/>
    <w:rsid w:val="005C028B"/>
    <w:rsid w:val="005D1F9D"/>
    <w:rsid w:val="005D63F7"/>
    <w:rsid w:val="005E131D"/>
    <w:rsid w:val="005E1417"/>
    <w:rsid w:val="005E2023"/>
    <w:rsid w:val="005E3105"/>
    <w:rsid w:val="005E4868"/>
    <w:rsid w:val="005E5FB4"/>
    <w:rsid w:val="005E65B1"/>
    <w:rsid w:val="005F1A2C"/>
    <w:rsid w:val="005F2CDB"/>
    <w:rsid w:val="005F4368"/>
    <w:rsid w:val="005F7468"/>
    <w:rsid w:val="00603F56"/>
    <w:rsid w:val="00604148"/>
    <w:rsid w:val="006041C7"/>
    <w:rsid w:val="00607ADD"/>
    <w:rsid w:val="006116DE"/>
    <w:rsid w:val="00611C50"/>
    <w:rsid w:val="006138D8"/>
    <w:rsid w:val="00613B69"/>
    <w:rsid w:val="00616E2A"/>
    <w:rsid w:val="00621987"/>
    <w:rsid w:val="0062564D"/>
    <w:rsid w:val="00626487"/>
    <w:rsid w:val="006264ED"/>
    <w:rsid w:val="00627EAE"/>
    <w:rsid w:val="00631B9A"/>
    <w:rsid w:val="006333DC"/>
    <w:rsid w:val="00637B17"/>
    <w:rsid w:val="00641493"/>
    <w:rsid w:val="00645FD4"/>
    <w:rsid w:val="00651090"/>
    <w:rsid w:val="00652A35"/>
    <w:rsid w:val="00653D2A"/>
    <w:rsid w:val="00655318"/>
    <w:rsid w:val="00660ED2"/>
    <w:rsid w:val="006623B8"/>
    <w:rsid w:val="006645BC"/>
    <w:rsid w:val="006658A9"/>
    <w:rsid w:val="00665DD8"/>
    <w:rsid w:val="00670B90"/>
    <w:rsid w:val="00672B64"/>
    <w:rsid w:val="00675FED"/>
    <w:rsid w:val="00677132"/>
    <w:rsid w:val="00691B70"/>
    <w:rsid w:val="006949E8"/>
    <w:rsid w:val="006958DF"/>
    <w:rsid w:val="00696241"/>
    <w:rsid w:val="006A51E4"/>
    <w:rsid w:val="006B33ED"/>
    <w:rsid w:val="006B3416"/>
    <w:rsid w:val="006B5210"/>
    <w:rsid w:val="006B5252"/>
    <w:rsid w:val="006B569C"/>
    <w:rsid w:val="006B5730"/>
    <w:rsid w:val="006C04F2"/>
    <w:rsid w:val="006C0A97"/>
    <w:rsid w:val="006C1F20"/>
    <w:rsid w:val="006C3D70"/>
    <w:rsid w:val="006C459C"/>
    <w:rsid w:val="006D0707"/>
    <w:rsid w:val="006D0D27"/>
    <w:rsid w:val="006D1737"/>
    <w:rsid w:val="006D1864"/>
    <w:rsid w:val="006D5860"/>
    <w:rsid w:val="006D5D47"/>
    <w:rsid w:val="006D5EE1"/>
    <w:rsid w:val="006D7873"/>
    <w:rsid w:val="006E305D"/>
    <w:rsid w:val="006E4407"/>
    <w:rsid w:val="006E4706"/>
    <w:rsid w:val="006F0C12"/>
    <w:rsid w:val="006F2481"/>
    <w:rsid w:val="006F28EE"/>
    <w:rsid w:val="006F570C"/>
    <w:rsid w:val="006F5A56"/>
    <w:rsid w:val="00700595"/>
    <w:rsid w:val="00703EE5"/>
    <w:rsid w:val="00704A51"/>
    <w:rsid w:val="00711496"/>
    <w:rsid w:val="00711FBE"/>
    <w:rsid w:val="0071407E"/>
    <w:rsid w:val="00714652"/>
    <w:rsid w:val="00716D73"/>
    <w:rsid w:val="00716D74"/>
    <w:rsid w:val="00717F74"/>
    <w:rsid w:val="007205B7"/>
    <w:rsid w:val="00720853"/>
    <w:rsid w:val="00720907"/>
    <w:rsid w:val="0072245E"/>
    <w:rsid w:val="00722708"/>
    <w:rsid w:val="00723716"/>
    <w:rsid w:val="007241E5"/>
    <w:rsid w:val="00724F28"/>
    <w:rsid w:val="007317B3"/>
    <w:rsid w:val="007343F2"/>
    <w:rsid w:val="007375F4"/>
    <w:rsid w:val="00737C56"/>
    <w:rsid w:val="007401B6"/>
    <w:rsid w:val="00741BA1"/>
    <w:rsid w:val="0074203C"/>
    <w:rsid w:val="007462E6"/>
    <w:rsid w:val="0075045C"/>
    <w:rsid w:val="00750813"/>
    <w:rsid w:val="007518F9"/>
    <w:rsid w:val="00751BF7"/>
    <w:rsid w:val="00752B3A"/>
    <w:rsid w:val="00754906"/>
    <w:rsid w:val="00756F45"/>
    <w:rsid w:val="0075765B"/>
    <w:rsid w:val="00761A66"/>
    <w:rsid w:val="0076252B"/>
    <w:rsid w:val="00763481"/>
    <w:rsid w:val="00765396"/>
    <w:rsid w:val="007656FD"/>
    <w:rsid w:val="00765A04"/>
    <w:rsid w:val="00766713"/>
    <w:rsid w:val="007672F7"/>
    <w:rsid w:val="00767764"/>
    <w:rsid w:val="00772D77"/>
    <w:rsid w:val="007758F1"/>
    <w:rsid w:val="007761AE"/>
    <w:rsid w:val="00783010"/>
    <w:rsid w:val="00787976"/>
    <w:rsid w:val="00787C83"/>
    <w:rsid w:val="00790DD7"/>
    <w:rsid w:val="007914B1"/>
    <w:rsid w:val="00793CFA"/>
    <w:rsid w:val="0079530F"/>
    <w:rsid w:val="007A013D"/>
    <w:rsid w:val="007A288B"/>
    <w:rsid w:val="007A2EDC"/>
    <w:rsid w:val="007A3C9E"/>
    <w:rsid w:val="007A483B"/>
    <w:rsid w:val="007A4F00"/>
    <w:rsid w:val="007B04A0"/>
    <w:rsid w:val="007B0C84"/>
    <w:rsid w:val="007B0CBC"/>
    <w:rsid w:val="007B3085"/>
    <w:rsid w:val="007B4260"/>
    <w:rsid w:val="007B4538"/>
    <w:rsid w:val="007B69B8"/>
    <w:rsid w:val="007B73FF"/>
    <w:rsid w:val="007C28EA"/>
    <w:rsid w:val="007C3669"/>
    <w:rsid w:val="007C661C"/>
    <w:rsid w:val="007D16D1"/>
    <w:rsid w:val="007D1BE0"/>
    <w:rsid w:val="007D40DA"/>
    <w:rsid w:val="007D64AD"/>
    <w:rsid w:val="007D6A37"/>
    <w:rsid w:val="007E1281"/>
    <w:rsid w:val="007E385B"/>
    <w:rsid w:val="007E3E3B"/>
    <w:rsid w:val="007E4A22"/>
    <w:rsid w:val="007F1C50"/>
    <w:rsid w:val="007F599B"/>
    <w:rsid w:val="007F6BBD"/>
    <w:rsid w:val="007F786C"/>
    <w:rsid w:val="00801BD6"/>
    <w:rsid w:val="00802207"/>
    <w:rsid w:val="00802D3A"/>
    <w:rsid w:val="00806C69"/>
    <w:rsid w:val="00807887"/>
    <w:rsid w:val="008107BB"/>
    <w:rsid w:val="00814611"/>
    <w:rsid w:val="00814668"/>
    <w:rsid w:val="0082326F"/>
    <w:rsid w:val="0082394D"/>
    <w:rsid w:val="00824206"/>
    <w:rsid w:val="00826A83"/>
    <w:rsid w:val="008305D0"/>
    <w:rsid w:val="00841206"/>
    <w:rsid w:val="00841C7C"/>
    <w:rsid w:val="00842761"/>
    <w:rsid w:val="00847EA3"/>
    <w:rsid w:val="00851A92"/>
    <w:rsid w:val="008532E3"/>
    <w:rsid w:val="00854E5B"/>
    <w:rsid w:val="00855452"/>
    <w:rsid w:val="008567CA"/>
    <w:rsid w:val="00863713"/>
    <w:rsid w:val="0086745A"/>
    <w:rsid w:val="00871572"/>
    <w:rsid w:val="008721C3"/>
    <w:rsid w:val="00872533"/>
    <w:rsid w:val="008738BF"/>
    <w:rsid w:val="00873B87"/>
    <w:rsid w:val="00875868"/>
    <w:rsid w:val="008768CE"/>
    <w:rsid w:val="00877567"/>
    <w:rsid w:val="008809C1"/>
    <w:rsid w:val="008816C3"/>
    <w:rsid w:val="008842D0"/>
    <w:rsid w:val="008902BB"/>
    <w:rsid w:val="008918B1"/>
    <w:rsid w:val="008965D0"/>
    <w:rsid w:val="008971DA"/>
    <w:rsid w:val="008974BC"/>
    <w:rsid w:val="008A1F81"/>
    <w:rsid w:val="008A39F8"/>
    <w:rsid w:val="008A6C6A"/>
    <w:rsid w:val="008B469B"/>
    <w:rsid w:val="008B7981"/>
    <w:rsid w:val="008C28F6"/>
    <w:rsid w:val="008C4479"/>
    <w:rsid w:val="008C473D"/>
    <w:rsid w:val="008C74A5"/>
    <w:rsid w:val="008D06F9"/>
    <w:rsid w:val="008D3CA9"/>
    <w:rsid w:val="008D3D31"/>
    <w:rsid w:val="008D5003"/>
    <w:rsid w:val="008D5238"/>
    <w:rsid w:val="008D65F9"/>
    <w:rsid w:val="008D772F"/>
    <w:rsid w:val="008D7F21"/>
    <w:rsid w:val="008E028B"/>
    <w:rsid w:val="008E214E"/>
    <w:rsid w:val="008F0101"/>
    <w:rsid w:val="008F2C30"/>
    <w:rsid w:val="008F332A"/>
    <w:rsid w:val="00900C96"/>
    <w:rsid w:val="009041BA"/>
    <w:rsid w:val="0090789B"/>
    <w:rsid w:val="009223B7"/>
    <w:rsid w:val="00923C3D"/>
    <w:rsid w:val="009260E3"/>
    <w:rsid w:val="009311F6"/>
    <w:rsid w:val="009356A4"/>
    <w:rsid w:val="00937C19"/>
    <w:rsid w:val="00940D47"/>
    <w:rsid w:val="00944D90"/>
    <w:rsid w:val="00951B08"/>
    <w:rsid w:val="00952DE7"/>
    <w:rsid w:val="0095344D"/>
    <w:rsid w:val="00957559"/>
    <w:rsid w:val="00964E77"/>
    <w:rsid w:val="00970E0C"/>
    <w:rsid w:val="00970E24"/>
    <w:rsid w:val="00972486"/>
    <w:rsid w:val="009725F8"/>
    <w:rsid w:val="00974750"/>
    <w:rsid w:val="00974AFD"/>
    <w:rsid w:val="00977D77"/>
    <w:rsid w:val="00982E34"/>
    <w:rsid w:val="00983177"/>
    <w:rsid w:val="00984236"/>
    <w:rsid w:val="0098473D"/>
    <w:rsid w:val="00986269"/>
    <w:rsid w:val="00986275"/>
    <w:rsid w:val="009923EC"/>
    <w:rsid w:val="00992CA2"/>
    <w:rsid w:val="009B07F0"/>
    <w:rsid w:val="009B0DDD"/>
    <w:rsid w:val="009B245F"/>
    <w:rsid w:val="009B35E9"/>
    <w:rsid w:val="009B4B13"/>
    <w:rsid w:val="009B4F1A"/>
    <w:rsid w:val="009B567B"/>
    <w:rsid w:val="009B655A"/>
    <w:rsid w:val="009C2AC5"/>
    <w:rsid w:val="009C3104"/>
    <w:rsid w:val="009C64BD"/>
    <w:rsid w:val="009C7F94"/>
    <w:rsid w:val="009D5D05"/>
    <w:rsid w:val="009D6635"/>
    <w:rsid w:val="009E35EF"/>
    <w:rsid w:val="009E40AA"/>
    <w:rsid w:val="009E5B7D"/>
    <w:rsid w:val="009F7EF6"/>
    <w:rsid w:val="00A00A45"/>
    <w:rsid w:val="00A01E7E"/>
    <w:rsid w:val="00A020D4"/>
    <w:rsid w:val="00A029A5"/>
    <w:rsid w:val="00A02B6D"/>
    <w:rsid w:val="00A04C46"/>
    <w:rsid w:val="00A059E3"/>
    <w:rsid w:val="00A073CB"/>
    <w:rsid w:val="00A07F3A"/>
    <w:rsid w:val="00A12555"/>
    <w:rsid w:val="00A135F9"/>
    <w:rsid w:val="00A15832"/>
    <w:rsid w:val="00A160C6"/>
    <w:rsid w:val="00A16489"/>
    <w:rsid w:val="00A172E0"/>
    <w:rsid w:val="00A17D74"/>
    <w:rsid w:val="00A212E1"/>
    <w:rsid w:val="00A26135"/>
    <w:rsid w:val="00A31E40"/>
    <w:rsid w:val="00A32CF9"/>
    <w:rsid w:val="00A333FA"/>
    <w:rsid w:val="00A3469C"/>
    <w:rsid w:val="00A3586D"/>
    <w:rsid w:val="00A3668B"/>
    <w:rsid w:val="00A3734F"/>
    <w:rsid w:val="00A37573"/>
    <w:rsid w:val="00A40C81"/>
    <w:rsid w:val="00A4259E"/>
    <w:rsid w:val="00A4266B"/>
    <w:rsid w:val="00A426CD"/>
    <w:rsid w:val="00A43C77"/>
    <w:rsid w:val="00A44529"/>
    <w:rsid w:val="00A45F5B"/>
    <w:rsid w:val="00A474F9"/>
    <w:rsid w:val="00A47F4E"/>
    <w:rsid w:val="00A52B98"/>
    <w:rsid w:val="00A52D08"/>
    <w:rsid w:val="00A5558A"/>
    <w:rsid w:val="00A5617F"/>
    <w:rsid w:val="00A60A69"/>
    <w:rsid w:val="00A6399F"/>
    <w:rsid w:val="00A63EEB"/>
    <w:rsid w:val="00A67C1F"/>
    <w:rsid w:val="00A7111A"/>
    <w:rsid w:val="00A712C4"/>
    <w:rsid w:val="00A72387"/>
    <w:rsid w:val="00A73017"/>
    <w:rsid w:val="00A75C90"/>
    <w:rsid w:val="00A80EBC"/>
    <w:rsid w:val="00A85BE8"/>
    <w:rsid w:val="00A90235"/>
    <w:rsid w:val="00A91C72"/>
    <w:rsid w:val="00A920FF"/>
    <w:rsid w:val="00A92F1D"/>
    <w:rsid w:val="00A933D7"/>
    <w:rsid w:val="00A93BCE"/>
    <w:rsid w:val="00A93D7A"/>
    <w:rsid w:val="00A95381"/>
    <w:rsid w:val="00A96DEF"/>
    <w:rsid w:val="00AA1375"/>
    <w:rsid w:val="00AA745F"/>
    <w:rsid w:val="00AB0F06"/>
    <w:rsid w:val="00AB157D"/>
    <w:rsid w:val="00AB1E69"/>
    <w:rsid w:val="00AB298A"/>
    <w:rsid w:val="00AB40AF"/>
    <w:rsid w:val="00AC18D7"/>
    <w:rsid w:val="00AC40AC"/>
    <w:rsid w:val="00AD06AE"/>
    <w:rsid w:val="00AD2D80"/>
    <w:rsid w:val="00AD2E2B"/>
    <w:rsid w:val="00AD2FF1"/>
    <w:rsid w:val="00AD3382"/>
    <w:rsid w:val="00AD58CE"/>
    <w:rsid w:val="00AD5F79"/>
    <w:rsid w:val="00AD768A"/>
    <w:rsid w:val="00AE078F"/>
    <w:rsid w:val="00AE0EA4"/>
    <w:rsid w:val="00AE2371"/>
    <w:rsid w:val="00AE431D"/>
    <w:rsid w:val="00AE63DE"/>
    <w:rsid w:val="00AE74F3"/>
    <w:rsid w:val="00B011A4"/>
    <w:rsid w:val="00B02000"/>
    <w:rsid w:val="00B03C7D"/>
    <w:rsid w:val="00B03E56"/>
    <w:rsid w:val="00B04299"/>
    <w:rsid w:val="00B050C7"/>
    <w:rsid w:val="00B05DD8"/>
    <w:rsid w:val="00B078D5"/>
    <w:rsid w:val="00B07D8E"/>
    <w:rsid w:val="00B12D7D"/>
    <w:rsid w:val="00B14D31"/>
    <w:rsid w:val="00B15585"/>
    <w:rsid w:val="00B15F41"/>
    <w:rsid w:val="00B17495"/>
    <w:rsid w:val="00B17F0E"/>
    <w:rsid w:val="00B204C8"/>
    <w:rsid w:val="00B26EDD"/>
    <w:rsid w:val="00B30083"/>
    <w:rsid w:val="00B305CC"/>
    <w:rsid w:val="00B31759"/>
    <w:rsid w:val="00B318FB"/>
    <w:rsid w:val="00B34BE2"/>
    <w:rsid w:val="00B372AF"/>
    <w:rsid w:val="00B42320"/>
    <w:rsid w:val="00B436A2"/>
    <w:rsid w:val="00B44D07"/>
    <w:rsid w:val="00B4572C"/>
    <w:rsid w:val="00B502D3"/>
    <w:rsid w:val="00B53F55"/>
    <w:rsid w:val="00B5407D"/>
    <w:rsid w:val="00B64C4A"/>
    <w:rsid w:val="00B67928"/>
    <w:rsid w:val="00B73323"/>
    <w:rsid w:val="00B75BB0"/>
    <w:rsid w:val="00B77995"/>
    <w:rsid w:val="00B77F03"/>
    <w:rsid w:val="00B80375"/>
    <w:rsid w:val="00B82561"/>
    <w:rsid w:val="00B848F9"/>
    <w:rsid w:val="00B864CD"/>
    <w:rsid w:val="00B9080D"/>
    <w:rsid w:val="00B90876"/>
    <w:rsid w:val="00B934DB"/>
    <w:rsid w:val="00B9531D"/>
    <w:rsid w:val="00BA0367"/>
    <w:rsid w:val="00BA2FB4"/>
    <w:rsid w:val="00BA457A"/>
    <w:rsid w:val="00BA64B7"/>
    <w:rsid w:val="00BB0A74"/>
    <w:rsid w:val="00BB3B91"/>
    <w:rsid w:val="00BB3FB2"/>
    <w:rsid w:val="00BC380A"/>
    <w:rsid w:val="00BC5362"/>
    <w:rsid w:val="00BC5F4E"/>
    <w:rsid w:val="00BD383E"/>
    <w:rsid w:val="00BD48C2"/>
    <w:rsid w:val="00BD52D0"/>
    <w:rsid w:val="00BE2AF1"/>
    <w:rsid w:val="00BE43B1"/>
    <w:rsid w:val="00BE502A"/>
    <w:rsid w:val="00BE6ECF"/>
    <w:rsid w:val="00BF010A"/>
    <w:rsid w:val="00BF0DD2"/>
    <w:rsid w:val="00BF149C"/>
    <w:rsid w:val="00BF2202"/>
    <w:rsid w:val="00BF5033"/>
    <w:rsid w:val="00BF689E"/>
    <w:rsid w:val="00C0056B"/>
    <w:rsid w:val="00C00DFA"/>
    <w:rsid w:val="00C04D87"/>
    <w:rsid w:val="00C12073"/>
    <w:rsid w:val="00C1467D"/>
    <w:rsid w:val="00C14F64"/>
    <w:rsid w:val="00C16FEA"/>
    <w:rsid w:val="00C228FD"/>
    <w:rsid w:val="00C23B52"/>
    <w:rsid w:val="00C248D7"/>
    <w:rsid w:val="00C275DE"/>
    <w:rsid w:val="00C32578"/>
    <w:rsid w:val="00C33FC3"/>
    <w:rsid w:val="00C36546"/>
    <w:rsid w:val="00C41547"/>
    <w:rsid w:val="00C42235"/>
    <w:rsid w:val="00C441A7"/>
    <w:rsid w:val="00C442EA"/>
    <w:rsid w:val="00C44E31"/>
    <w:rsid w:val="00C4565B"/>
    <w:rsid w:val="00C4615B"/>
    <w:rsid w:val="00C46D28"/>
    <w:rsid w:val="00C523AC"/>
    <w:rsid w:val="00C53389"/>
    <w:rsid w:val="00C535CB"/>
    <w:rsid w:val="00C53737"/>
    <w:rsid w:val="00C610B2"/>
    <w:rsid w:val="00C61CE8"/>
    <w:rsid w:val="00C62F2D"/>
    <w:rsid w:val="00C64CB1"/>
    <w:rsid w:val="00C6543E"/>
    <w:rsid w:val="00C668F1"/>
    <w:rsid w:val="00C6730D"/>
    <w:rsid w:val="00C743D5"/>
    <w:rsid w:val="00C74584"/>
    <w:rsid w:val="00C74856"/>
    <w:rsid w:val="00C74D48"/>
    <w:rsid w:val="00C75A34"/>
    <w:rsid w:val="00C83D4E"/>
    <w:rsid w:val="00C87AF6"/>
    <w:rsid w:val="00C903D4"/>
    <w:rsid w:val="00C90B84"/>
    <w:rsid w:val="00C91C70"/>
    <w:rsid w:val="00C92B61"/>
    <w:rsid w:val="00C94F1B"/>
    <w:rsid w:val="00C976D0"/>
    <w:rsid w:val="00CA15AE"/>
    <w:rsid w:val="00CA44C5"/>
    <w:rsid w:val="00CA632B"/>
    <w:rsid w:val="00CB0662"/>
    <w:rsid w:val="00CB1BD4"/>
    <w:rsid w:val="00CB2178"/>
    <w:rsid w:val="00CB2A3D"/>
    <w:rsid w:val="00CB4005"/>
    <w:rsid w:val="00CB5016"/>
    <w:rsid w:val="00CC0843"/>
    <w:rsid w:val="00CC1DF3"/>
    <w:rsid w:val="00CC2F10"/>
    <w:rsid w:val="00CC5E45"/>
    <w:rsid w:val="00CC6C17"/>
    <w:rsid w:val="00CC72F0"/>
    <w:rsid w:val="00CC790F"/>
    <w:rsid w:val="00CD0A6A"/>
    <w:rsid w:val="00CD3E49"/>
    <w:rsid w:val="00CD53A6"/>
    <w:rsid w:val="00CD6E75"/>
    <w:rsid w:val="00CE0DC8"/>
    <w:rsid w:val="00CE35A3"/>
    <w:rsid w:val="00CE60E0"/>
    <w:rsid w:val="00CE62D9"/>
    <w:rsid w:val="00CE6D66"/>
    <w:rsid w:val="00CF1533"/>
    <w:rsid w:val="00CF1C95"/>
    <w:rsid w:val="00CF63ED"/>
    <w:rsid w:val="00D00637"/>
    <w:rsid w:val="00D007CA"/>
    <w:rsid w:val="00D02D91"/>
    <w:rsid w:val="00D067B7"/>
    <w:rsid w:val="00D117A8"/>
    <w:rsid w:val="00D11C99"/>
    <w:rsid w:val="00D12B76"/>
    <w:rsid w:val="00D13742"/>
    <w:rsid w:val="00D15E3F"/>
    <w:rsid w:val="00D16A1D"/>
    <w:rsid w:val="00D2170B"/>
    <w:rsid w:val="00D269AC"/>
    <w:rsid w:val="00D3234C"/>
    <w:rsid w:val="00D32359"/>
    <w:rsid w:val="00D33D28"/>
    <w:rsid w:val="00D402C5"/>
    <w:rsid w:val="00D41CB8"/>
    <w:rsid w:val="00D44870"/>
    <w:rsid w:val="00D4702D"/>
    <w:rsid w:val="00D47816"/>
    <w:rsid w:val="00D50133"/>
    <w:rsid w:val="00D53E3A"/>
    <w:rsid w:val="00D62C8A"/>
    <w:rsid w:val="00D70F4B"/>
    <w:rsid w:val="00D722FA"/>
    <w:rsid w:val="00D7311A"/>
    <w:rsid w:val="00D74559"/>
    <w:rsid w:val="00D75947"/>
    <w:rsid w:val="00D761F2"/>
    <w:rsid w:val="00D7658D"/>
    <w:rsid w:val="00D769F3"/>
    <w:rsid w:val="00D831BC"/>
    <w:rsid w:val="00D874DD"/>
    <w:rsid w:val="00D92136"/>
    <w:rsid w:val="00D92F56"/>
    <w:rsid w:val="00D93BC0"/>
    <w:rsid w:val="00D949E6"/>
    <w:rsid w:val="00D95B4E"/>
    <w:rsid w:val="00D97488"/>
    <w:rsid w:val="00DA561C"/>
    <w:rsid w:val="00DA7C8E"/>
    <w:rsid w:val="00DB3BC9"/>
    <w:rsid w:val="00DB4C96"/>
    <w:rsid w:val="00DB7307"/>
    <w:rsid w:val="00DC1E05"/>
    <w:rsid w:val="00DC512E"/>
    <w:rsid w:val="00DD30FB"/>
    <w:rsid w:val="00DD318F"/>
    <w:rsid w:val="00DD3A78"/>
    <w:rsid w:val="00DD4257"/>
    <w:rsid w:val="00DD49C8"/>
    <w:rsid w:val="00DD5836"/>
    <w:rsid w:val="00DD71DD"/>
    <w:rsid w:val="00DE1C97"/>
    <w:rsid w:val="00DE2E3F"/>
    <w:rsid w:val="00DE4E82"/>
    <w:rsid w:val="00DE5C72"/>
    <w:rsid w:val="00DE7903"/>
    <w:rsid w:val="00DE7FEC"/>
    <w:rsid w:val="00DF1075"/>
    <w:rsid w:val="00DF28A0"/>
    <w:rsid w:val="00DF4011"/>
    <w:rsid w:val="00DF4374"/>
    <w:rsid w:val="00DF62F8"/>
    <w:rsid w:val="00DF6F93"/>
    <w:rsid w:val="00E0056F"/>
    <w:rsid w:val="00E01557"/>
    <w:rsid w:val="00E02A34"/>
    <w:rsid w:val="00E03018"/>
    <w:rsid w:val="00E069BC"/>
    <w:rsid w:val="00E070C8"/>
    <w:rsid w:val="00E075D8"/>
    <w:rsid w:val="00E108FF"/>
    <w:rsid w:val="00E10BB4"/>
    <w:rsid w:val="00E139F3"/>
    <w:rsid w:val="00E1490F"/>
    <w:rsid w:val="00E20668"/>
    <w:rsid w:val="00E21516"/>
    <w:rsid w:val="00E32D72"/>
    <w:rsid w:val="00E34DE9"/>
    <w:rsid w:val="00E37E97"/>
    <w:rsid w:val="00E41288"/>
    <w:rsid w:val="00E4522E"/>
    <w:rsid w:val="00E45924"/>
    <w:rsid w:val="00E45E53"/>
    <w:rsid w:val="00E51EDB"/>
    <w:rsid w:val="00E520B8"/>
    <w:rsid w:val="00E52D35"/>
    <w:rsid w:val="00E56487"/>
    <w:rsid w:val="00E60895"/>
    <w:rsid w:val="00E63EAF"/>
    <w:rsid w:val="00E66A3B"/>
    <w:rsid w:val="00E67FB1"/>
    <w:rsid w:val="00E70941"/>
    <w:rsid w:val="00E7354F"/>
    <w:rsid w:val="00E73686"/>
    <w:rsid w:val="00E74523"/>
    <w:rsid w:val="00E773FD"/>
    <w:rsid w:val="00E81EC2"/>
    <w:rsid w:val="00E839F0"/>
    <w:rsid w:val="00E861F1"/>
    <w:rsid w:val="00E87D20"/>
    <w:rsid w:val="00E91BD4"/>
    <w:rsid w:val="00E923AB"/>
    <w:rsid w:val="00E9500F"/>
    <w:rsid w:val="00EA0165"/>
    <w:rsid w:val="00EA237A"/>
    <w:rsid w:val="00EA30E0"/>
    <w:rsid w:val="00EA4CF6"/>
    <w:rsid w:val="00EA5295"/>
    <w:rsid w:val="00EA6E52"/>
    <w:rsid w:val="00EA7675"/>
    <w:rsid w:val="00EB094B"/>
    <w:rsid w:val="00EB1FF0"/>
    <w:rsid w:val="00EB2255"/>
    <w:rsid w:val="00EB3068"/>
    <w:rsid w:val="00EB35F8"/>
    <w:rsid w:val="00EB3C00"/>
    <w:rsid w:val="00EB3F1F"/>
    <w:rsid w:val="00EB4072"/>
    <w:rsid w:val="00EB5A38"/>
    <w:rsid w:val="00EB73FF"/>
    <w:rsid w:val="00EC3053"/>
    <w:rsid w:val="00EC3911"/>
    <w:rsid w:val="00EC71A3"/>
    <w:rsid w:val="00EC7F81"/>
    <w:rsid w:val="00ED2A8A"/>
    <w:rsid w:val="00ED3FDE"/>
    <w:rsid w:val="00EE1261"/>
    <w:rsid w:val="00EE2358"/>
    <w:rsid w:val="00EE3512"/>
    <w:rsid w:val="00EE5B46"/>
    <w:rsid w:val="00EE692A"/>
    <w:rsid w:val="00EE779A"/>
    <w:rsid w:val="00EF5700"/>
    <w:rsid w:val="00F0019C"/>
    <w:rsid w:val="00F023D8"/>
    <w:rsid w:val="00F02A17"/>
    <w:rsid w:val="00F057F4"/>
    <w:rsid w:val="00F0760C"/>
    <w:rsid w:val="00F13AE8"/>
    <w:rsid w:val="00F15520"/>
    <w:rsid w:val="00F16338"/>
    <w:rsid w:val="00F16BDF"/>
    <w:rsid w:val="00F21DBF"/>
    <w:rsid w:val="00F23E2B"/>
    <w:rsid w:val="00F26AE1"/>
    <w:rsid w:val="00F30451"/>
    <w:rsid w:val="00F33309"/>
    <w:rsid w:val="00F41F09"/>
    <w:rsid w:val="00F42967"/>
    <w:rsid w:val="00F441E9"/>
    <w:rsid w:val="00F45E6F"/>
    <w:rsid w:val="00F465A4"/>
    <w:rsid w:val="00F50532"/>
    <w:rsid w:val="00F51340"/>
    <w:rsid w:val="00F524FB"/>
    <w:rsid w:val="00F5292B"/>
    <w:rsid w:val="00F53240"/>
    <w:rsid w:val="00F55BED"/>
    <w:rsid w:val="00F57B29"/>
    <w:rsid w:val="00F6300E"/>
    <w:rsid w:val="00F6302E"/>
    <w:rsid w:val="00F7059C"/>
    <w:rsid w:val="00F707FC"/>
    <w:rsid w:val="00F71CB1"/>
    <w:rsid w:val="00F73B70"/>
    <w:rsid w:val="00F75B06"/>
    <w:rsid w:val="00F75ED8"/>
    <w:rsid w:val="00F76389"/>
    <w:rsid w:val="00F85E54"/>
    <w:rsid w:val="00F93A61"/>
    <w:rsid w:val="00F945D3"/>
    <w:rsid w:val="00F958AB"/>
    <w:rsid w:val="00F96664"/>
    <w:rsid w:val="00FA0276"/>
    <w:rsid w:val="00FA08CC"/>
    <w:rsid w:val="00FA0A25"/>
    <w:rsid w:val="00FA0CEF"/>
    <w:rsid w:val="00FA124A"/>
    <w:rsid w:val="00FA4590"/>
    <w:rsid w:val="00FA5106"/>
    <w:rsid w:val="00FA5482"/>
    <w:rsid w:val="00FC135D"/>
    <w:rsid w:val="00FC1408"/>
    <w:rsid w:val="00FC26BF"/>
    <w:rsid w:val="00FC3119"/>
    <w:rsid w:val="00FC44EE"/>
    <w:rsid w:val="00FC4BD8"/>
    <w:rsid w:val="00FC58E0"/>
    <w:rsid w:val="00FC6CE9"/>
    <w:rsid w:val="00FC7DA6"/>
    <w:rsid w:val="00FD1D6B"/>
    <w:rsid w:val="00FD2AFD"/>
    <w:rsid w:val="00FD3078"/>
    <w:rsid w:val="00FD5C3A"/>
    <w:rsid w:val="00FE06E9"/>
    <w:rsid w:val="00FE2831"/>
    <w:rsid w:val="00FE3E99"/>
    <w:rsid w:val="00FE4E03"/>
    <w:rsid w:val="00FE7EF0"/>
    <w:rsid w:val="00FF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CE2"/>
    <w:pPr>
      <w:widowControl w:val="0"/>
      <w:jc w:val="both"/>
    </w:pPr>
    <w:rPr>
      <w:rFonts w:eastAsia="Times New Roman"/>
      <w:kern w:val="2"/>
      <w:sz w:val="21"/>
      <w:szCs w:val="24"/>
    </w:rPr>
  </w:style>
  <w:style w:type="paragraph" w:styleId="1">
    <w:name w:val="heading 1"/>
    <w:basedOn w:val="a"/>
    <w:next w:val="a"/>
    <w:link w:val="1Char"/>
    <w:qFormat/>
    <w:rsid w:val="0090789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078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311CE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3EAF"/>
    <w:pPr>
      <w:pBdr>
        <w:bottom w:val="single" w:sz="6" w:space="1" w:color="auto"/>
      </w:pBdr>
      <w:tabs>
        <w:tab w:val="center" w:pos="4153"/>
        <w:tab w:val="right" w:pos="8306"/>
      </w:tabs>
      <w:snapToGrid w:val="0"/>
      <w:jc w:val="center"/>
    </w:pPr>
    <w:rPr>
      <w:sz w:val="18"/>
      <w:szCs w:val="18"/>
    </w:rPr>
  </w:style>
  <w:style w:type="paragraph" w:styleId="a4">
    <w:name w:val="footer"/>
    <w:basedOn w:val="a"/>
    <w:rsid w:val="00E63EAF"/>
    <w:pPr>
      <w:tabs>
        <w:tab w:val="center" w:pos="4153"/>
        <w:tab w:val="right" w:pos="8306"/>
      </w:tabs>
      <w:snapToGrid w:val="0"/>
      <w:jc w:val="left"/>
    </w:pPr>
    <w:rPr>
      <w:sz w:val="18"/>
      <w:szCs w:val="18"/>
    </w:rPr>
  </w:style>
  <w:style w:type="table" w:styleId="a5">
    <w:name w:val="Table Grid"/>
    <w:basedOn w:val="a1"/>
    <w:rsid w:val="00C75A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B31759"/>
  </w:style>
  <w:style w:type="paragraph" w:styleId="a7">
    <w:name w:val="List Paragraph"/>
    <w:basedOn w:val="a"/>
    <w:uiPriority w:val="34"/>
    <w:qFormat/>
    <w:rsid w:val="00801BD6"/>
    <w:pPr>
      <w:ind w:firstLineChars="200" w:firstLine="420"/>
    </w:pPr>
  </w:style>
  <w:style w:type="paragraph" w:styleId="a8">
    <w:name w:val="Date"/>
    <w:basedOn w:val="a"/>
    <w:next w:val="a"/>
    <w:link w:val="Char"/>
    <w:rsid w:val="00D62C8A"/>
    <w:pPr>
      <w:ind w:leftChars="2500" w:left="100"/>
    </w:pPr>
  </w:style>
  <w:style w:type="character" w:customStyle="1" w:styleId="Char">
    <w:name w:val="日期 Char"/>
    <w:basedOn w:val="a0"/>
    <w:link w:val="a8"/>
    <w:rsid w:val="00D62C8A"/>
    <w:rPr>
      <w:kern w:val="2"/>
      <w:sz w:val="21"/>
      <w:szCs w:val="24"/>
    </w:rPr>
  </w:style>
  <w:style w:type="paragraph" w:styleId="a9">
    <w:name w:val="Balloon Text"/>
    <w:basedOn w:val="a"/>
    <w:link w:val="Char0"/>
    <w:rsid w:val="00552878"/>
    <w:rPr>
      <w:sz w:val="18"/>
      <w:szCs w:val="18"/>
    </w:rPr>
  </w:style>
  <w:style w:type="character" w:customStyle="1" w:styleId="Char0">
    <w:name w:val="批注框文本 Char"/>
    <w:basedOn w:val="a0"/>
    <w:link w:val="a9"/>
    <w:rsid w:val="00552878"/>
    <w:rPr>
      <w:kern w:val="2"/>
      <w:sz w:val="18"/>
      <w:szCs w:val="18"/>
    </w:rPr>
  </w:style>
  <w:style w:type="character" w:customStyle="1" w:styleId="1Char">
    <w:name w:val="标题 1 Char"/>
    <w:basedOn w:val="a0"/>
    <w:link w:val="1"/>
    <w:rsid w:val="0090789B"/>
    <w:rPr>
      <w:b/>
      <w:bCs/>
      <w:kern w:val="44"/>
      <w:sz w:val="44"/>
      <w:szCs w:val="44"/>
    </w:rPr>
  </w:style>
  <w:style w:type="paragraph" w:styleId="aa">
    <w:name w:val="Subtitle"/>
    <w:basedOn w:val="a"/>
    <w:next w:val="a"/>
    <w:link w:val="Char1"/>
    <w:qFormat/>
    <w:rsid w:val="0090789B"/>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basedOn w:val="a0"/>
    <w:link w:val="aa"/>
    <w:rsid w:val="0090789B"/>
    <w:rPr>
      <w:rFonts w:asciiTheme="majorHAnsi" w:hAnsiTheme="majorHAnsi" w:cstheme="majorBidi"/>
      <w:b/>
      <w:bCs/>
      <w:kern w:val="28"/>
      <w:sz w:val="32"/>
      <w:szCs w:val="32"/>
    </w:rPr>
  </w:style>
  <w:style w:type="paragraph" w:styleId="ab">
    <w:name w:val="Title"/>
    <w:basedOn w:val="a"/>
    <w:next w:val="a"/>
    <w:link w:val="Char2"/>
    <w:qFormat/>
    <w:rsid w:val="0090789B"/>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b"/>
    <w:rsid w:val="0090789B"/>
    <w:rPr>
      <w:rFonts w:asciiTheme="majorHAnsi" w:hAnsiTheme="majorHAnsi" w:cstheme="majorBidi"/>
      <w:b/>
      <w:bCs/>
      <w:kern w:val="2"/>
      <w:sz w:val="32"/>
      <w:szCs w:val="32"/>
    </w:rPr>
  </w:style>
  <w:style w:type="character" w:customStyle="1" w:styleId="2Char">
    <w:name w:val="标题 2 Char"/>
    <w:basedOn w:val="a0"/>
    <w:link w:val="2"/>
    <w:rsid w:val="0090789B"/>
    <w:rPr>
      <w:rFonts w:asciiTheme="majorHAnsi" w:eastAsiaTheme="majorEastAsia" w:hAnsiTheme="majorHAnsi" w:cstheme="majorBidi"/>
      <w:b/>
      <w:bCs/>
      <w:kern w:val="2"/>
      <w:sz w:val="32"/>
      <w:szCs w:val="32"/>
    </w:rPr>
  </w:style>
  <w:style w:type="character" w:customStyle="1" w:styleId="3Char">
    <w:name w:val="标题 3 Char"/>
    <w:basedOn w:val="a0"/>
    <w:link w:val="3"/>
    <w:rsid w:val="00311CE2"/>
    <w:rPr>
      <w:rFonts w:eastAsia="Times New Roman"/>
      <w:b/>
      <w:bCs/>
      <w:kern w:val="2"/>
      <w:sz w:val="32"/>
      <w:szCs w:val="32"/>
    </w:rPr>
  </w:style>
  <w:style w:type="paragraph" w:styleId="TOC">
    <w:name w:val="TOC Heading"/>
    <w:basedOn w:val="1"/>
    <w:next w:val="a"/>
    <w:uiPriority w:val="39"/>
    <w:unhideWhenUsed/>
    <w:qFormat/>
    <w:rsid w:val="00FA459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qFormat/>
    <w:rsid w:val="00FA4590"/>
  </w:style>
  <w:style w:type="paragraph" w:styleId="20">
    <w:name w:val="toc 2"/>
    <w:basedOn w:val="a"/>
    <w:next w:val="a"/>
    <w:autoRedefine/>
    <w:uiPriority w:val="39"/>
    <w:qFormat/>
    <w:rsid w:val="00FA4590"/>
    <w:pPr>
      <w:ind w:leftChars="200" w:left="420"/>
    </w:pPr>
  </w:style>
  <w:style w:type="paragraph" w:styleId="30">
    <w:name w:val="toc 3"/>
    <w:basedOn w:val="a"/>
    <w:next w:val="a"/>
    <w:autoRedefine/>
    <w:uiPriority w:val="39"/>
    <w:qFormat/>
    <w:rsid w:val="00FA4590"/>
    <w:pPr>
      <w:ind w:leftChars="400" w:left="840"/>
    </w:pPr>
  </w:style>
  <w:style w:type="character" w:styleId="ac">
    <w:name w:val="Hyperlink"/>
    <w:basedOn w:val="a0"/>
    <w:uiPriority w:val="99"/>
    <w:unhideWhenUsed/>
    <w:rsid w:val="00FA4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CE2"/>
    <w:pPr>
      <w:widowControl w:val="0"/>
      <w:jc w:val="both"/>
    </w:pPr>
    <w:rPr>
      <w:rFonts w:eastAsia="Times New Roman"/>
      <w:kern w:val="2"/>
      <w:sz w:val="21"/>
      <w:szCs w:val="24"/>
    </w:rPr>
  </w:style>
  <w:style w:type="paragraph" w:styleId="1">
    <w:name w:val="heading 1"/>
    <w:basedOn w:val="a"/>
    <w:next w:val="a"/>
    <w:link w:val="1Char"/>
    <w:qFormat/>
    <w:rsid w:val="0090789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078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311CE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3EAF"/>
    <w:pPr>
      <w:pBdr>
        <w:bottom w:val="single" w:sz="6" w:space="1" w:color="auto"/>
      </w:pBdr>
      <w:tabs>
        <w:tab w:val="center" w:pos="4153"/>
        <w:tab w:val="right" w:pos="8306"/>
      </w:tabs>
      <w:snapToGrid w:val="0"/>
      <w:jc w:val="center"/>
    </w:pPr>
    <w:rPr>
      <w:sz w:val="18"/>
      <w:szCs w:val="18"/>
    </w:rPr>
  </w:style>
  <w:style w:type="paragraph" w:styleId="a4">
    <w:name w:val="footer"/>
    <w:basedOn w:val="a"/>
    <w:rsid w:val="00E63EAF"/>
    <w:pPr>
      <w:tabs>
        <w:tab w:val="center" w:pos="4153"/>
        <w:tab w:val="right" w:pos="8306"/>
      </w:tabs>
      <w:snapToGrid w:val="0"/>
      <w:jc w:val="left"/>
    </w:pPr>
    <w:rPr>
      <w:sz w:val="18"/>
      <w:szCs w:val="18"/>
    </w:rPr>
  </w:style>
  <w:style w:type="table" w:styleId="a5">
    <w:name w:val="Table Grid"/>
    <w:basedOn w:val="a1"/>
    <w:rsid w:val="00C75A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B31759"/>
  </w:style>
  <w:style w:type="paragraph" w:styleId="a7">
    <w:name w:val="List Paragraph"/>
    <w:basedOn w:val="a"/>
    <w:uiPriority w:val="34"/>
    <w:qFormat/>
    <w:rsid w:val="00801BD6"/>
    <w:pPr>
      <w:ind w:firstLineChars="200" w:firstLine="420"/>
    </w:pPr>
  </w:style>
  <w:style w:type="paragraph" w:styleId="a8">
    <w:name w:val="Date"/>
    <w:basedOn w:val="a"/>
    <w:next w:val="a"/>
    <w:link w:val="Char"/>
    <w:rsid w:val="00D62C8A"/>
    <w:pPr>
      <w:ind w:leftChars="2500" w:left="100"/>
    </w:pPr>
  </w:style>
  <w:style w:type="character" w:customStyle="1" w:styleId="Char">
    <w:name w:val="日期 Char"/>
    <w:basedOn w:val="a0"/>
    <w:link w:val="a8"/>
    <w:rsid w:val="00D62C8A"/>
    <w:rPr>
      <w:kern w:val="2"/>
      <w:sz w:val="21"/>
      <w:szCs w:val="24"/>
    </w:rPr>
  </w:style>
  <w:style w:type="paragraph" w:styleId="a9">
    <w:name w:val="Balloon Text"/>
    <w:basedOn w:val="a"/>
    <w:link w:val="Char0"/>
    <w:rsid w:val="00552878"/>
    <w:rPr>
      <w:sz w:val="18"/>
      <w:szCs w:val="18"/>
    </w:rPr>
  </w:style>
  <w:style w:type="character" w:customStyle="1" w:styleId="Char0">
    <w:name w:val="批注框文本 Char"/>
    <w:basedOn w:val="a0"/>
    <w:link w:val="a9"/>
    <w:rsid w:val="00552878"/>
    <w:rPr>
      <w:kern w:val="2"/>
      <w:sz w:val="18"/>
      <w:szCs w:val="18"/>
    </w:rPr>
  </w:style>
  <w:style w:type="character" w:customStyle="1" w:styleId="1Char">
    <w:name w:val="标题 1 Char"/>
    <w:basedOn w:val="a0"/>
    <w:link w:val="1"/>
    <w:rsid w:val="0090789B"/>
    <w:rPr>
      <w:b/>
      <w:bCs/>
      <w:kern w:val="44"/>
      <w:sz w:val="44"/>
      <w:szCs w:val="44"/>
    </w:rPr>
  </w:style>
  <w:style w:type="paragraph" w:styleId="aa">
    <w:name w:val="Subtitle"/>
    <w:basedOn w:val="a"/>
    <w:next w:val="a"/>
    <w:link w:val="Char1"/>
    <w:qFormat/>
    <w:rsid w:val="0090789B"/>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basedOn w:val="a0"/>
    <w:link w:val="aa"/>
    <w:rsid w:val="0090789B"/>
    <w:rPr>
      <w:rFonts w:asciiTheme="majorHAnsi" w:hAnsiTheme="majorHAnsi" w:cstheme="majorBidi"/>
      <w:b/>
      <w:bCs/>
      <w:kern w:val="28"/>
      <w:sz w:val="32"/>
      <w:szCs w:val="32"/>
    </w:rPr>
  </w:style>
  <w:style w:type="paragraph" w:styleId="ab">
    <w:name w:val="Title"/>
    <w:basedOn w:val="a"/>
    <w:next w:val="a"/>
    <w:link w:val="Char2"/>
    <w:qFormat/>
    <w:rsid w:val="0090789B"/>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b"/>
    <w:rsid w:val="0090789B"/>
    <w:rPr>
      <w:rFonts w:asciiTheme="majorHAnsi" w:hAnsiTheme="majorHAnsi" w:cstheme="majorBidi"/>
      <w:b/>
      <w:bCs/>
      <w:kern w:val="2"/>
      <w:sz w:val="32"/>
      <w:szCs w:val="32"/>
    </w:rPr>
  </w:style>
  <w:style w:type="character" w:customStyle="1" w:styleId="2Char">
    <w:name w:val="标题 2 Char"/>
    <w:basedOn w:val="a0"/>
    <w:link w:val="2"/>
    <w:rsid w:val="0090789B"/>
    <w:rPr>
      <w:rFonts w:asciiTheme="majorHAnsi" w:eastAsiaTheme="majorEastAsia" w:hAnsiTheme="majorHAnsi" w:cstheme="majorBidi"/>
      <w:b/>
      <w:bCs/>
      <w:kern w:val="2"/>
      <w:sz w:val="32"/>
      <w:szCs w:val="32"/>
    </w:rPr>
  </w:style>
  <w:style w:type="character" w:customStyle="1" w:styleId="3Char">
    <w:name w:val="标题 3 Char"/>
    <w:basedOn w:val="a0"/>
    <w:link w:val="3"/>
    <w:rsid w:val="00311CE2"/>
    <w:rPr>
      <w:rFonts w:eastAsia="Times New Roman"/>
      <w:b/>
      <w:bCs/>
      <w:kern w:val="2"/>
      <w:sz w:val="32"/>
      <w:szCs w:val="32"/>
    </w:rPr>
  </w:style>
  <w:style w:type="paragraph" w:styleId="TOC">
    <w:name w:val="TOC Heading"/>
    <w:basedOn w:val="1"/>
    <w:next w:val="a"/>
    <w:uiPriority w:val="39"/>
    <w:unhideWhenUsed/>
    <w:qFormat/>
    <w:rsid w:val="00FA459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qFormat/>
    <w:rsid w:val="00FA4590"/>
  </w:style>
  <w:style w:type="paragraph" w:styleId="20">
    <w:name w:val="toc 2"/>
    <w:basedOn w:val="a"/>
    <w:next w:val="a"/>
    <w:autoRedefine/>
    <w:uiPriority w:val="39"/>
    <w:qFormat/>
    <w:rsid w:val="00FA4590"/>
    <w:pPr>
      <w:ind w:leftChars="200" w:left="420"/>
    </w:pPr>
  </w:style>
  <w:style w:type="paragraph" w:styleId="30">
    <w:name w:val="toc 3"/>
    <w:basedOn w:val="a"/>
    <w:next w:val="a"/>
    <w:autoRedefine/>
    <w:uiPriority w:val="39"/>
    <w:qFormat/>
    <w:rsid w:val="00FA4590"/>
    <w:pPr>
      <w:ind w:leftChars="400" w:left="840"/>
    </w:pPr>
  </w:style>
  <w:style w:type="character" w:styleId="ac">
    <w:name w:val="Hyperlink"/>
    <w:basedOn w:val="a0"/>
    <w:uiPriority w:val="99"/>
    <w:unhideWhenUsed/>
    <w:rsid w:val="00FA4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5730">
      <w:bodyDiv w:val="1"/>
      <w:marLeft w:val="0"/>
      <w:marRight w:val="0"/>
      <w:marTop w:val="0"/>
      <w:marBottom w:val="0"/>
      <w:divBdr>
        <w:top w:val="none" w:sz="0" w:space="0" w:color="auto"/>
        <w:left w:val="none" w:sz="0" w:space="0" w:color="auto"/>
        <w:bottom w:val="none" w:sz="0" w:space="0" w:color="auto"/>
        <w:right w:val="none" w:sz="0" w:space="0" w:color="auto"/>
      </w:divBdr>
    </w:div>
    <w:div w:id="39617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5578-5BE9-41E9-A4AB-FA4514C5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TotalTime>
  <Pages>19</Pages>
  <Words>4271</Words>
  <Characters>24347</Characters>
  <Application>Microsoft Office Word</Application>
  <DocSecurity>0</DocSecurity>
  <Lines>202</Lines>
  <Paragraphs>57</Paragraphs>
  <ScaleCrop>false</ScaleCrop>
  <Company>Microsoft</Company>
  <LinksUpToDate>false</LinksUpToDate>
  <CharactersWithSpaces>28561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REDACTED PROTOCOL</dc:title>
  <dc:creator>Administrator</dc:creator>
  <cp:lastModifiedBy>lansinglin</cp:lastModifiedBy>
  <cp:revision>462</cp:revision>
  <cp:lastPrinted>2012-06-17T14:36:00Z</cp:lastPrinted>
  <dcterms:created xsi:type="dcterms:W3CDTF">2018-01-21T09:54:00Z</dcterms:created>
  <dcterms:modified xsi:type="dcterms:W3CDTF">2019-07-07T14:21:00Z</dcterms:modified>
</cp:coreProperties>
</file>