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FCD" w:rsidRDefault="00A42446" w:rsidP="001F0FCD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Supplementary Figures and Tables</w:t>
      </w:r>
      <w:bookmarkStart w:id="0" w:name="_GoBack"/>
      <w:bookmarkEnd w:id="0"/>
    </w:p>
    <w:p w:rsidR="003353AC" w:rsidRDefault="004B5779" w:rsidP="003353AC">
      <w:pPr>
        <w:spacing w:line="240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Supplementary</w:t>
      </w:r>
      <w:r w:rsidR="003353AC">
        <w:rPr>
          <w:rFonts w:ascii="Arial" w:hAnsi="Arial" w:cs="Arial"/>
          <w:b/>
          <w:sz w:val="22"/>
        </w:rPr>
        <w:t xml:space="preserve"> Table </w:t>
      </w:r>
      <w:r>
        <w:rPr>
          <w:rFonts w:ascii="Arial" w:hAnsi="Arial" w:cs="Arial"/>
          <w:b/>
          <w:sz w:val="22"/>
        </w:rPr>
        <w:t>S</w:t>
      </w:r>
      <w:r w:rsidR="003353AC">
        <w:rPr>
          <w:rFonts w:ascii="Arial" w:hAnsi="Arial" w:cs="Arial"/>
          <w:b/>
          <w:sz w:val="22"/>
        </w:rPr>
        <w:t xml:space="preserve">1 – Information on probes used for ISH in </w:t>
      </w:r>
      <w:r w:rsidR="003353AC" w:rsidRPr="00F51ED5">
        <w:rPr>
          <w:rFonts w:ascii="Arial" w:hAnsi="Arial" w:cs="Arial"/>
          <w:b/>
          <w:i/>
          <w:sz w:val="22"/>
        </w:rPr>
        <w:t>H. numata</w:t>
      </w:r>
      <w:r w:rsidR="003353AC">
        <w:rPr>
          <w:rFonts w:ascii="Arial" w:hAnsi="Arial" w:cs="Arial"/>
          <w:b/>
          <w:sz w:val="22"/>
        </w:rPr>
        <w:t xml:space="preserve"> larval wing discs</w:t>
      </w:r>
    </w:p>
    <w:p w:rsidR="003353AC" w:rsidRDefault="003353AC" w:rsidP="003353AC">
      <w:pPr>
        <w:spacing w:line="240" w:lineRule="auto"/>
        <w:jc w:val="both"/>
        <w:rPr>
          <w:rFonts w:ascii="Arial" w:hAnsi="Arial" w:cs="Arial"/>
          <w:b/>
          <w:sz w:val="22"/>
        </w:rPr>
      </w:pPr>
    </w:p>
    <w:tbl>
      <w:tblPr>
        <w:tblStyle w:val="TableGrid1"/>
        <w:tblW w:w="8642" w:type="dxa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2268"/>
        <w:gridCol w:w="2551"/>
        <w:gridCol w:w="1134"/>
      </w:tblGrid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b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b/>
                <w:sz w:val="16"/>
                <w:szCs w:val="16"/>
                <w:lang w:eastAsia="en-GB"/>
              </w:rPr>
              <w:t>Contig ID</w:t>
            </w:r>
          </w:p>
        </w:tc>
        <w:tc>
          <w:tcPr>
            <w:tcW w:w="993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b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b/>
                <w:sz w:val="16"/>
                <w:szCs w:val="16"/>
                <w:lang w:eastAsia="en-GB"/>
              </w:rPr>
              <w:t>Hmel orthologue</w:t>
            </w:r>
          </w:p>
        </w:tc>
        <w:tc>
          <w:tcPr>
            <w:tcW w:w="2268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b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b/>
                <w:sz w:val="16"/>
                <w:szCs w:val="16"/>
                <w:lang w:eastAsia="en-GB"/>
              </w:rPr>
              <w:t>Putative gene name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b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b/>
                <w:sz w:val="16"/>
                <w:szCs w:val="16"/>
                <w:lang w:eastAsia="en-GB"/>
              </w:rPr>
              <w:t>Primers (F – forward, R – reverse)</w:t>
            </w:r>
          </w:p>
        </w:tc>
        <w:tc>
          <w:tcPr>
            <w:tcW w:w="1134" w:type="dxa"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b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b/>
                <w:sz w:val="16"/>
                <w:szCs w:val="16"/>
                <w:lang w:eastAsia="en-GB"/>
              </w:rPr>
              <w:t>Expression pattern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comp41551_c0_seq1</w:t>
            </w:r>
          </w:p>
        </w:tc>
        <w:tc>
          <w:tcPr>
            <w:tcW w:w="993" w:type="dxa"/>
            <w:noWrap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000020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9"/>
                <w:shd w:val="clear" w:color="auto" w:fill="FFFFFF"/>
              </w:rPr>
              <w:t>glutaminyl-peptide cyclotransferase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CACGAGGCACAAGAACTGAC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GGCGGAAAGTTGACCCAATT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trachea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comp46319_c0_seq1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000022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enoyl-CoA hydratase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GCCTCGCCGTTCTTTCAAAT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TGACTGCTTGTTTCGCCATC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07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comp35224_c0_seq1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000024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Sur-8/LRR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F:GGAAATGGAGGAGAATGAAAACA R: AAGTTCTGATGTCCCCAAACA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no signal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comp452182_c0_seq1</w:t>
            </w:r>
          </w:p>
        </w:tc>
        <w:tc>
          <w:tcPr>
            <w:tcW w:w="993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002024</w:t>
            </w:r>
          </w:p>
        </w:tc>
        <w:tc>
          <w:tcPr>
            <w:tcW w:w="2268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highlight w:val="yellow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Hmel002024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GGTTCGCCCAAATCCTACAC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GGGTCGAGATGCCAAGTTTG</w:t>
            </w:r>
          </w:p>
        </w:tc>
        <w:tc>
          <w:tcPr>
            <w:tcW w:w="1134" w:type="dxa"/>
            <w:noWrap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trachea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comp45148_c0_seq1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000025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cortex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ATCCATTTTGACATCGGGCG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CATGTTGTCGTTGCTCCAGT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see Figure 2</w:t>
            </w:r>
          </w:p>
        </w:tc>
      </w:tr>
      <w:tr w:rsidR="003353AC" w:rsidRPr="00D5376B" w:rsidTr="00F70D46">
        <w:trPr>
          <w:cantSplit/>
          <w:trHeight w:val="439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comp47446_c0_seq1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000026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poly(A)-specific ribonuclease (parn)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TGGGAAGAGTTTGAGGAAGCT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CGCTGTCGTTTCATTGAGGA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comp43223_c0_seq1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000027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Hmel000027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CAAGACTTCGTTGTGCCCAA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CAGAACACACTCGAACAGGC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07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comp29037_c0_seq1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000028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ARP-like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AAAGAAGGCGAGTGTGAAGT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TCCTCTTGATGAAGTCGGTCT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comp28890_c0_seq1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000029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ATP synthase subunit f, mitochondrial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GCATTCGGTGATTATCCCAAAGA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TGTCATTGATCCAACCAGCAG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439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comp34317_c0_seq1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000030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proteasome 26S non ATPase subunit 4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ACTTCATCGTGTCCAACCCA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CCATAGCTTCCCTCCCAAGA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comp46944_c0_seq1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000032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zinc phosphodiesterase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ACCGCCACATGTGTTTAACC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TTCGGTCCGTAGAAGCGTAC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trachea</w:t>
            </w:r>
          </w:p>
        </w:tc>
      </w:tr>
      <w:tr w:rsidR="003353AC" w:rsidRPr="00D5376B" w:rsidTr="00F70D46">
        <w:trPr>
          <w:cantSplit/>
          <w:trHeight w:val="439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comp46606_c0_seq1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000033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serine/threonine-protein kinase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GCCATAATACACGCCCCATC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TCATCATCACAAGGCTCGGT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439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comp36207_c0_seq1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000036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WAS protein family homologue 1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AACACGGACAAGACAGCAAA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GTTCTGACAATTCGGGCAAT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5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comp46812_c0_seq1</w:t>
            </w:r>
          </w:p>
        </w:tc>
        <w:tc>
          <w:tcPr>
            <w:tcW w:w="993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000037</w:t>
            </w:r>
          </w:p>
        </w:tc>
        <w:tc>
          <w:tcPr>
            <w:tcW w:w="2268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tyrosine phosphatase (Domeless)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GTCGAAAGTCCTCCAGCAGA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TGTAGCGTGGTCAAATGCTC</w:t>
            </w:r>
          </w:p>
        </w:tc>
        <w:tc>
          <w:tcPr>
            <w:tcW w:w="1134" w:type="dxa"/>
            <w:noWrap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trachea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comp45489_c0_seq1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000038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lethal (2) k05819 CG3054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AGTGAGAAAATGGGCTTGGA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GACTTGGTACGGTGGCATCT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no signal</w:t>
            </w:r>
          </w:p>
        </w:tc>
      </w:tr>
      <w:tr w:rsidR="003353AC" w:rsidRPr="00D5376B" w:rsidTr="00F70D46">
        <w:trPr>
          <w:cantSplit/>
          <w:trHeight w:val="439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comp44264_c0_seq1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000039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mitogen-activated protein kinase (MAPKK)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CCACAGGCCCAGTAATACCA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AGTTAGGCCGCTGCTTGTAA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465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comp29763_c0_seq1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000040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val="fr-FR" w:eastAsia="en-GB"/>
              </w:rPr>
            </w:pPr>
            <w:r w:rsidRPr="00D5376B">
              <w:rPr>
                <w:rFonts w:cstheme="minorHAnsi"/>
                <w:sz w:val="16"/>
                <w:szCs w:val="16"/>
                <w:lang w:val="fr-FR" w:eastAsia="en-GB"/>
              </w:rPr>
              <w:t>DNA excision repair protein ERCC-6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CCAAATCTGAGGGTTGCTGT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TCGGGATGGTTGCATATTTT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trachea</w:t>
            </w:r>
          </w:p>
        </w:tc>
      </w:tr>
      <w:tr w:rsidR="003353AC" w:rsidRPr="00D5376B" w:rsidTr="00F70D46">
        <w:trPr>
          <w:cantSplit/>
          <w:trHeight w:val="207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comp43930_c0_seq1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000041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penguin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TGCCCACCATTCTGTAAAGC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ACCCCAATGATCAGCAGCTA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07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comp39814_c0_seq1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000042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thymidylate kinase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GCAAGTATCAGCCGAATACATGA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ACACCGTCTACAACTGATAGC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comp51539_c0_seq1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000043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caspase-activated DNase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AAATTGCCGTCTTTTTGTGGC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TCGTTCCTCGCGACTTCTAT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439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D5376B">
              <w:rPr>
                <w:rFonts w:cstheme="minorHAnsi"/>
                <w:sz w:val="16"/>
                <w:szCs w:val="16"/>
              </w:rPr>
              <w:t>comp43148_c0_seq1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000044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ribosome biogenesis regulatory protein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GCGATTGATGAAGCGATCGT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TGCTGTGGATAGCTGAGTGG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D5376B">
              <w:rPr>
                <w:rFonts w:cstheme="minorHAnsi"/>
                <w:sz w:val="16"/>
                <w:szCs w:val="16"/>
              </w:rPr>
              <w:t>comp39269_c0_seq1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000045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INO80 complex subunit C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GCAGTGGTAAGCATGAGTGG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GTTGCCCCTCGTAATTGAAGA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07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D5376B">
              <w:rPr>
                <w:rFonts w:cstheme="minorHAnsi"/>
                <w:sz w:val="16"/>
                <w:szCs w:val="16"/>
              </w:rPr>
              <w:t>comp42391_c0_seq1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032684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uncharacterized WD repeat-containing protein C2E1P5.05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ATGTGGCACCAAAGGAAAGTG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TCTCGACCACCTGATGTGATG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  <w:p w:rsidR="003353AC" w:rsidRPr="00D5376B" w:rsidRDefault="003353AC" w:rsidP="00F70D46">
            <w:pPr>
              <w:spacing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</w:p>
        </w:tc>
      </w:tr>
      <w:tr w:rsidR="003353AC" w:rsidRPr="00D5376B" w:rsidTr="00F70D46">
        <w:trPr>
          <w:cantSplit/>
          <w:trHeight w:val="207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D5376B">
              <w:rPr>
                <w:rFonts w:cstheme="minorHAnsi"/>
                <w:sz w:val="16"/>
                <w:szCs w:val="16"/>
              </w:rPr>
              <w:t>comp42658_c0_seq1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000047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Sr protein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GGTCTCACTCGGACTCGAAG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TTGGTCGTAAAATGCCCAATT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comp10602_c0_seq1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000048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no data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CACAAAGAAGGCGAATTGCTC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GGATTTGTTTGGGACGAGTG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207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comp166797_c0_seq1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000049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no data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AACTACCAATGGCACGAAGA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CCAGGTGTTGTGCAAAGTGTG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no signal</w:t>
            </w:r>
          </w:p>
        </w:tc>
      </w:tr>
      <w:tr w:rsidR="003353AC" w:rsidRPr="00D5376B" w:rsidTr="00F70D46">
        <w:trPr>
          <w:cantSplit/>
          <w:trHeight w:val="232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comp41872_c0_seq1</w:t>
            </w:r>
          </w:p>
        </w:tc>
        <w:tc>
          <w:tcPr>
            <w:tcW w:w="993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000050</w:t>
            </w:r>
          </w:p>
        </w:tc>
        <w:tc>
          <w:tcPr>
            <w:tcW w:w="2268" w:type="dxa"/>
            <w:hideMark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shuttle craft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GGCCCAAAAGTTCTCCATCAA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GAAGCTGACACCACAGACGA</w:t>
            </w:r>
          </w:p>
        </w:tc>
        <w:tc>
          <w:tcPr>
            <w:tcW w:w="1134" w:type="dxa"/>
            <w:noWrap/>
            <w:hideMark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  <w:tr w:rsidR="003353AC" w:rsidRPr="00D5376B" w:rsidTr="00F70D46">
        <w:trPr>
          <w:cantSplit/>
          <w:trHeight w:val="70"/>
        </w:trPr>
        <w:tc>
          <w:tcPr>
            <w:tcW w:w="1696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comp46938_c0_seq1</w:t>
            </w:r>
          </w:p>
        </w:tc>
        <w:tc>
          <w:tcPr>
            <w:tcW w:w="993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000053</w:t>
            </w:r>
          </w:p>
        </w:tc>
        <w:tc>
          <w:tcPr>
            <w:tcW w:w="2268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lethal (2) giant larva</w:t>
            </w:r>
          </w:p>
        </w:tc>
        <w:tc>
          <w:tcPr>
            <w:tcW w:w="2551" w:type="dxa"/>
          </w:tcPr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F: GATTGGCTGTTAAGCGGGTAC</w:t>
            </w:r>
          </w:p>
          <w:p w:rsidR="003353AC" w:rsidRPr="00D5376B" w:rsidRDefault="003353AC" w:rsidP="00F70D46">
            <w:pPr>
              <w:spacing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R: TTCCACAGCACGCTCTATTGG</w:t>
            </w:r>
          </w:p>
        </w:tc>
        <w:tc>
          <w:tcPr>
            <w:tcW w:w="1134" w:type="dxa"/>
            <w:noWrap/>
          </w:tcPr>
          <w:p w:rsidR="003353AC" w:rsidRPr="00D5376B" w:rsidRDefault="003353AC" w:rsidP="00F70D46">
            <w:pPr>
              <w:spacing w:before="100" w:beforeAutospacing="1" w:after="100" w:afterAutospacing="1" w:line="240" w:lineRule="auto"/>
              <w:jc w:val="both"/>
              <w:rPr>
                <w:rFonts w:cstheme="minorHAnsi"/>
                <w:sz w:val="16"/>
                <w:szCs w:val="16"/>
                <w:lang w:eastAsia="en-GB"/>
              </w:rPr>
            </w:pPr>
            <w:r w:rsidRPr="00D5376B">
              <w:rPr>
                <w:rFonts w:cstheme="minorHAnsi"/>
                <w:sz w:val="16"/>
                <w:szCs w:val="16"/>
                <w:lang w:eastAsia="en-GB"/>
              </w:rPr>
              <w:t>ubiquitous</w:t>
            </w:r>
          </w:p>
        </w:tc>
      </w:tr>
    </w:tbl>
    <w:p w:rsidR="003353AC" w:rsidRDefault="004B5779" w:rsidP="003353AC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Supplementary</w:t>
      </w:r>
      <w:r w:rsidR="003353AC">
        <w:rPr>
          <w:rFonts w:ascii="Arial" w:hAnsi="Arial" w:cs="Arial"/>
          <w:b/>
          <w:sz w:val="22"/>
        </w:rPr>
        <w:t xml:space="preserve"> Figure 1 - Principal component analysis (PCA) plot of read counts matrix from RNAseq data</w:t>
      </w:r>
    </w:p>
    <w:p w:rsidR="003353AC" w:rsidRDefault="003353AC" w:rsidP="003353AC">
      <w:pPr>
        <w:spacing w:before="240"/>
        <w:jc w:val="both"/>
      </w:pPr>
      <w:r>
        <w:rPr>
          <w:noProof/>
          <w:lang w:val="en-US"/>
        </w:rPr>
        <w:drawing>
          <wp:inline distT="0" distB="0" distL="0" distR="0">
            <wp:extent cx="5274310" cy="5060950"/>
            <wp:effectExtent l="0" t="0" r="254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enko_Numata ms_EvoDevo_REVISION_Figure S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3AC" w:rsidRDefault="003353AC">
      <w:pPr>
        <w:spacing w:line="240" w:lineRule="auto"/>
      </w:pPr>
      <w:r>
        <w:br w:type="page"/>
      </w:r>
    </w:p>
    <w:p w:rsidR="0020736E" w:rsidRDefault="003353AC" w:rsidP="00525633">
      <w:pPr>
        <w:spacing w:line="360" w:lineRule="auto"/>
        <w:jc w:val="both"/>
        <w:rPr>
          <w:lang w:val="en-US"/>
        </w:rPr>
      </w:pPr>
      <w:r w:rsidRPr="0020736E">
        <w:rPr>
          <w:rFonts w:ascii="Arial" w:hAnsi="Arial" w:cs="Arial"/>
          <w:b/>
          <w:sz w:val="22"/>
          <w:lang w:val="en-US"/>
        </w:rPr>
        <w:lastRenderedPageBreak/>
        <w:t>Supplementary Table S2 : Gene-Set Enrichment Analysis comparing the rank of differential expression in transcripts mapped to the supergene P to the rest of the transcriptome using 1,000 transcript permutations</w:t>
      </w:r>
      <w:r w:rsidRPr="0020736E">
        <w:rPr>
          <w:rFonts w:ascii="Arial" w:hAnsi="Arial" w:cs="Arial"/>
          <w:sz w:val="22"/>
          <w:lang w:val="en-US"/>
        </w:rPr>
        <w:t>.</w:t>
      </w:r>
      <w:r w:rsidRPr="0020736E">
        <w:rPr>
          <w:sz w:val="22"/>
          <w:lang w:val="en-US"/>
        </w:rPr>
        <w:t xml:space="preserve"> </w:t>
      </w:r>
    </w:p>
    <w:p w:rsidR="003353AC" w:rsidRDefault="003353AC" w:rsidP="00525633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Analyses were performed by comparing transcript expression between two genotypes at the supergene within a developmental stage (Note that the number of transcripts mapped to the supergene differs between stages). </w:t>
      </w:r>
      <w:r w:rsidRPr="00680CD9">
        <w:rPr>
          <w:b/>
          <w:lang w:val="en-US"/>
        </w:rPr>
        <w:t>ES</w:t>
      </w:r>
      <w:r>
        <w:rPr>
          <w:lang w:val="en-US"/>
        </w:rPr>
        <w:t xml:space="preserve">: enrichment score, </w:t>
      </w:r>
      <w:r w:rsidRPr="00680CD9">
        <w:rPr>
          <w:b/>
          <w:lang w:val="en-US"/>
        </w:rPr>
        <w:t>NES</w:t>
      </w:r>
      <w:r>
        <w:rPr>
          <w:lang w:val="en-US"/>
        </w:rPr>
        <w:t xml:space="preserve">: enrichment score normalized by the number of transcripts mapped to the supergene at a given developmental stage, </w:t>
      </w:r>
      <w:r w:rsidRPr="00680CD9">
        <w:rPr>
          <w:b/>
          <w:lang w:val="en-US"/>
        </w:rPr>
        <w:t>P-value</w:t>
      </w:r>
      <w:r>
        <w:rPr>
          <w:lang w:val="en-US"/>
        </w:rPr>
        <w:t xml:space="preserve">: nominal P-value obtained using 1,000 permutations of transcripts throughout the rest of the transcriptome, </w:t>
      </w:r>
      <w:r w:rsidRPr="00680CD9">
        <w:rPr>
          <w:b/>
          <w:lang w:val="en-US"/>
        </w:rPr>
        <w:t>Leading edge tag</w:t>
      </w:r>
      <w:r>
        <w:rPr>
          <w:lang w:val="en-US"/>
        </w:rPr>
        <w:t xml:space="preserve">: estimations of the </w:t>
      </w:r>
      <w:r w:rsidRPr="00680CD9">
        <w:rPr>
          <w:lang w:val="en-US"/>
        </w:rPr>
        <w:t xml:space="preserve">percentage of </w:t>
      </w:r>
      <w:r>
        <w:rPr>
          <w:lang w:val="en-US"/>
        </w:rPr>
        <w:t>transcripts within the supergene</w:t>
      </w:r>
      <w:r w:rsidRPr="00680CD9">
        <w:rPr>
          <w:lang w:val="en-US"/>
        </w:rPr>
        <w:t xml:space="preserve"> contributing to the enrichment score</w:t>
      </w:r>
      <w:r>
        <w:rPr>
          <w:lang w:val="en-US"/>
        </w:rPr>
        <w:t>. These analyses were carried out using the GSEA software (</w:t>
      </w:r>
      <w:hyperlink r:id="rId7" w:history="1">
        <w:r w:rsidRPr="00C041B7">
          <w:rPr>
            <w:rStyle w:val="Hyperlink"/>
            <w:lang w:val="en-US"/>
          </w:rPr>
          <w:t>http://software.broadinstitute.org/gsea/</w:t>
        </w:r>
      </w:hyperlink>
      <w:r>
        <w:rPr>
          <w:lang w:val="en-US"/>
        </w:rPr>
        <w:t>) applied to edgeR differential expression analysis outputs.</w:t>
      </w:r>
    </w:p>
    <w:p w:rsidR="00A13FEE" w:rsidRDefault="00A13FEE" w:rsidP="00A13FEE">
      <w:pPr>
        <w:spacing w:line="240" w:lineRule="auto"/>
        <w:jc w:val="both"/>
        <w:rPr>
          <w:lang w:val="en-US"/>
        </w:rPr>
      </w:pPr>
    </w:p>
    <w:tbl>
      <w:tblPr>
        <w:tblpPr w:leftFromText="141" w:rightFromText="141" w:vertAnchor="text" w:horzAnchor="margin" w:tblpY="198"/>
        <w:tblW w:w="86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538"/>
        <w:gridCol w:w="1385"/>
        <w:gridCol w:w="819"/>
        <w:gridCol w:w="819"/>
        <w:gridCol w:w="861"/>
        <w:gridCol w:w="2076"/>
      </w:tblGrid>
      <w:tr w:rsidR="00A13FEE" w:rsidRPr="00525633" w:rsidTr="00A13FEE">
        <w:trPr>
          <w:trHeight w:val="285"/>
        </w:trPr>
        <w:tc>
          <w:tcPr>
            <w:tcW w:w="12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  <w:t>Stage</w:t>
            </w:r>
          </w:p>
        </w:tc>
        <w:tc>
          <w:tcPr>
            <w:tcW w:w="153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  <w:t>Comparisons</w:t>
            </w:r>
          </w:p>
        </w:tc>
        <w:tc>
          <w:tcPr>
            <w:tcW w:w="138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  <w:t># transcripts</w:t>
            </w:r>
          </w:p>
        </w:tc>
        <w:tc>
          <w:tcPr>
            <w:tcW w:w="81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  <w:t>ES</w:t>
            </w:r>
          </w:p>
        </w:tc>
        <w:tc>
          <w:tcPr>
            <w:tcW w:w="81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  <w:t>NES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  <w:t>P-value</w:t>
            </w:r>
          </w:p>
        </w:tc>
        <w:tc>
          <w:tcPr>
            <w:tcW w:w="20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fr-FR"/>
              </w:rPr>
              <w:t>Leading edge tags</w:t>
            </w:r>
          </w:p>
        </w:tc>
      </w:tr>
      <w:tr w:rsidR="00A13FEE" w:rsidRPr="00525633" w:rsidTr="00A13FEE">
        <w:trPr>
          <w:trHeight w:val="300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prepupae</w:t>
            </w:r>
          </w:p>
        </w:tc>
        <w:tc>
          <w:tcPr>
            <w:tcW w:w="1538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aur vs. bic</w:t>
            </w: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191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-0.289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-1.285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0.035</w:t>
            </w:r>
          </w:p>
        </w:tc>
        <w:tc>
          <w:tcPr>
            <w:tcW w:w="2076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24%</w:t>
            </w:r>
          </w:p>
        </w:tc>
      </w:tr>
      <w:tr w:rsidR="00A13FEE" w:rsidRPr="00525633" w:rsidTr="00A13FEE">
        <w:trPr>
          <w:trHeight w:val="300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prepupae</w:t>
            </w:r>
          </w:p>
        </w:tc>
        <w:tc>
          <w:tcPr>
            <w:tcW w:w="1538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aur vs. tar</w:t>
            </w: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191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0.378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1.657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&lt;0.001</w:t>
            </w:r>
          </w:p>
        </w:tc>
        <w:tc>
          <w:tcPr>
            <w:tcW w:w="2076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26%</w:t>
            </w:r>
          </w:p>
        </w:tc>
      </w:tr>
      <w:tr w:rsidR="00A13FEE" w:rsidRPr="00525633" w:rsidTr="00A13FEE">
        <w:trPr>
          <w:trHeight w:val="300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prepupae</w:t>
            </w:r>
          </w:p>
        </w:tc>
        <w:tc>
          <w:tcPr>
            <w:tcW w:w="1538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bic vs. tar</w:t>
            </w: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191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0.418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1.848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&lt;0.001</w:t>
            </w:r>
          </w:p>
        </w:tc>
        <w:tc>
          <w:tcPr>
            <w:tcW w:w="2076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28%</w:t>
            </w:r>
          </w:p>
        </w:tc>
      </w:tr>
      <w:tr w:rsidR="00A13FEE" w:rsidRPr="00525633" w:rsidTr="00A13FEE">
        <w:trPr>
          <w:trHeight w:val="300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prepupae</w:t>
            </w:r>
          </w:p>
        </w:tc>
        <w:tc>
          <w:tcPr>
            <w:tcW w:w="1538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bic/tar  vs. aur</w:t>
            </w: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191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-0.423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-1.756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&lt;0.001</w:t>
            </w:r>
          </w:p>
        </w:tc>
        <w:tc>
          <w:tcPr>
            <w:tcW w:w="2076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32%</w:t>
            </w:r>
          </w:p>
        </w:tc>
      </w:tr>
      <w:tr w:rsidR="00A13FEE" w:rsidRPr="00525633" w:rsidTr="00A13FEE">
        <w:trPr>
          <w:trHeight w:val="300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prepupe</w:t>
            </w:r>
          </w:p>
        </w:tc>
        <w:tc>
          <w:tcPr>
            <w:tcW w:w="1538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bic/tar vs. bic</w:t>
            </w: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191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-0.193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-0.905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0.748</w:t>
            </w:r>
          </w:p>
        </w:tc>
        <w:tc>
          <w:tcPr>
            <w:tcW w:w="2076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16%</w:t>
            </w:r>
          </w:p>
        </w:tc>
      </w:tr>
      <w:tr w:rsidR="00A13FEE" w:rsidRPr="00525633" w:rsidTr="00A13FEE">
        <w:trPr>
          <w:trHeight w:val="300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prepupe</w:t>
            </w:r>
          </w:p>
        </w:tc>
        <w:tc>
          <w:tcPr>
            <w:tcW w:w="1538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bic/tar vs. tar</w:t>
            </w: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191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-0.523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-2.293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&lt;0.001</w:t>
            </w:r>
          </w:p>
        </w:tc>
        <w:tc>
          <w:tcPr>
            <w:tcW w:w="2076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35%</w:t>
            </w:r>
          </w:p>
        </w:tc>
      </w:tr>
      <w:tr w:rsidR="00A13FEE" w:rsidRPr="00525633" w:rsidTr="00A13FEE">
        <w:trPr>
          <w:trHeight w:val="300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24h</w:t>
            </w:r>
          </w:p>
        </w:tc>
        <w:tc>
          <w:tcPr>
            <w:tcW w:w="1538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aur vs. sil</w:t>
            </w: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177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0.547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2.200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&lt;0.001</w:t>
            </w:r>
          </w:p>
        </w:tc>
        <w:tc>
          <w:tcPr>
            <w:tcW w:w="2076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38%</w:t>
            </w:r>
          </w:p>
        </w:tc>
      </w:tr>
      <w:tr w:rsidR="00A13FEE" w:rsidRPr="00525633" w:rsidTr="00A13FEE">
        <w:trPr>
          <w:trHeight w:val="300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24h</w:t>
            </w:r>
          </w:p>
        </w:tc>
        <w:tc>
          <w:tcPr>
            <w:tcW w:w="1538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tar vs. aur</w:t>
            </w: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177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-0.274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-1.337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0.032</w:t>
            </w:r>
          </w:p>
        </w:tc>
        <w:tc>
          <w:tcPr>
            <w:tcW w:w="2076" w:type="dxa"/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31%</w:t>
            </w:r>
          </w:p>
        </w:tc>
      </w:tr>
      <w:tr w:rsidR="00A13FEE" w:rsidRPr="00525633" w:rsidTr="00A13FEE">
        <w:trPr>
          <w:trHeight w:val="300"/>
        </w:trPr>
        <w:tc>
          <w:tcPr>
            <w:tcW w:w="120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24h</w:t>
            </w:r>
          </w:p>
        </w:tc>
        <w:tc>
          <w:tcPr>
            <w:tcW w:w="15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tar vs. sil</w:t>
            </w:r>
          </w:p>
        </w:tc>
        <w:tc>
          <w:tcPr>
            <w:tcW w:w="138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177</w:t>
            </w:r>
          </w:p>
        </w:tc>
        <w:tc>
          <w:tcPr>
            <w:tcW w:w="81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0.524</w:t>
            </w:r>
          </w:p>
        </w:tc>
        <w:tc>
          <w:tcPr>
            <w:tcW w:w="81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2.453</w:t>
            </w:r>
          </w:p>
        </w:tc>
        <w:tc>
          <w:tcPr>
            <w:tcW w:w="86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&lt;0.001</w:t>
            </w:r>
          </w:p>
        </w:tc>
        <w:tc>
          <w:tcPr>
            <w:tcW w:w="207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13FEE" w:rsidRPr="00525633" w:rsidRDefault="00A13FEE" w:rsidP="00A13F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</w:pPr>
            <w:r w:rsidRPr="00525633">
              <w:rPr>
                <w:rFonts w:asciiTheme="minorHAnsi" w:hAnsiTheme="minorHAnsi" w:cstheme="minorHAnsi"/>
                <w:color w:val="000000"/>
                <w:sz w:val="20"/>
                <w:szCs w:val="20"/>
                <w:lang w:eastAsia="fr-FR"/>
              </w:rPr>
              <w:t>37%</w:t>
            </w:r>
          </w:p>
        </w:tc>
      </w:tr>
    </w:tbl>
    <w:p w:rsidR="00A13FEE" w:rsidRDefault="00A13FEE" w:rsidP="00A13FEE">
      <w:pPr>
        <w:spacing w:line="240" w:lineRule="auto"/>
        <w:jc w:val="both"/>
        <w:rPr>
          <w:lang w:val="en-US"/>
        </w:rPr>
      </w:pPr>
    </w:p>
    <w:p w:rsidR="004B5779" w:rsidRDefault="004B5779" w:rsidP="003353AC">
      <w:pPr>
        <w:jc w:val="both"/>
        <w:rPr>
          <w:lang w:val="en-US"/>
        </w:rPr>
        <w:sectPr w:rsidR="004B5779" w:rsidSect="00A13FEE">
          <w:footerReference w:type="default" r:id="rId8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4B5779" w:rsidRDefault="004B5779" w:rsidP="004B5779">
      <w:pPr>
        <w:jc w:val="both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sz w:val="22"/>
        </w:rPr>
        <w:lastRenderedPageBreak/>
        <w:t xml:space="preserve">Supplementary Table S3 - Analysis of splicing sites in the first intron of </w:t>
      </w:r>
      <w:r>
        <w:rPr>
          <w:rFonts w:ascii="Arial" w:hAnsi="Arial" w:cs="Arial"/>
          <w:b/>
          <w:i/>
          <w:sz w:val="22"/>
        </w:rPr>
        <w:t>cortex</w:t>
      </w:r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058"/>
        <w:gridCol w:w="5727"/>
        <w:gridCol w:w="2429"/>
        <w:gridCol w:w="2693"/>
      </w:tblGrid>
      <w:tr w:rsidR="00165E30" w:rsidRPr="004B5779" w:rsidTr="00165E30">
        <w:trPr>
          <w:trHeight w:val="240"/>
        </w:trPr>
        <w:tc>
          <w:tcPr>
            <w:tcW w:w="20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165E30" w:rsidP="004B5779">
            <w:pPr>
              <w:spacing w:line="240" w:lineRule="auto"/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  <w:t>T</w:t>
            </w:r>
            <w:r w:rsidR="004B5779" w:rsidRPr="004B5779"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  <w:t>ranscript</w:t>
            </w:r>
          </w:p>
        </w:tc>
        <w:tc>
          <w:tcPr>
            <w:tcW w:w="1058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  <w:t>Length</w:t>
            </w: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  <w:t xml:space="preserve"> (</w:t>
            </w:r>
            <w:r w:rsidRPr="004B5779"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  <w:t>bp</w:t>
            </w: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  <w:t>)</w:t>
            </w:r>
          </w:p>
        </w:tc>
        <w:tc>
          <w:tcPr>
            <w:tcW w:w="572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165E30" w:rsidP="004B5779">
            <w:pPr>
              <w:spacing w:line="240" w:lineRule="auto"/>
              <w:rPr>
                <w:rFonts w:ascii="Calibri" w:hAnsi="Calibri" w:cs="Calibri"/>
                <w:b/>
                <w:color w:val="000000"/>
                <w:sz w:val="18"/>
                <w:szCs w:val="18"/>
                <w:lang w:val="en-US" w:eastAsia="fr-FR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val="en-US" w:eastAsia="fr-FR"/>
              </w:rPr>
              <w:t>B</w:t>
            </w:r>
            <w:r w:rsidR="004B5779" w:rsidRPr="004B5779">
              <w:rPr>
                <w:rFonts w:ascii="Calibri" w:hAnsi="Calibri" w:cs="Calibri"/>
                <w:b/>
                <w:color w:val="000000"/>
                <w:sz w:val="18"/>
                <w:szCs w:val="18"/>
                <w:lang w:val="en-US" w:eastAsia="fr-FR"/>
              </w:rPr>
              <w:t>est hit to H.numata scaffold (Lepbase v4)</w:t>
            </w:r>
          </w:p>
        </w:tc>
        <w:tc>
          <w:tcPr>
            <w:tcW w:w="242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  <w:t>5' flanking sequence (20 bp)</w:t>
            </w:r>
          </w:p>
        </w:tc>
        <w:tc>
          <w:tcPr>
            <w:tcW w:w="2693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b/>
                <w:color w:val="000000"/>
                <w:sz w:val="18"/>
                <w:szCs w:val="18"/>
                <w:lang w:val="fr-FR" w:eastAsia="fr-FR"/>
              </w:rPr>
              <w:t>3' flanking sequence (20 bp)</w:t>
            </w:r>
          </w:p>
        </w:tc>
      </w:tr>
      <w:tr w:rsidR="004B5779" w:rsidRPr="004B5779" w:rsidTr="00165E30">
        <w:trPr>
          <w:trHeight w:val="240"/>
        </w:trPr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 xml:space="preserve">comp388498_c0_seq1 </w:t>
            </w:r>
          </w:p>
        </w:tc>
        <w:tc>
          <w:tcPr>
            <w:tcW w:w="10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336</w:t>
            </w:r>
          </w:p>
        </w:tc>
        <w:tc>
          <w:tcPr>
            <w:tcW w:w="57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heliconius_numata_helico3_core_32_85_1__scaffold__EI-a-scaffold-12004</w:t>
            </w: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CGTATTGTAATACAATATTA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GACGTTCATGCAATGTATGA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comp407410_c0_seq1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213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 heliconius_numata_helico3_core_32_85_1__scaffold__EI-a-scaffold-9216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ATTGTAATGAAATGAATACG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GCCCCACTTCCTGACGCCCA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comp398064_c0_seq1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363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heliconius_numata_helico3_core_32_85_1__scaffold__EI-a-scaffold-9216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CCA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TCGTTATAATTTTAC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NNNNNNNNNNNNNNNNN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comp601770_c0_seq1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228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TATATTTTACATAATATTTT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GGACGAATAACTCAATATCA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comp415437_c0_seq1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436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TATTAATAAATAAT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TACA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CCGGAGAATTCTGGAG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AC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comp423466_c0_seq1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222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ATTTCAAATATTG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TAAAA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AAGTTTACCCCGTTCC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CA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comp407210_c0_seq1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340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ACAGCAATA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TAAATACAA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AAATCCAAGACAATAGCTTT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comp467980_c0_seq1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279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AAATATCAATATGATCCAAA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G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GCGCTATCTTGCTATAG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comp472259_c0_seq1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209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TGAAATTAAATGAATAATTC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GGAACTTA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GTTCAGACAT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comp700774_c0_seq1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227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GCAGTAAATTTC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TTTCTA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CAAACTTAG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AAGGCTATG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comp321273_c0_seq1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390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AATCAAGATTTTATCAT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AA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GAGGAAACCTAAATAG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comp62384_c0_seq1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396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AAATGAAATGAA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ACATTT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CTGACTGAG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AAGACGCAC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comp31128_c1_seq2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643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CATGGTTTATTATAATTCAC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C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ATAAAAGAGCCGGTCAA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comp83470_c0_seq1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841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AAAAAAAACATTATTTATCA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CC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GTGTTTTTATATAACT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comp90384_c0_seq1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240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AAAGTGATTTG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ATTTCTG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ACCGCTCCCGCGCCTCTT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comp382243_c0_seq1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295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ATATTCGAAGAGGCC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TCC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T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TTATATCATCAGGTTAA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comp144920_c0_seq1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281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TTTTTTATGAA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TTTTAAA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CT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ATTTTTTTACTACCCG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comp615571_c0_seq1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265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CATAATACAA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TGATCCTA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ACTGCCACTGGA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TGGGCT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comp386445_c0_seq1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491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AAAAAATGTATTGATATGGC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TATATACGGAAACACCATCT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comp527091_c0_seq1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245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TATAAATCACGAAAGATG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AAAAAAAATTCTATACTAAA</w:t>
            </w:r>
          </w:p>
        </w:tc>
      </w:tr>
      <w:tr w:rsidR="004B5779" w:rsidRPr="004B5779" w:rsidTr="004B5779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comp572350_c0_seq1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368</w:t>
            </w:r>
          </w:p>
        </w:tc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CAACATTTAAAAAAAATTCT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ATTTGACCTCATTTA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GT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AAT</w:t>
            </w:r>
          </w:p>
        </w:tc>
      </w:tr>
      <w:tr w:rsidR="004B5779" w:rsidRPr="004B5779" w:rsidTr="00165E30"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comp331233_c0_seq1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230</w:t>
            </w:r>
          </w:p>
        </w:tc>
        <w:tc>
          <w:tcPr>
            <w:tcW w:w="572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000000"/>
                <w:sz w:val="18"/>
                <w:szCs w:val="18"/>
                <w:lang w:val="fr-FR" w:eastAsia="fr-FR"/>
              </w:rPr>
              <w:t>heliconius_numata_helico3_core_32_85_1__scaffold__EI-a-scaffold-12846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ACAAATTTGTAGTTAC</w:t>
            </w:r>
            <w:r w:rsidRPr="004B5779">
              <w:rPr>
                <w:rFonts w:ascii="Calibri" w:hAnsi="Calibri" w:cs="Calibri"/>
                <w:color w:val="FF0000"/>
                <w:sz w:val="18"/>
                <w:szCs w:val="18"/>
                <w:lang w:val="fr-FR" w:eastAsia="fr-FR"/>
              </w:rPr>
              <w:t>AG</w:t>
            </w: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TT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5779" w:rsidRPr="004B5779" w:rsidRDefault="004B5779" w:rsidP="004B5779">
            <w:pPr>
              <w:spacing w:line="240" w:lineRule="auto"/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</w:pPr>
            <w:r w:rsidRPr="004B5779">
              <w:rPr>
                <w:rFonts w:ascii="Calibri" w:hAnsi="Calibri" w:cs="Calibri"/>
                <w:color w:val="424141"/>
                <w:sz w:val="18"/>
                <w:szCs w:val="18"/>
                <w:lang w:val="fr-FR" w:eastAsia="fr-FR"/>
              </w:rPr>
              <w:t>TTTTAAAGAGACAAACATCG</w:t>
            </w:r>
          </w:p>
        </w:tc>
      </w:tr>
    </w:tbl>
    <w:p w:rsidR="004B5779" w:rsidRDefault="004B5779">
      <w:pPr>
        <w:spacing w:line="240" w:lineRule="auto"/>
        <w:rPr>
          <w:lang w:val="en-US"/>
        </w:rPr>
        <w:sectPr w:rsidR="004B5779" w:rsidSect="004B5779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3353AC" w:rsidRDefault="003353AC">
      <w:pPr>
        <w:spacing w:line="240" w:lineRule="auto"/>
        <w:rPr>
          <w:lang w:val="en-US"/>
        </w:rPr>
      </w:pPr>
    </w:p>
    <w:p w:rsidR="001F0FCD" w:rsidRDefault="001F0FCD" w:rsidP="001F0FCD">
      <w:pPr>
        <w:jc w:val="both"/>
        <w:rPr>
          <w:rFonts w:ascii="Arial" w:hAnsi="Arial" w:cs="Arial"/>
          <w:b/>
          <w:sz w:val="32"/>
        </w:rPr>
      </w:pPr>
    </w:p>
    <w:p w:rsidR="001F0FCD" w:rsidRDefault="004B5779" w:rsidP="001F0FCD">
      <w:pPr>
        <w:spacing w:line="240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Supplementary</w:t>
      </w:r>
      <w:r w:rsidR="001F0FCD">
        <w:rPr>
          <w:rFonts w:ascii="Arial" w:hAnsi="Arial" w:cs="Arial"/>
          <w:b/>
          <w:sz w:val="22"/>
        </w:rPr>
        <w:t xml:space="preserve"> Figure </w:t>
      </w:r>
      <w:r w:rsidR="003353AC">
        <w:rPr>
          <w:rFonts w:ascii="Arial" w:hAnsi="Arial" w:cs="Arial"/>
          <w:b/>
          <w:sz w:val="22"/>
        </w:rPr>
        <w:t>S2</w:t>
      </w:r>
      <w:r w:rsidR="001F0FCD">
        <w:rPr>
          <w:rFonts w:ascii="Arial" w:hAnsi="Arial" w:cs="Arial"/>
          <w:b/>
          <w:sz w:val="22"/>
        </w:rPr>
        <w:t xml:space="preserve"> – </w:t>
      </w:r>
      <w:r w:rsidR="001F0FCD" w:rsidRPr="00BC1644">
        <w:rPr>
          <w:rFonts w:ascii="Arial" w:hAnsi="Arial" w:cs="Arial"/>
          <w:b/>
          <w:sz w:val="22"/>
        </w:rPr>
        <w:t>E</w:t>
      </w:r>
      <w:r w:rsidR="001F0FCD">
        <w:rPr>
          <w:rFonts w:ascii="Arial" w:hAnsi="Arial" w:cs="Arial"/>
          <w:b/>
          <w:sz w:val="22"/>
        </w:rPr>
        <w:t>xamples of e</w:t>
      </w:r>
      <w:r w:rsidR="001F0FCD" w:rsidRPr="00BC1644">
        <w:rPr>
          <w:rFonts w:ascii="Arial" w:hAnsi="Arial" w:cs="Arial"/>
          <w:b/>
          <w:sz w:val="22"/>
        </w:rPr>
        <w:t>xpression patterns o</w:t>
      </w:r>
      <w:r w:rsidR="001F0FCD">
        <w:rPr>
          <w:rFonts w:ascii="Arial" w:hAnsi="Arial" w:cs="Arial"/>
          <w:b/>
          <w:sz w:val="22"/>
        </w:rPr>
        <w:t>bserved</w:t>
      </w:r>
      <w:r w:rsidR="001F0FCD" w:rsidRPr="00BC1644">
        <w:rPr>
          <w:rFonts w:ascii="Arial" w:hAnsi="Arial" w:cs="Arial"/>
          <w:b/>
          <w:sz w:val="22"/>
        </w:rPr>
        <w:t xml:space="preserve"> in larval wing discs of </w:t>
      </w:r>
      <w:r w:rsidR="001F0FCD" w:rsidRPr="009D75BA">
        <w:rPr>
          <w:rFonts w:ascii="Arial" w:hAnsi="Arial" w:cs="Arial"/>
          <w:b/>
          <w:i/>
          <w:sz w:val="22"/>
        </w:rPr>
        <w:t>H. numata</w:t>
      </w:r>
      <w:r w:rsidR="001F0FCD" w:rsidRPr="00BC1644">
        <w:rPr>
          <w:rFonts w:ascii="Arial" w:hAnsi="Arial" w:cs="Arial"/>
          <w:b/>
          <w:sz w:val="22"/>
        </w:rPr>
        <w:t xml:space="preserve"> </w:t>
      </w:r>
    </w:p>
    <w:p w:rsidR="00A13FEE" w:rsidRDefault="001F0FCD" w:rsidP="001F0FCD">
      <w:pPr>
        <w:spacing w:before="240"/>
        <w:jc w:val="both"/>
      </w:pPr>
      <w:r>
        <w:t>A. Ubiquitous expression, B. Expression in the trachea, C. No detectable signal.</w:t>
      </w:r>
    </w:p>
    <w:p w:rsidR="001F0FCD" w:rsidRDefault="005B1004" w:rsidP="001F0FCD">
      <w:pPr>
        <w:spacing w:before="240"/>
        <w:jc w:val="both"/>
      </w:pPr>
      <w:r w:rsidRPr="00BC1644">
        <w:rPr>
          <w:rFonts w:ascii="Arial" w:hAnsi="Arial" w:cs="Arial"/>
          <w:b/>
          <w:noProof/>
          <w:sz w:val="22"/>
          <w:lang w:val="en-US"/>
        </w:rPr>
        <w:drawing>
          <wp:inline distT="0" distB="0" distL="0" distR="0" wp14:anchorId="267E00D9" wp14:editId="4AF33CF4">
            <wp:extent cx="5274310" cy="1779270"/>
            <wp:effectExtent l="0" t="0" r="2540" b="0"/>
            <wp:docPr id="4" name="Picture 4" descr="C:\Users\suzanne.saenko\MNHN\7.Manuscripts\Supergene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ne.saenko\MNHN\7.Manuscripts\Supergene\Figure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7"/>
                    <a:stretch/>
                  </pic:blipFill>
                  <pic:spPr bwMode="auto">
                    <a:xfrm>
                      <a:off x="0" y="0"/>
                      <a:ext cx="527431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FCD">
        <w:br w:type="page"/>
      </w:r>
    </w:p>
    <w:p w:rsidR="00D1527A" w:rsidRPr="00A13FEE" w:rsidRDefault="00DB4EC8">
      <w:pPr>
        <w:rPr>
          <w:b/>
        </w:rPr>
      </w:pPr>
    </w:p>
    <w:p w:rsidR="00A13FEE" w:rsidRPr="00A13FEE" w:rsidRDefault="004B5779" w:rsidP="00A13FEE">
      <w:pPr>
        <w:pStyle w:val="Heading2"/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>Supplementary</w:t>
      </w:r>
      <w:r w:rsidR="00A13FEE" w:rsidRPr="00A13FEE">
        <w:rPr>
          <w:b/>
          <w:lang w:val="en-US"/>
        </w:rPr>
        <w:t xml:space="preserve"> Figure S3  - Expression patterns of </w:t>
      </w:r>
      <w:r w:rsidR="00A13FEE" w:rsidRPr="00A13FEE">
        <w:rPr>
          <w:b/>
          <w:i/>
          <w:lang w:val="en-US"/>
        </w:rPr>
        <w:t>cortex</w:t>
      </w:r>
      <w:r w:rsidR="00A13FEE" w:rsidRPr="00A13FEE">
        <w:rPr>
          <w:b/>
          <w:lang w:val="en-US"/>
        </w:rPr>
        <w:t xml:space="preserve"> in larval wing discs of </w:t>
      </w:r>
      <w:r w:rsidR="00A13FEE" w:rsidRPr="00A13FEE">
        <w:rPr>
          <w:b/>
          <w:i/>
          <w:lang w:val="en-US"/>
        </w:rPr>
        <w:t xml:space="preserve">H. numata </w:t>
      </w:r>
      <w:r w:rsidR="00A13FEE" w:rsidRPr="00A13FEE">
        <w:rPr>
          <w:b/>
          <w:lang w:val="en-US"/>
        </w:rPr>
        <w:t>(all samples)</w:t>
      </w:r>
    </w:p>
    <w:p w:rsidR="00A13FEE" w:rsidRPr="00A13FEE" w:rsidRDefault="005B1004">
      <w:pPr>
        <w:rPr>
          <w:lang w:val="en-US"/>
        </w:rPr>
      </w:pPr>
      <w:r w:rsidRPr="00A13FEE">
        <w:rPr>
          <w:b/>
          <w:noProof/>
          <w:lang w:val="en-US"/>
        </w:rPr>
        <w:drawing>
          <wp:inline distT="0" distB="0" distL="0" distR="0" wp14:anchorId="594A66D2" wp14:editId="16577436">
            <wp:extent cx="5274310" cy="3954145"/>
            <wp:effectExtent l="0" t="0" r="254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enko_Numata ms_EvoDevo_REVISION_Figure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FEE" w:rsidRPr="00A13FEE" w:rsidSect="00A13FE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EC8" w:rsidRDefault="00DB4EC8">
      <w:pPr>
        <w:spacing w:line="240" w:lineRule="auto"/>
      </w:pPr>
      <w:r>
        <w:separator/>
      </w:r>
    </w:p>
  </w:endnote>
  <w:endnote w:type="continuationSeparator" w:id="0">
    <w:p w:rsidR="00DB4EC8" w:rsidRDefault="00DB4E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0B3" w:rsidRDefault="00CF1ECC">
    <w:pPr>
      <w:pStyle w:val="Footer"/>
    </w:pPr>
    <w:r>
      <w:rPr>
        <w:lang w:val="en-US"/>
      </w:rPr>
      <w:tab/>
      <w:t xml:space="preserve">- </w:t>
    </w:r>
    <w:r>
      <w:rPr>
        <w:lang w:val="en-US"/>
      </w:rPr>
      <w:fldChar w:fldCharType="begin"/>
    </w:r>
    <w:r>
      <w:rPr>
        <w:lang w:val="en-US"/>
      </w:rPr>
      <w:instrText xml:space="preserve"> PAGE </w:instrText>
    </w:r>
    <w:r>
      <w:rPr>
        <w:lang w:val="en-US"/>
      </w:rPr>
      <w:fldChar w:fldCharType="separate"/>
    </w:r>
    <w:r w:rsidR="00A42446">
      <w:rPr>
        <w:noProof/>
        <w:lang w:val="en-US"/>
      </w:rPr>
      <w:t>6</w:t>
    </w:r>
    <w:r>
      <w:rPr>
        <w:lang w:val="en-US"/>
      </w:rPr>
      <w:fldChar w:fldCharType="end"/>
    </w:r>
    <w:r>
      <w:rPr>
        <w:lang w:val="en-US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EC8" w:rsidRDefault="00DB4EC8">
      <w:pPr>
        <w:spacing w:line="240" w:lineRule="auto"/>
      </w:pPr>
      <w:r>
        <w:separator/>
      </w:r>
    </w:p>
  </w:footnote>
  <w:footnote w:type="continuationSeparator" w:id="0">
    <w:p w:rsidR="00DB4EC8" w:rsidRDefault="00DB4EC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FCD"/>
    <w:rsid w:val="0006098D"/>
    <w:rsid w:val="00165E30"/>
    <w:rsid w:val="001D2A74"/>
    <w:rsid w:val="001F0FCD"/>
    <w:rsid w:val="0020736E"/>
    <w:rsid w:val="003353AC"/>
    <w:rsid w:val="004B5779"/>
    <w:rsid w:val="00525633"/>
    <w:rsid w:val="005B1004"/>
    <w:rsid w:val="006107C5"/>
    <w:rsid w:val="00650471"/>
    <w:rsid w:val="006F13CA"/>
    <w:rsid w:val="00766756"/>
    <w:rsid w:val="009F7166"/>
    <w:rsid w:val="00A11064"/>
    <w:rsid w:val="00A13FEE"/>
    <w:rsid w:val="00A42446"/>
    <w:rsid w:val="00AE1CE6"/>
    <w:rsid w:val="00AE4617"/>
    <w:rsid w:val="00C20892"/>
    <w:rsid w:val="00CF1ECC"/>
    <w:rsid w:val="00D93C3B"/>
    <w:rsid w:val="00DB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9A004"/>
  <w15:docId w15:val="{E405F635-A7C0-4878-9E0D-2975D35C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FCD"/>
    <w:pPr>
      <w:spacing w:line="480" w:lineRule="auto"/>
    </w:pPr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AE1CE6"/>
    <w:pPr>
      <w:keepNext/>
      <w:widowControl w:val="0"/>
      <w:overflowPunct w:val="0"/>
      <w:adjustRightInd w:val="0"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val="fr-FR"/>
    </w:rPr>
  </w:style>
  <w:style w:type="paragraph" w:styleId="Heading2">
    <w:name w:val="heading 2"/>
    <w:basedOn w:val="Normal"/>
    <w:next w:val="Normal"/>
    <w:link w:val="Heading2Char"/>
    <w:qFormat/>
    <w:rsid w:val="00AE1CE6"/>
    <w:pPr>
      <w:autoSpaceDE w:val="0"/>
      <w:autoSpaceDN w:val="0"/>
      <w:adjustRightInd w:val="0"/>
      <w:spacing w:line="240" w:lineRule="auto"/>
      <w:outlineLvl w:val="1"/>
    </w:pPr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structions">
    <w:name w:val="instructions"/>
    <w:basedOn w:val="Normal"/>
    <w:link w:val="instructionsCar"/>
    <w:qFormat/>
    <w:rsid w:val="00AE1CE6"/>
    <w:pPr>
      <w:spacing w:before="120" w:line="240" w:lineRule="auto"/>
      <w:jc w:val="both"/>
    </w:pPr>
    <w:rPr>
      <w:i/>
      <w:spacing w:val="-4"/>
      <w:sz w:val="22"/>
      <w:szCs w:val="22"/>
      <w:lang w:val="fr-FR"/>
    </w:rPr>
  </w:style>
  <w:style w:type="character" w:customStyle="1" w:styleId="instructionsCar">
    <w:name w:val="instructions Car"/>
    <w:link w:val="instructions"/>
    <w:rsid w:val="00AE1CE6"/>
    <w:rPr>
      <w:i/>
      <w:spacing w:val="-4"/>
      <w:sz w:val="22"/>
      <w:szCs w:val="22"/>
    </w:rPr>
  </w:style>
  <w:style w:type="character" w:customStyle="1" w:styleId="Heading1Char">
    <w:name w:val="Heading 1 Char"/>
    <w:link w:val="Heading1"/>
    <w:rsid w:val="00AE1CE6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rsid w:val="00AE1CE6"/>
    <w:rPr>
      <w:sz w:val="24"/>
      <w:szCs w:val="24"/>
    </w:rPr>
  </w:style>
  <w:style w:type="paragraph" w:styleId="Title">
    <w:name w:val="Title"/>
    <w:basedOn w:val="Normal"/>
    <w:link w:val="TitleChar"/>
    <w:qFormat/>
    <w:rsid w:val="00AE1CE6"/>
    <w:pPr>
      <w:spacing w:line="360" w:lineRule="auto"/>
      <w:jc w:val="center"/>
    </w:pPr>
    <w:rPr>
      <w:sz w:val="32"/>
    </w:rPr>
  </w:style>
  <w:style w:type="character" w:customStyle="1" w:styleId="TitleChar">
    <w:name w:val="Title Char"/>
    <w:basedOn w:val="DefaultParagraphFont"/>
    <w:link w:val="Title"/>
    <w:rsid w:val="00AE1CE6"/>
    <w:rPr>
      <w:sz w:val="32"/>
      <w:szCs w:val="24"/>
      <w:lang w:val="en-GB"/>
    </w:rPr>
  </w:style>
  <w:style w:type="character" w:styleId="Strong">
    <w:name w:val="Strong"/>
    <w:uiPriority w:val="22"/>
    <w:qFormat/>
    <w:rsid w:val="00AE1CE6"/>
    <w:rPr>
      <w:b/>
      <w:bCs/>
      <w:color w:val="555555"/>
    </w:rPr>
  </w:style>
  <w:style w:type="character" w:styleId="Emphasis">
    <w:name w:val="Emphasis"/>
    <w:uiPriority w:val="20"/>
    <w:qFormat/>
    <w:rsid w:val="00AE1CE6"/>
    <w:rPr>
      <w:i/>
      <w:iCs/>
    </w:rPr>
  </w:style>
  <w:style w:type="paragraph" w:styleId="NoSpacing">
    <w:name w:val="No Spacing"/>
    <w:uiPriority w:val="1"/>
    <w:qFormat/>
    <w:rsid w:val="00AE1CE6"/>
    <w:pPr>
      <w:widowControl w:val="0"/>
      <w:overflowPunct w:val="0"/>
      <w:adjustRightInd w:val="0"/>
    </w:pPr>
    <w:rPr>
      <w:kern w:val="28"/>
      <w:sz w:val="24"/>
      <w:szCs w:val="24"/>
    </w:rPr>
  </w:style>
  <w:style w:type="paragraph" w:styleId="ListParagraph">
    <w:name w:val="List Paragraph"/>
    <w:basedOn w:val="Normal"/>
    <w:uiPriority w:val="34"/>
    <w:qFormat/>
    <w:rsid w:val="00AE1CE6"/>
    <w:pPr>
      <w:spacing w:line="240" w:lineRule="auto"/>
      <w:ind w:left="708"/>
      <w:jc w:val="both"/>
    </w:pPr>
    <w:rPr>
      <w:rFonts w:ascii="Verdana" w:hAnsi="Verdana"/>
      <w:sz w:val="22"/>
      <w:lang w:val="fr-FR"/>
    </w:rPr>
  </w:style>
  <w:style w:type="paragraph" w:styleId="Footer">
    <w:name w:val="footer"/>
    <w:basedOn w:val="Normal"/>
    <w:link w:val="FooterChar"/>
    <w:semiHidden/>
    <w:rsid w:val="001F0FC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1F0FCD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1F0FCD"/>
    <w:rPr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1F0FCD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0F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FCD"/>
    <w:rPr>
      <w:rFonts w:ascii="Tahoma" w:hAnsi="Tahoma" w:cs="Tahoma"/>
      <w:sz w:val="16"/>
      <w:szCs w:val="16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1F0FCD"/>
  </w:style>
  <w:style w:type="character" w:styleId="Hyperlink">
    <w:name w:val="Hyperlink"/>
    <w:basedOn w:val="DefaultParagraphFont"/>
    <w:uiPriority w:val="99"/>
    <w:unhideWhenUsed/>
    <w:rsid w:val="003353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1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software.broadinstitute.org/gsea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1256</Words>
  <Characters>7160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MNHN</Company>
  <LinksUpToDate>false</LinksUpToDate>
  <CharactersWithSpaces>8400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Violaine LLAURENS</dc:creator>
  <cp:lastModifiedBy>Saenko, S.V.</cp:lastModifiedBy>
  <cp:revision>6</cp:revision>
  <dcterms:created xsi:type="dcterms:W3CDTF">2019-07-31T07:37:00Z</dcterms:created>
  <dcterms:modified xsi:type="dcterms:W3CDTF">2019-07-31T07:46:00Z</dcterms:modified>
</cp:coreProperties>
</file>