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E083" w14:textId="342614E5" w:rsidR="00657127" w:rsidRDefault="00657127">
      <w:bookmarkStart w:id="0" w:name="_GoBack"/>
      <w:bookmarkEnd w:id="0"/>
    </w:p>
    <w:p w14:paraId="3C09103E" w14:textId="4B79D51B" w:rsidR="00544178" w:rsidRPr="00D37151" w:rsidRDefault="00603914" w:rsidP="0054417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Additional file 1</w:t>
      </w:r>
    </w:p>
    <w:p w14:paraId="42C0EF91" w14:textId="77777777" w:rsidR="00544178" w:rsidRDefault="00544178" w:rsidP="005441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36DBB" w14:textId="1367A5BE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AB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90AB5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NMR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48599E4" w14:textId="70EE5342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AB5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NMR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46D9C83" w14:textId="5FFF5F5C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AB5">
        <w:rPr>
          <w:rFonts w:ascii="Times New Roman" w:hAnsi="Times New Roman" w:cs="Times New Roman"/>
          <w:bCs/>
          <w:sz w:val="24"/>
          <w:szCs w:val="24"/>
        </w:rPr>
        <w:t>DEPT</w:t>
      </w:r>
      <w:r>
        <w:rPr>
          <w:rFonts w:ascii="Times New Roman" w:hAnsi="Times New Roman" w:cs="Times New Roman"/>
          <w:bCs/>
          <w:sz w:val="24"/>
          <w:szCs w:val="24"/>
        </w:rPr>
        <w:t xml:space="preserve">-135 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NMR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0C1A41E2" w14:textId="317562B2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HMBC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65E2AFB" w14:textId="73BE3CB4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HSQC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45A3BBA5" w14:textId="7D4B3558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Negative ESI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ass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Spectra of 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5628853" w14:textId="45B9AFC4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Positive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ESI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ass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Spectra of 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3CD9D20" w14:textId="24542E1C" w:rsidR="009F70B5" w:rsidRDefault="00544178" w:rsidP="009F70B5">
      <w:pPr>
        <w:spacing w:line="36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="009F70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="009F70B5">
        <w:rPr>
          <w:rFonts w:asciiTheme="majorBidi" w:hAnsiTheme="majorBidi" w:cstheme="majorBidi"/>
          <w:iCs/>
          <w:sz w:val="24"/>
          <w:szCs w:val="24"/>
        </w:rPr>
        <w:t>The HPLC chromatogram for ASL (a) and ASS (b)</w:t>
      </w:r>
      <w:r w:rsidR="009F70B5" w:rsidRPr="00B00F24">
        <w:rPr>
          <w:rFonts w:asciiTheme="majorBidi" w:hAnsiTheme="majorBidi" w:cstheme="majorBidi"/>
          <w:iCs/>
          <w:sz w:val="24"/>
          <w:szCs w:val="24"/>
        </w:rPr>
        <w:t>.</w:t>
      </w:r>
    </w:p>
    <w:p w14:paraId="5D068172" w14:textId="7E47CE98" w:rsidR="00544178" w:rsidRPr="00790AB5" w:rsidRDefault="00544178" w:rsidP="009F70B5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DA0E2E1" w14:textId="77777777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02CC43C" w14:textId="77777777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33FC5AE0" w14:textId="137D9E1C" w:rsidR="00657127" w:rsidRDefault="00657127"/>
    <w:p w14:paraId="55275696" w14:textId="61319E18" w:rsidR="00544178" w:rsidRDefault="00544178"/>
    <w:p w14:paraId="478AE43F" w14:textId="36632372" w:rsidR="00544178" w:rsidRDefault="00544178"/>
    <w:p w14:paraId="1453AF19" w14:textId="69710E06" w:rsidR="00544178" w:rsidRDefault="00544178"/>
    <w:p w14:paraId="3133E202" w14:textId="2E723ACC" w:rsidR="00544178" w:rsidRDefault="00544178"/>
    <w:p w14:paraId="6F46764E" w14:textId="7D357223" w:rsidR="00544178" w:rsidRDefault="00544178"/>
    <w:p w14:paraId="0668A6D3" w14:textId="77D494BC" w:rsidR="00544178" w:rsidRDefault="00544178"/>
    <w:p w14:paraId="315AF752" w14:textId="09CEC48F" w:rsidR="00544178" w:rsidRDefault="00544178"/>
    <w:p w14:paraId="5C57452A" w14:textId="1B054456" w:rsidR="00544178" w:rsidRDefault="00544178"/>
    <w:p w14:paraId="341B562F" w14:textId="17C612BB" w:rsidR="00544178" w:rsidRDefault="00544178"/>
    <w:p w14:paraId="24C9589E" w14:textId="5B596037" w:rsidR="00544178" w:rsidRDefault="00544178"/>
    <w:p w14:paraId="0ECD0E60" w14:textId="6BAD3E08" w:rsidR="00544178" w:rsidRDefault="00544178"/>
    <w:p w14:paraId="7031ABD8" w14:textId="3C9A6FE3" w:rsidR="00544178" w:rsidRDefault="00544178"/>
    <w:p w14:paraId="0BC31908" w14:textId="77777777" w:rsidR="00544178" w:rsidRDefault="00544178"/>
    <w:p w14:paraId="23FB5D92" w14:textId="18631334" w:rsidR="00657127" w:rsidRDefault="00657127">
      <w:r w:rsidRPr="00657127">
        <w:rPr>
          <w:noProof/>
        </w:rPr>
        <w:lastRenderedPageBreak/>
        <w:drawing>
          <wp:inline distT="0" distB="0" distL="0" distR="0" wp14:anchorId="14103639" wp14:editId="753BF641">
            <wp:extent cx="5943600" cy="41463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3F8E9" w14:textId="72772867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AB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790AB5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NMR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2BE46179" w14:textId="2CAB0333" w:rsidR="00657127" w:rsidRDefault="00657127"/>
    <w:p w14:paraId="37A687A8" w14:textId="0AAF007E" w:rsidR="00657127" w:rsidRDefault="00657127"/>
    <w:p w14:paraId="76B287AF" w14:textId="3A0C4155" w:rsidR="00657127" w:rsidRDefault="00657127"/>
    <w:p w14:paraId="03331DFE" w14:textId="5B125105" w:rsidR="00657127" w:rsidRDefault="00657127"/>
    <w:p w14:paraId="68BB0C0D" w14:textId="6ACA3A64" w:rsidR="00657127" w:rsidRDefault="00657127"/>
    <w:p w14:paraId="6B2F0F34" w14:textId="076727EB" w:rsidR="00657127" w:rsidRDefault="00657127"/>
    <w:p w14:paraId="1B7316C0" w14:textId="293C75F4" w:rsidR="00657127" w:rsidRDefault="00657127"/>
    <w:p w14:paraId="0F85DFF2" w14:textId="1DECF346" w:rsidR="00657127" w:rsidRDefault="00657127"/>
    <w:p w14:paraId="263D8C4A" w14:textId="223BADC7" w:rsidR="00657127" w:rsidRDefault="00657127"/>
    <w:p w14:paraId="66867C4A" w14:textId="505B0A48" w:rsidR="00657127" w:rsidRDefault="00657127"/>
    <w:p w14:paraId="4FA65F78" w14:textId="3CA96D57" w:rsidR="00657127" w:rsidRDefault="00657127"/>
    <w:p w14:paraId="4AD467EA" w14:textId="51A35685" w:rsidR="00657127" w:rsidRDefault="00657127"/>
    <w:p w14:paraId="023B1658" w14:textId="2FD4E245" w:rsidR="00657127" w:rsidRDefault="00657127"/>
    <w:p w14:paraId="14F942AB" w14:textId="397F5D2F" w:rsidR="00657127" w:rsidRDefault="00657127"/>
    <w:p w14:paraId="66269D5A" w14:textId="726F7842" w:rsidR="00657127" w:rsidRDefault="00657127"/>
    <w:p w14:paraId="396571C4" w14:textId="63513ED1" w:rsidR="00657127" w:rsidRDefault="00657127">
      <w:r w:rsidRPr="00657127">
        <w:rPr>
          <w:noProof/>
        </w:rPr>
        <w:drawing>
          <wp:inline distT="0" distB="0" distL="0" distR="0" wp14:anchorId="2490420A" wp14:editId="6723CBE0">
            <wp:extent cx="5943600" cy="41463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6A06E" w14:textId="5A9C7C71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AB5">
        <w:rPr>
          <w:rFonts w:ascii="Times New Roman" w:hAnsi="Times New Roman" w:cs="Times New Roman"/>
          <w:bCs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NMR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3EE3CE17" w14:textId="58BC4D31" w:rsidR="00657127" w:rsidRDefault="00657127"/>
    <w:p w14:paraId="4AEA4218" w14:textId="17F65EC6" w:rsidR="00657127" w:rsidRDefault="00657127"/>
    <w:p w14:paraId="619E936A" w14:textId="1B8A4046" w:rsidR="00657127" w:rsidRDefault="00657127"/>
    <w:p w14:paraId="21D06D16" w14:textId="53F5AC8C" w:rsidR="00657127" w:rsidRDefault="00657127"/>
    <w:p w14:paraId="12E9629C" w14:textId="1E78B5CB" w:rsidR="00657127" w:rsidRDefault="00657127"/>
    <w:p w14:paraId="17E2EC4A" w14:textId="778F878E" w:rsidR="00657127" w:rsidRDefault="00657127"/>
    <w:p w14:paraId="58504706" w14:textId="1AC19583" w:rsidR="00657127" w:rsidRDefault="00657127"/>
    <w:p w14:paraId="0F917E63" w14:textId="5BAA4D7E" w:rsidR="00657127" w:rsidRDefault="00657127"/>
    <w:p w14:paraId="2F6BB716" w14:textId="525B9870" w:rsidR="00657127" w:rsidRDefault="00657127"/>
    <w:p w14:paraId="1EF3EB8A" w14:textId="0E9FC15C" w:rsidR="00657127" w:rsidRDefault="00657127"/>
    <w:p w14:paraId="21C9B10D" w14:textId="519A1644" w:rsidR="00657127" w:rsidRDefault="00657127"/>
    <w:p w14:paraId="1F5500AD" w14:textId="1B07BBC0" w:rsidR="00657127" w:rsidRDefault="00657127"/>
    <w:p w14:paraId="12BA727E" w14:textId="15C71907" w:rsidR="00657127" w:rsidRDefault="00657127"/>
    <w:p w14:paraId="1217DF70" w14:textId="10F7DE08" w:rsidR="00657127" w:rsidRDefault="00657127">
      <w:r w:rsidRPr="00657127">
        <w:rPr>
          <w:noProof/>
        </w:rPr>
        <w:drawing>
          <wp:inline distT="0" distB="0" distL="0" distR="0" wp14:anchorId="30F32B12" wp14:editId="0B9FEA9A">
            <wp:extent cx="5943600" cy="4146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D3487" w14:textId="133F07CD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AB5">
        <w:rPr>
          <w:rFonts w:ascii="Times New Roman" w:hAnsi="Times New Roman" w:cs="Times New Roman"/>
          <w:bCs/>
          <w:sz w:val="24"/>
          <w:szCs w:val="24"/>
        </w:rPr>
        <w:t>DEPT</w:t>
      </w:r>
      <w:r>
        <w:rPr>
          <w:rFonts w:ascii="Times New Roman" w:hAnsi="Times New Roman" w:cs="Times New Roman"/>
          <w:bCs/>
          <w:sz w:val="24"/>
          <w:szCs w:val="24"/>
        </w:rPr>
        <w:t xml:space="preserve">-135 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NMR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00D8258" w14:textId="23F17D22" w:rsidR="00657127" w:rsidRDefault="00657127"/>
    <w:p w14:paraId="025A482A" w14:textId="5C8F1952" w:rsidR="00657127" w:rsidRDefault="00657127"/>
    <w:p w14:paraId="78CB431E" w14:textId="28DACF0F" w:rsidR="00657127" w:rsidRDefault="00657127"/>
    <w:p w14:paraId="6D464159" w14:textId="3B45D770" w:rsidR="00657127" w:rsidRDefault="00657127"/>
    <w:p w14:paraId="0166B0F1" w14:textId="5B9ECB71" w:rsidR="00657127" w:rsidRDefault="00657127"/>
    <w:p w14:paraId="75EF893D" w14:textId="0170D0A4" w:rsidR="00657127" w:rsidRDefault="00657127"/>
    <w:p w14:paraId="6000D135" w14:textId="1A66CFD9" w:rsidR="00657127" w:rsidRDefault="00657127"/>
    <w:p w14:paraId="754084DB" w14:textId="4735BB45" w:rsidR="00657127" w:rsidRDefault="00657127"/>
    <w:p w14:paraId="735E2DB0" w14:textId="7F0BC127" w:rsidR="00657127" w:rsidRDefault="00657127"/>
    <w:p w14:paraId="00FDFE11" w14:textId="2B088042" w:rsidR="00657127" w:rsidRDefault="00657127"/>
    <w:p w14:paraId="002D32A8" w14:textId="60FD0B5E" w:rsidR="00657127" w:rsidRDefault="00657127"/>
    <w:p w14:paraId="66A9FD69" w14:textId="226B970A" w:rsidR="00657127" w:rsidRDefault="00657127"/>
    <w:p w14:paraId="14733A34" w14:textId="4C592671" w:rsidR="00657127" w:rsidRDefault="00657127">
      <w:r w:rsidRPr="00657127">
        <w:rPr>
          <w:noProof/>
        </w:rPr>
        <w:drawing>
          <wp:inline distT="0" distB="0" distL="0" distR="0" wp14:anchorId="3CC3D4F5" wp14:editId="2A279A5A">
            <wp:extent cx="5943600" cy="41463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ED6DC" w14:textId="4C355AC8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HMBC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3249C4A" w14:textId="05A8AD5B" w:rsidR="00657127" w:rsidRDefault="00657127"/>
    <w:p w14:paraId="330F311C" w14:textId="68DBC9B9" w:rsidR="00657127" w:rsidRDefault="00657127"/>
    <w:p w14:paraId="52D6B425" w14:textId="11C9C58A" w:rsidR="00657127" w:rsidRDefault="00657127"/>
    <w:p w14:paraId="04ABE74C" w14:textId="51D50FDF" w:rsidR="00657127" w:rsidRDefault="00657127"/>
    <w:p w14:paraId="77F31B69" w14:textId="446F886D" w:rsidR="00657127" w:rsidRDefault="00657127"/>
    <w:p w14:paraId="05D18C0D" w14:textId="52F68904" w:rsidR="00657127" w:rsidRDefault="00657127"/>
    <w:p w14:paraId="56F3446E" w14:textId="4D9511F7" w:rsidR="00657127" w:rsidRDefault="00657127"/>
    <w:p w14:paraId="6ADF210C" w14:textId="0D03ADEB" w:rsidR="00657127" w:rsidRDefault="00657127"/>
    <w:p w14:paraId="6133BADB" w14:textId="18943D07" w:rsidR="00657127" w:rsidRDefault="00657127"/>
    <w:p w14:paraId="09F5E460" w14:textId="3946FE82" w:rsidR="00657127" w:rsidRDefault="00657127"/>
    <w:p w14:paraId="739E8D93" w14:textId="24AA4421" w:rsidR="00657127" w:rsidRDefault="00657127"/>
    <w:p w14:paraId="3304660E" w14:textId="4ACBE62D" w:rsidR="00657127" w:rsidRDefault="00657127"/>
    <w:p w14:paraId="0B4A23F1" w14:textId="23E0625E" w:rsidR="00657127" w:rsidRDefault="00657127">
      <w:r w:rsidRPr="00657127">
        <w:rPr>
          <w:noProof/>
        </w:rPr>
        <w:lastRenderedPageBreak/>
        <w:drawing>
          <wp:inline distT="0" distB="0" distL="0" distR="0" wp14:anchorId="44618EF7" wp14:editId="30192D41">
            <wp:extent cx="5943600" cy="414631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8FBC" w14:textId="34C54716" w:rsidR="00544178" w:rsidRDefault="00544178" w:rsidP="00544178">
      <w:pPr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18721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HSQC</w:t>
      </w:r>
      <w:r w:rsidRPr="00790AB5">
        <w:rPr>
          <w:rFonts w:ascii="Times New Roman" w:hAnsi="Times New Roman" w:cs="Times New Roman"/>
          <w:bCs/>
          <w:sz w:val="24"/>
          <w:szCs w:val="24"/>
        </w:rPr>
        <w:t xml:space="preserve"> Spectra of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722A7874" w14:textId="625BDED8" w:rsidR="007A277A" w:rsidRDefault="007A277A"/>
    <w:p w14:paraId="7980E31A" w14:textId="60954618" w:rsidR="007A277A" w:rsidRDefault="007A277A"/>
    <w:p w14:paraId="59AEE50D" w14:textId="259617DD" w:rsidR="007A277A" w:rsidRDefault="007A277A"/>
    <w:p w14:paraId="0A1E4198" w14:textId="45C7228F" w:rsidR="007A277A" w:rsidRDefault="007A277A"/>
    <w:p w14:paraId="0385A696" w14:textId="39548BC7" w:rsidR="007A277A" w:rsidRDefault="007A277A"/>
    <w:p w14:paraId="7B832F79" w14:textId="72C14185" w:rsidR="007A277A" w:rsidRDefault="007A277A"/>
    <w:p w14:paraId="7AFB8239" w14:textId="1DBFCF1A" w:rsidR="007A277A" w:rsidRDefault="007A277A"/>
    <w:p w14:paraId="6278DECD" w14:textId="52084DD1" w:rsidR="007A277A" w:rsidRDefault="007A277A"/>
    <w:p w14:paraId="239E219F" w14:textId="047C8A50" w:rsidR="007A277A" w:rsidRDefault="007A277A"/>
    <w:p w14:paraId="38D2BF5B" w14:textId="0803EAEA" w:rsidR="007A277A" w:rsidRDefault="007A277A"/>
    <w:p w14:paraId="3C9058E6" w14:textId="08AF4EB8" w:rsidR="007A277A" w:rsidRDefault="007A277A"/>
    <w:p w14:paraId="486B902E" w14:textId="33533A15" w:rsidR="007A277A" w:rsidRDefault="007A277A"/>
    <w:p w14:paraId="286F47AE" w14:textId="1AE8118C" w:rsidR="00F10B61" w:rsidRDefault="00F10B61">
      <w:r>
        <w:rPr>
          <w:noProof/>
        </w:rPr>
        <w:lastRenderedPageBreak/>
        <w:drawing>
          <wp:inline distT="0" distB="0" distL="0" distR="0" wp14:anchorId="56A5F682" wp14:editId="2340FC7C">
            <wp:extent cx="5934710" cy="1708150"/>
            <wp:effectExtent l="0" t="0" r="889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94A30" w14:textId="5F68549F" w:rsidR="00544178" w:rsidRPr="00790AB5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Negative ESI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ass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Spectra of 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53F5DA23" w14:textId="52FE8401" w:rsidR="00F10B61" w:rsidRDefault="00F10B61"/>
    <w:p w14:paraId="091AFD1F" w14:textId="0977C56A" w:rsidR="00F10B61" w:rsidRDefault="00F10B61">
      <w:r>
        <w:rPr>
          <w:noProof/>
        </w:rPr>
        <w:drawing>
          <wp:inline distT="0" distB="0" distL="0" distR="0" wp14:anchorId="55DE3453" wp14:editId="43860C40">
            <wp:extent cx="5934075" cy="1714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F442F" w14:textId="090379B8" w:rsidR="00544178" w:rsidRDefault="00544178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Figure </w:t>
      </w:r>
      <w:r w:rsidR="004F447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r w:rsidRPr="0088321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Positive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ESI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ass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Spectra of Compound </w:t>
      </w:r>
      <w:r w:rsidRPr="00790AB5">
        <w:rPr>
          <w:rFonts w:ascii="Times New Roman" w:hAnsi="Times New Roman" w:cs="Times New Roman"/>
          <w:b/>
          <w:iCs/>
          <w:color w:val="000000"/>
          <w:sz w:val="24"/>
          <w:szCs w:val="24"/>
        </w:rPr>
        <w:t>1</w:t>
      </w:r>
      <w:r w:rsidRPr="00790A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1D95E470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A694BBF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48B948F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9CF184E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8E42074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2BE0438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EB49869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147B33D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06B3DC64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D1AA8C4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2C94922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F0786B3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EC769B4" w14:textId="77777777" w:rsidR="009F70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32EEEB6" w14:textId="77777777" w:rsidR="009F70B5" w:rsidRPr="00790AB5" w:rsidRDefault="009F70B5" w:rsidP="00544178">
      <w:pPr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73A91B0F" w14:textId="77777777" w:rsidR="009F70B5" w:rsidRDefault="009F70B5" w:rsidP="009F70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397FFF4B" w14:textId="77777777" w:rsidR="009F70B5" w:rsidRDefault="009F70B5" w:rsidP="009F70B5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631DE2"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A95CB" wp14:editId="766146E3">
                <wp:simplePos x="0" y="0"/>
                <wp:positionH relativeFrom="column">
                  <wp:posOffset>281940</wp:posOffset>
                </wp:positionH>
                <wp:positionV relativeFrom="paragraph">
                  <wp:posOffset>-192405</wp:posOffset>
                </wp:positionV>
                <wp:extent cx="670560" cy="312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FECB" w14:textId="77777777" w:rsidR="009F70B5" w:rsidRPr="00631DE2" w:rsidRDefault="009F70B5" w:rsidP="009F70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DE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  <w:p w14:paraId="189E6766" w14:textId="77777777" w:rsidR="009F70B5" w:rsidRDefault="009F70B5" w:rsidP="009F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A9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5.15pt;width:52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" filled="f" stroked="f">
                <v:textbox>
                  <w:txbxContent>
                    <w:p w14:paraId="18BFFECB" w14:textId="77777777" w:rsidR="009F70B5" w:rsidRPr="00631DE2" w:rsidRDefault="009F70B5" w:rsidP="009F70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31DE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(a)</w:t>
                      </w:r>
                    </w:p>
                    <w:p w14:paraId="189E6766" w14:textId="77777777" w:rsidR="009F70B5" w:rsidRDefault="009F70B5" w:rsidP="009F70B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E970DF" wp14:editId="729BDEF8">
            <wp:extent cx="6318498" cy="19050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79" cy="190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71A8D9" w14:textId="77777777" w:rsidR="009F70B5" w:rsidRDefault="009F70B5" w:rsidP="009F70B5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631DE2">
        <w:rPr>
          <w:rFonts w:asciiTheme="majorBidi" w:hAnsiTheme="majorBidi" w:cstheme="majorBid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5C6A1" wp14:editId="1E61F5F7">
                <wp:simplePos x="0" y="0"/>
                <wp:positionH relativeFrom="column">
                  <wp:posOffset>312420</wp:posOffset>
                </wp:positionH>
                <wp:positionV relativeFrom="paragraph">
                  <wp:posOffset>187325</wp:posOffset>
                </wp:positionV>
                <wp:extent cx="670560" cy="3124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1A75" w14:textId="77777777" w:rsidR="009F70B5" w:rsidRPr="00631DE2" w:rsidRDefault="009F70B5" w:rsidP="009F70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1DE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Pr="00631DE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9F9D399" w14:textId="77777777" w:rsidR="009F70B5" w:rsidRDefault="009F70B5" w:rsidP="009F70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C6A1" id="_x0000_s1027" type="#_x0000_t202" style="position:absolute;left:0;text-align:left;margin-left:24.6pt;margin-top:14.75pt;width:52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06DDAIAAPk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" filled="f" stroked="f">
                <v:textbox>
                  <w:txbxContent>
                    <w:p w14:paraId="3B6E1A75" w14:textId="77777777" w:rsidR="009F70B5" w:rsidRPr="00631DE2" w:rsidRDefault="009F70B5" w:rsidP="009F70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31DE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Pr="00631DE2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14:paraId="09F9D399" w14:textId="77777777" w:rsidR="009F70B5" w:rsidRDefault="009F70B5" w:rsidP="009F70B5"/>
                  </w:txbxContent>
                </v:textbox>
              </v:shape>
            </w:pict>
          </mc:Fallback>
        </mc:AlternateContent>
      </w:r>
    </w:p>
    <w:p w14:paraId="69678D68" w14:textId="77777777" w:rsidR="009F70B5" w:rsidRDefault="009F70B5" w:rsidP="009F70B5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noProof/>
        </w:rPr>
        <w:drawing>
          <wp:inline distT="0" distB="0" distL="0" distR="0" wp14:anchorId="2F25D8A7" wp14:editId="59F542ED">
            <wp:extent cx="6293224" cy="1897380"/>
            <wp:effectExtent l="0" t="0" r="0" b="762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87" cy="189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8C34B" w14:textId="77777777" w:rsidR="009F70B5" w:rsidRDefault="009F70B5" w:rsidP="009F70B5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14:paraId="1958FF65" w14:textId="5C955CD3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  <w:r w:rsidRPr="00B00F24">
        <w:rPr>
          <w:rFonts w:asciiTheme="majorBidi" w:hAnsiTheme="majorBidi" w:cstheme="majorBidi"/>
          <w:b/>
          <w:bCs/>
          <w:iCs/>
          <w:sz w:val="24"/>
          <w:szCs w:val="24"/>
        </w:rPr>
        <w:t xml:space="preserve">Figure </w:t>
      </w:r>
      <w:r w:rsidR="004F4471">
        <w:rPr>
          <w:rFonts w:asciiTheme="majorBidi" w:hAnsiTheme="majorBidi" w:cstheme="majorBidi"/>
          <w:b/>
          <w:bCs/>
          <w:iCs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>8</w:t>
      </w:r>
      <w:r w:rsidRPr="00B00F24">
        <w:rPr>
          <w:rFonts w:asciiTheme="majorBidi" w:hAnsiTheme="majorBidi" w:cstheme="majorBidi"/>
          <w:iCs/>
          <w:sz w:val="24"/>
          <w:szCs w:val="24"/>
        </w:rPr>
        <w:t xml:space="preserve">: </w:t>
      </w:r>
      <w:r>
        <w:rPr>
          <w:rFonts w:asciiTheme="majorBidi" w:hAnsiTheme="majorBidi" w:cstheme="majorBidi"/>
          <w:iCs/>
          <w:sz w:val="24"/>
          <w:szCs w:val="24"/>
        </w:rPr>
        <w:t>The HPLC chromatogram for ASL (a) and ASS (b)</w:t>
      </w:r>
      <w:r w:rsidRPr="00B00F24">
        <w:rPr>
          <w:rFonts w:asciiTheme="majorBidi" w:hAnsiTheme="majorBidi" w:cstheme="majorBidi"/>
          <w:iCs/>
          <w:sz w:val="24"/>
          <w:szCs w:val="24"/>
        </w:rPr>
        <w:t>.</w:t>
      </w:r>
    </w:p>
    <w:p w14:paraId="7074E263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4F1DF603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4B73A948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2F3200FB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2C5C5E26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6E949DC9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56761AE2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Cs/>
          <w:sz w:val="24"/>
          <w:szCs w:val="24"/>
        </w:rPr>
      </w:pPr>
    </w:p>
    <w:p w14:paraId="3D930D2F" w14:textId="77777777" w:rsidR="009F70B5" w:rsidRDefault="009F70B5" w:rsidP="009F70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6E075F5" w14:textId="2D8D5FCC" w:rsidR="009F70B5" w:rsidRPr="009F70B5" w:rsidRDefault="009F70B5" w:rsidP="009F70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9F70B5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General Experimental Procedures</w:t>
      </w:r>
    </w:p>
    <w:p w14:paraId="4C1A3283" w14:textId="77777777" w:rsidR="009F70B5" w:rsidRDefault="009F70B5" w:rsidP="009F70B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14:paraId="2410A4C2" w14:textId="77777777" w:rsidR="009F70B5" w:rsidRDefault="009F70B5" w:rsidP="009F70B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66E60">
        <w:rPr>
          <w:rFonts w:asciiTheme="majorBidi" w:hAnsiTheme="majorBidi" w:cstheme="majorBidi"/>
          <w:sz w:val="24"/>
          <w:szCs w:val="24"/>
        </w:rPr>
        <w:t>Optical activity was measured on a JASCO P-2000 Series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polarimeter (JASCO Corporation, 2967-5, Tokyo, Japan).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66E60">
        <w:rPr>
          <w:rFonts w:asciiTheme="majorBidi" w:hAnsiTheme="majorBidi" w:cstheme="majorBidi"/>
          <w:sz w:val="24"/>
          <w:szCs w:val="24"/>
        </w:rPr>
        <w:t xml:space="preserve">H, </w:t>
      </w:r>
      <w:r w:rsidRPr="00466E60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466E60">
        <w:rPr>
          <w:rFonts w:asciiTheme="majorBidi" w:hAnsiTheme="majorBidi" w:cstheme="majorBidi"/>
          <w:sz w:val="24"/>
          <w:szCs w:val="24"/>
        </w:rPr>
        <w:t>C NMR and 2D NMR spectra were recorded on a Bruker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AMX-</w:t>
      </w:r>
      <w:r>
        <w:rPr>
          <w:rFonts w:asciiTheme="majorBidi" w:hAnsiTheme="majorBidi" w:cstheme="majorBidi"/>
          <w:sz w:val="24"/>
          <w:szCs w:val="24"/>
        </w:rPr>
        <w:t>700</w:t>
      </w:r>
      <w:r w:rsidRPr="00466E60">
        <w:rPr>
          <w:rFonts w:asciiTheme="majorBidi" w:hAnsiTheme="majorBidi" w:cstheme="majorBidi"/>
          <w:sz w:val="24"/>
          <w:szCs w:val="24"/>
        </w:rPr>
        <w:t xml:space="preserve"> spectrometer with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tetramethylsilane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 xml:space="preserve"> (TMS) as an internal standard. Chemical shifts are in ppm (δ), relative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tetramethylsilane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 xml:space="preserve"> as an internal standard and scalar coupling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constants (J) reported in Hertz. ESI-MS analyses were measured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on an Agilent Triple Quadrupole 6410 QQQ LC/MS mass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spectrometer with ESI ion source (gas temperature is 350 °C,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nebulizer pressure is 60 psi and gas flow rate is 12 L/min),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 xml:space="preserve">operating in the negative and positive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scanmodes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sz w:val="24"/>
          <w:szCs w:val="24"/>
        </w:rPr>
        <w:t xml:space="preserve">ionization </w:t>
      </w:r>
      <w:r w:rsidRPr="00466E60">
        <w:rPr>
          <w:rFonts w:asciiTheme="majorBidi" w:hAnsiTheme="majorBidi" w:cstheme="majorBidi"/>
          <w:sz w:val="24"/>
          <w:szCs w:val="24"/>
        </w:rPr>
        <w:t>through direct infusion method using CH3OH\H</w:t>
      </w:r>
      <w:r w:rsidRPr="00466E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466E60">
        <w:rPr>
          <w:rFonts w:asciiTheme="majorBidi" w:hAnsiTheme="majorBidi" w:cstheme="majorBidi"/>
          <w:sz w:val="24"/>
          <w:szCs w:val="24"/>
        </w:rPr>
        <w:t>O (1:1 v/v)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at a flow rate of 0.</w:t>
      </w:r>
      <w:r>
        <w:rPr>
          <w:rFonts w:asciiTheme="majorBidi" w:hAnsiTheme="majorBidi" w:cstheme="majorBidi"/>
          <w:sz w:val="24"/>
          <w:szCs w:val="24"/>
        </w:rPr>
        <w:t>2</w:t>
      </w:r>
      <w:r w:rsidRPr="00466E60">
        <w:rPr>
          <w:rFonts w:asciiTheme="majorBidi" w:hAnsiTheme="majorBidi" w:cstheme="majorBidi"/>
          <w:sz w:val="24"/>
          <w:szCs w:val="24"/>
        </w:rPr>
        <w:t xml:space="preserve"> mL/min. Column chromatography was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 xml:space="preserve">carried out on </w:t>
      </w:r>
      <w:r>
        <w:rPr>
          <w:rFonts w:asciiTheme="majorBidi" w:hAnsiTheme="majorBidi" w:cstheme="majorBidi"/>
          <w:sz w:val="24"/>
          <w:szCs w:val="24"/>
        </w:rPr>
        <w:t xml:space="preserve">silica gel and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sephadex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 xml:space="preserve"> LH-20 (E. Merck, Darmstadt,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Germany). Thin layer chromatography (TLC) was performed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on precoated TLC plates (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Aluminium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 xml:space="preserve"> sheets, </w:t>
      </w:r>
      <w:r>
        <w:rPr>
          <w:rFonts w:asciiTheme="majorBidi" w:hAnsiTheme="majorBidi" w:cstheme="majorBidi"/>
          <w:sz w:val="24"/>
          <w:szCs w:val="24"/>
        </w:rPr>
        <w:t xml:space="preserve">silica gel &amp; </w:t>
      </w:r>
      <w:r w:rsidRPr="00466E60">
        <w:rPr>
          <w:rFonts w:asciiTheme="majorBidi" w:hAnsiTheme="majorBidi" w:cstheme="majorBidi"/>
          <w:sz w:val="24"/>
          <w:szCs w:val="24"/>
        </w:rPr>
        <w:t>RP-18 F254,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Merck,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Germany); the detection was done at 254 nm and by spraying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 xml:space="preserve">with ceric sulphate reagent. </w:t>
      </w:r>
      <w:r>
        <w:rPr>
          <w:rFonts w:asciiTheme="majorBidi" w:hAnsiTheme="majorBidi" w:cstheme="majorBidi"/>
          <w:sz w:val="24"/>
          <w:szCs w:val="24"/>
        </w:rPr>
        <w:t>HP</w:t>
      </w:r>
      <w:r w:rsidRPr="00466E60">
        <w:rPr>
          <w:rFonts w:asciiTheme="majorBidi" w:hAnsiTheme="majorBidi" w:cstheme="majorBidi"/>
          <w:sz w:val="24"/>
          <w:szCs w:val="24"/>
        </w:rPr>
        <w:t>LC analysis was performed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on a Prominence Shimadzu LC Solution, (Kyoto, Japan)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the system equipped with a CBM-20A communication bus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module, two LC-10AD pumps, a CTO-10A(C) column oven, and an SPD 10A(V) diode array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 xml:space="preserve">detector. A Shim-pack VP-ODS (150 mm×4.6 mm, 5.0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μm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Shimadzu) analytical column was used and kept at 40 °C.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 xml:space="preserve">mobile phase consisted of water containing 0.1%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triflouroacetic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acid (A) and CH</w:t>
      </w:r>
      <w:r w:rsidRPr="00466E6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466E60">
        <w:rPr>
          <w:rFonts w:asciiTheme="majorBidi" w:hAnsiTheme="majorBidi" w:cstheme="majorBidi"/>
          <w:sz w:val="24"/>
          <w:szCs w:val="24"/>
        </w:rPr>
        <w:t>OH (B). The flow rate was set at 0.4 mL/min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 xml:space="preserve">and the injection volume was 20 </w:t>
      </w:r>
      <w:proofErr w:type="spellStart"/>
      <w:r w:rsidRPr="00466E60">
        <w:rPr>
          <w:rFonts w:asciiTheme="majorBidi" w:hAnsiTheme="majorBidi" w:cstheme="majorBidi"/>
          <w:sz w:val="24"/>
          <w:szCs w:val="24"/>
        </w:rPr>
        <w:t>μL</w:t>
      </w:r>
      <w:proofErr w:type="spellEnd"/>
      <w:r w:rsidRPr="00466E60">
        <w:rPr>
          <w:rFonts w:asciiTheme="majorBidi" w:hAnsiTheme="majorBidi" w:cstheme="majorBidi"/>
          <w:sz w:val="24"/>
          <w:szCs w:val="24"/>
        </w:rPr>
        <w:t>. The DAD detection was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66E60">
        <w:rPr>
          <w:rFonts w:asciiTheme="majorBidi" w:hAnsiTheme="majorBidi" w:cstheme="majorBidi"/>
          <w:sz w:val="24"/>
          <w:szCs w:val="24"/>
        </w:rPr>
        <w:t>achieved in the range of 254 nm.</w:t>
      </w:r>
    </w:p>
    <w:p w14:paraId="0BF23B7A" w14:textId="77777777" w:rsidR="009F70B5" w:rsidRDefault="009F70B5" w:rsidP="009F70B5">
      <w:pPr>
        <w:spacing w:line="360" w:lineRule="auto"/>
        <w:ind w:firstLine="720"/>
        <w:rPr>
          <w:rFonts w:asciiTheme="majorBidi" w:hAnsiTheme="majorBidi" w:cstheme="majorBidi"/>
          <w:i/>
          <w:sz w:val="24"/>
          <w:szCs w:val="24"/>
        </w:rPr>
      </w:pPr>
    </w:p>
    <w:p w14:paraId="52DD38F7" w14:textId="77777777" w:rsidR="00544178" w:rsidRDefault="00544178"/>
    <w:sectPr w:rsidR="0054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27"/>
    <w:rsid w:val="00047539"/>
    <w:rsid w:val="004F4471"/>
    <w:rsid w:val="00544178"/>
    <w:rsid w:val="00603914"/>
    <w:rsid w:val="00655E52"/>
    <w:rsid w:val="00657127"/>
    <w:rsid w:val="0070091E"/>
    <w:rsid w:val="00790AB5"/>
    <w:rsid w:val="007A277A"/>
    <w:rsid w:val="009F70B5"/>
    <w:rsid w:val="00B726A1"/>
    <w:rsid w:val="00C7732D"/>
    <w:rsid w:val="00DA1432"/>
    <w:rsid w:val="00E854A5"/>
    <w:rsid w:val="00F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EB1D"/>
  <w15:docId w15:val="{A0D70332-D983-4ACE-A404-2E7F280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Shagufta Perveen</dc:creator>
  <cp:lastModifiedBy>ROrfali</cp:lastModifiedBy>
  <cp:revision>2</cp:revision>
  <dcterms:created xsi:type="dcterms:W3CDTF">2019-08-06T12:36:00Z</dcterms:created>
  <dcterms:modified xsi:type="dcterms:W3CDTF">2019-08-06T12:36:00Z</dcterms:modified>
</cp:coreProperties>
</file>