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062" w14:textId="4DB8E335" w:rsidR="0066156E" w:rsidRPr="00AA03A3" w:rsidRDefault="0066156E" w:rsidP="0066156E">
      <w:pPr>
        <w:pStyle w:val="Caption"/>
        <w:keepNext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AA03A3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 w:rsidR="003B5B30">
        <w:rPr>
          <w:rFonts w:ascii="Times New Roman" w:hAnsi="Times New Roman" w:cs="Times New Roman"/>
          <w:color w:val="auto"/>
          <w:sz w:val="24"/>
          <w:szCs w:val="24"/>
        </w:rPr>
        <w:t>S2</w:t>
      </w:r>
      <w:r w:rsidRPr="00AA03A3">
        <w:rPr>
          <w:rFonts w:ascii="Times New Roman" w:hAnsi="Times New Roman" w:cs="Times New Roman"/>
          <w:color w:val="auto"/>
          <w:sz w:val="24"/>
          <w:szCs w:val="24"/>
        </w:rPr>
        <w:t>. Agreement estimates for qualitative image quality measures.</w:t>
      </w:r>
    </w:p>
    <w:tbl>
      <w:tblPr>
        <w:tblStyle w:val="PlainTable3"/>
        <w:tblpPr w:leftFromText="180" w:rightFromText="180" w:vertAnchor="page" w:horzAnchor="margin" w:tblpY="1986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017"/>
        <w:gridCol w:w="1233"/>
        <w:gridCol w:w="1312"/>
        <w:gridCol w:w="1274"/>
        <w:gridCol w:w="1534"/>
        <w:gridCol w:w="1544"/>
        <w:gridCol w:w="1431"/>
      </w:tblGrid>
      <w:tr w:rsidR="0066156E" w:rsidRPr="00AA03A3" w14:paraId="36C9C7EC" w14:textId="77777777" w:rsidTr="0066156E">
        <w:trPr>
          <w:cantSplit/>
        </w:trPr>
        <w:tc>
          <w:tcPr>
            <w:tcW w:w="2017" w:type="dxa"/>
            <w:vAlign w:val="center"/>
          </w:tcPr>
          <w:p w14:paraId="472BC424" w14:textId="77777777" w:rsidR="0066156E" w:rsidRPr="00AA03A3" w:rsidRDefault="0066156E" w:rsidP="0066156E">
            <w:pPr>
              <w:spacing w:line="360" w:lineRule="auto"/>
              <w:rPr>
                <w:b/>
                <w:sz w:val="18"/>
                <w:szCs w:val="16"/>
              </w:rPr>
            </w:pPr>
            <w:r w:rsidRPr="00AA03A3">
              <w:rPr>
                <w:b/>
                <w:sz w:val="18"/>
                <w:szCs w:val="16"/>
              </w:rPr>
              <w:t>Image Quality</w:t>
            </w:r>
          </w:p>
        </w:tc>
        <w:tc>
          <w:tcPr>
            <w:tcW w:w="1233" w:type="dxa"/>
            <w:vAlign w:val="center"/>
          </w:tcPr>
          <w:p w14:paraId="75107071" w14:textId="77777777" w:rsidR="0066156E" w:rsidRPr="00AA03A3" w:rsidRDefault="0066156E" w:rsidP="0066156E">
            <w:pPr>
              <w:spacing w:line="360" w:lineRule="auto"/>
              <w:rPr>
                <w:b/>
                <w:sz w:val="18"/>
                <w:szCs w:val="16"/>
              </w:rPr>
            </w:pPr>
            <w:proofErr w:type="spellStart"/>
            <w:r w:rsidRPr="00AA03A3">
              <w:rPr>
                <w:b/>
                <w:sz w:val="18"/>
                <w:szCs w:val="16"/>
              </w:rPr>
              <w:t>mDixon</w:t>
            </w:r>
            <w:proofErr w:type="spellEnd"/>
          </w:p>
          <w:p w14:paraId="12B69750" w14:textId="77777777" w:rsidR="0066156E" w:rsidRPr="00AA03A3" w:rsidRDefault="0066156E" w:rsidP="0066156E">
            <w:pPr>
              <w:spacing w:line="360" w:lineRule="auto"/>
              <w:rPr>
                <w:sz w:val="18"/>
                <w:szCs w:val="16"/>
              </w:rPr>
            </w:pPr>
            <w:r w:rsidRPr="00AA03A3">
              <w:rPr>
                <w:sz w:val="16"/>
                <w:szCs w:val="16"/>
              </w:rPr>
              <w:t>N (%)</w:t>
            </w:r>
          </w:p>
        </w:tc>
        <w:tc>
          <w:tcPr>
            <w:tcW w:w="1312" w:type="dxa"/>
            <w:vAlign w:val="center"/>
          </w:tcPr>
          <w:p w14:paraId="01D7A013" w14:textId="4BB50873" w:rsidR="0066156E" w:rsidRPr="00AA03A3" w:rsidRDefault="000C4774" w:rsidP="0066156E">
            <w:pPr>
              <w:spacing w:line="360" w:lineRule="auto"/>
              <w:rPr>
                <w:b/>
                <w:sz w:val="18"/>
                <w:szCs w:val="16"/>
              </w:rPr>
            </w:pPr>
            <w:proofErr w:type="spellStart"/>
            <w:r>
              <w:rPr>
                <w:b/>
                <w:sz w:val="18"/>
                <w:szCs w:val="16"/>
              </w:rPr>
              <w:t>b</w:t>
            </w:r>
            <w:r w:rsidR="0066156E" w:rsidRPr="00AA03A3">
              <w:rPr>
                <w:b/>
                <w:sz w:val="18"/>
                <w:szCs w:val="16"/>
              </w:rPr>
              <w:t>SSFP</w:t>
            </w:r>
            <w:proofErr w:type="spellEnd"/>
            <w:r w:rsidR="0066156E" w:rsidRPr="00AA03A3">
              <w:rPr>
                <w:b/>
                <w:sz w:val="18"/>
                <w:szCs w:val="16"/>
              </w:rPr>
              <w:t xml:space="preserve"> </w:t>
            </w:r>
          </w:p>
          <w:p w14:paraId="48249B5F" w14:textId="77777777" w:rsidR="0066156E" w:rsidRPr="00AA03A3" w:rsidRDefault="0066156E" w:rsidP="0066156E">
            <w:pPr>
              <w:spacing w:line="360" w:lineRule="auto"/>
              <w:rPr>
                <w:sz w:val="18"/>
                <w:szCs w:val="16"/>
              </w:rPr>
            </w:pPr>
            <w:r w:rsidRPr="00AA03A3">
              <w:rPr>
                <w:sz w:val="16"/>
                <w:szCs w:val="16"/>
              </w:rPr>
              <w:t>N (%)</w:t>
            </w:r>
          </w:p>
        </w:tc>
        <w:tc>
          <w:tcPr>
            <w:tcW w:w="1274" w:type="dxa"/>
            <w:vAlign w:val="center"/>
          </w:tcPr>
          <w:p w14:paraId="3F695445" w14:textId="77777777" w:rsidR="0066156E" w:rsidRPr="00AA03A3" w:rsidRDefault="0066156E" w:rsidP="0066156E">
            <w:pPr>
              <w:spacing w:line="360" w:lineRule="auto"/>
              <w:rPr>
                <w:b/>
                <w:sz w:val="18"/>
                <w:szCs w:val="16"/>
              </w:rPr>
            </w:pPr>
            <w:r w:rsidRPr="00AA03A3">
              <w:rPr>
                <w:b/>
                <w:sz w:val="18"/>
                <w:szCs w:val="16"/>
              </w:rPr>
              <w:t>CE-MRA</w:t>
            </w:r>
          </w:p>
          <w:p w14:paraId="46D2B3DB" w14:textId="77777777" w:rsidR="0066156E" w:rsidRPr="00AA03A3" w:rsidRDefault="0066156E" w:rsidP="0066156E">
            <w:pPr>
              <w:spacing w:line="360" w:lineRule="auto"/>
              <w:rPr>
                <w:sz w:val="18"/>
                <w:szCs w:val="16"/>
              </w:rPr>
            </w:pPr>
            <w:r w:rsidRPr="00AA03A3">
              <w:rPr>
                <w:sz w:val="16"/>
                <w:szCs w:val="16"/>
              </w:rPr>
              <w:t>N (%)</w:t>
            </w:r>
          </w:p>
        </w:tc>
        <w:tc>
          <w:tcPr>
            <w:tcW w:w="1534" w:type="dxa"/>
            <w:vAlign w:val="center"/>
          </w:tcPr>
          <w:p w14:paraId="1C4ABBC4" w14:textId="77777777" w:rsidR="0066156E" w:rsidRPr="00AA03A3" w:rsidRDefault="0066156E" w:rsidP="0066156E">
            <w:pPr>
              <w:spacing w:line="360" w:lineRule="auto"/>
              <w:rPr>
                <w:b/>
                <w:sz w:val="18"/>
                <w:szCs w:val="16"/>
              </w:rPr>
            </w:pPr>
            <w:r w:rsidRPr="00AA03A3">
              <w:rPr>
                <w:b/>
                <w:sz w:val="18"/>
                <w:szCs w:val="16"/>
              </w:rPr>
              <w:t>Agreement</w:t>
            </w:r>
          </w:p>
          <w:p w14:paraId="7A12148F" w14:textId="2CAE78BB" w:rsidR="0066156E" w:rsidRPr="00AA03A3" w:rsidRDefault="00D15286" w:rsidP="0066156E">
            <w:pPr>
              <w:spacing w:line="360" w:lineRule="auto"/>
              <w:rPr>
                <w:b/>
                <w:sz w:val="18"/>
                <w:szCs w:val="16"/>
              </w:rPr>
            </w:pPr>
            <w:proofErr w:type="spellStart"/>
            <w:r>
              <w:rPr>
                <w:b/>
                <w:sz w:val="18"/>
                <w:szCs w:val="16"/>
              </w:rPr>
              <w:t>m</w:t>
            </w:r>
            <w:r w:rsidR="0066156E" w:rsidRPr="00AA03A3">
              <w:rPr>
                <w:b/>
                <w:sz w:val="18"/>
                <w:szCs w:val="16"/>
              </w:rPr>
              <w:t>D</w:t>
            </w:r>
            <w:r>
              <w:rPr>
                <w:b/>
                <w:sz w:val="18"/>
                <w:szCs w:val="16"/>
              </w:rPr>
              <w:t>ixon</w:t>
            </w:r>
            <w:r w:rsidR="0066156E" w:rsidRPr="00AA03A3">
              <w:rPr>
                <w:b/>
                <w:sz w:val="18"/>
                <w:szCs w:val="16"/>
              </w:rPr>
              <w:t>│SSFP</w:t>
            </w:r>
            <w:proofErr w:type="spellEnd"/>
          </w:p>
        </w:tc>
        <w:tc>
          <w:tcPr>
            <w:tcW w:w="1544" w:type="dxa"/>
            <w:vAlign w:val="center"/>
          </w:tcPr>
          <w:p w14:paraId="22ABA14B" w14:textId="77777777" w:rsidR="0066156E" w:rsidRPr="00AA03A3" w:rsidRDefault="0066156E" w:rsidP="0066156E">
            <w:pPr>
              <w:spacing w:line="360" w:lineRule="auto"/>
              <w:rPr>
                <w:b/>
                <w:sz w:val="18"/>
                <w:szCs w:val="16"/>
              </w:rPr>
            </w:pPr>
            <w:r w:rsidRPr="00AA03A3">
              <w:rPr>
                <w:b/>
                <w:sz w:val="18"/>
                <w:szCs w:val="16"/>
              </w:rPr>
              <w:t>Agreement</w:t>
            </w:r>
          </w:p>
          <w:p w14:paraId="2D579117" w14:textId="335D39BE" w:rsidR="0066156E" w:rsidRPr="00AA03A3" w:rsidRDefault="00D15286" w:rsidP="0066156E">
            <w:pPr>
              <w:spacing w:line="360" w:lineRule="auto"/>
              <w:rPr>
                <w:b/>
                <w:sz w:val="18"/>
                <w:szCs w:val="16"/>
              </w:rPr>
            </w:pPr>
            <w:proofErr w:type="spellStart"/>
            <w:r>
              <w:rPr>
                <w:b/>
                <w:sz w:val="18"/>
                <w:szCs w:val="16"/>
              </w:rPr>
              <w:t>mDixon</w:t>
            </w:r>
            <w:r w:rsidR="0066156E" w:rsidRPr="00AA03A3">
              <w:rPr>
                <w:b/>
                <w:sz w:val="18"/>
                <w:szCs w:val="16"/>
              </w:rPr>
              <w:t>│MRA</w:t>
            </w:r>
            <w:proofErr w:type="spellEnd"/>
          </w:p>
        </w:tc>
        <w:tc>
          <w:tcPr>
            <w:tcW w:w="1431" w:type="dxa"/>
            <w:vAlign w:val="center"/>
          </w:tcPr>
          <w:p w14:paraId="1365E6D7" w14:textId="77777777" w:rsidR="0066156E" w:rsidRPr="00AA03A3" w:rsidRDefault="0066156E" w:rsidP="0066156E">
            <w:pPr>
              <w:spacing w:line="360" w:lineRule="auto"/>
              <w:rPr>
                <w:b/>
                <w:sz w:val="18"/>
                <w:szCs w:val="16"/>
              </w:rPr>
            </w:pPr>
            <w:r w:rsidRPr="00AA03A3">
              <w:rPr>
                <w:b/>
                <w:sz w:val="18"/>
                <w:szCs w:val="16"/>
              </w:rPr>
              <w:t>Agreement</w:t>
            </w:r>
          </w:p>
          <w:p w14:paraId="47558485" w14:textId="7B120987" w:rsidR="0066156E" w:rsidRPr="00AA03A3" w:rsidRDefault="000C4774" w:rsidP="0066156E">
            <w:pPr>
              <w:spacing w:line="360" w:lineRule="auto"/>
              <w:rPr>
                <w:b/>
                <w:sz w:val="18"/>
                <w:szCs w:val="16"/>
              </w:rPr>
            </w:pPr>
            <w:proofErr w:type="spellStart"/>
            <w:r>
              <w:rPr>
                <w:b/>
                <w:sz w:val="18"/>
                <w:szCs w:val="16"/>
              </w:rPr>
              <w:t>b</w:t>
            </w:r>
            <w:r w:rsidR="0066156E" w:rsidRPr="00AA03A3">
              <w:rPr>
                <w:b/>
                <w:sz w:val="18"/>
                <w:szCs w:val="16"/>
              </w:rPr>
              <w:t>SSFP│MRA</w:t>
            </w:r>
            <w:proofErr w:type="spellEnd"/>
          </w:p>
        </w:tc>
      </w:tr>
      <w:tr w:rsidR="0066156E" w:rsidRPr="00AA03A3" w14:paraId="523857F3" w14:textId="77777777" w:rsidTr="0066156E">
        <w:trPr>
          <w:cantSplit/>
        </w:trPr>
        <w:tc>
          <w:tcPr>
            <w:tcW w:w="2017" w:type="dxa"/>
            <w:vAlign w:val="center"/>
          </w:tcPr>
          <w:p w14:paraId="760767E5" w14:textId="77777777" w:rsidR="0066156E" w:rsidRPr="00AA03A3" w:rsidRDefault="0066156E" w:rsidP="0066156E">
            <w:pPr>
              <w:spacing w:line="360" w:lineRule="auto"/>
              <w:rPr>
                <w:b/>
                <w:sz w:val="18"/>
                <w:szCs w:val="16"/>
              </w:rPr>
            </w:pPr>
            <w:r w:rsidRPr="00AA03A3">
              <w:rPr>
                <w:b/>
                <w:sz w:val="18"/>
                <w:szCs w:val="16"/>
              </w:rPr>
              <w:t>Ability to Visualize Pulmonary Veins</w:t>
            </w:r>
          </w:p>
        </w:tc>
        <w:tc>
          <w:tcPr>
            <w:tcW w:w="1233" w:type="dxa"/>
            <w:vAlign w:val="center"/>
          </w:tcPr>
          <w:p w14:paraId="1529C11E" w14:textId="77777777" w:rsidR="0066156E" w:rsidRPr="00AA03A3" w:rsidRDefault="0066156E" w:rsidP="0066156E">
            <w:pPr>
              <w:spacing w:line="360" w:lineRule="auto"/>
              <w:rPr>
                <w:sz w:val="16"/>
                <w:szCs w:val="16"/>
              </w:rPr>
            </w:pPr>
            <w:r w:rsidRPr="00AA03A3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</w:t>
            </w:r>
            <w:r w:rsidRPr="00AA03A3">
              <w:rPr>
                <w:sz w:val="16"/>
                <w:szCs w:val="16"/>
              </w:rPr>
              <w:t>(91.7%)</w:t>
            </w:r>
          </w:p>
        </w:tc>
        <w:tc>
          <w:tcPr>
            <w:tcW w:w="1312" w:type="dxa"/>
            <w:vAlign w:val="center"/>
          </w:tcPr>
          <w:p w14:paraId="7DE2585D" w14:textId="77777777" w:rsidR="0066156E" w:rsidRPr="00AA03A3" w:rsidRDefault="0066156E" w:rsidP="0066156E">
            <w:pPr>
              <w:spacing w:line="360" w:lineRule="auto"/>
              <w:rPr>
                <w:sz w:val="16"/>
                <w:szCs w:val="16"/>
              </w:rPr>
            </w:pPr>
            <w:r w:rsidRPr="00AA03A3">
              <w:rPr>
                <w:sz w:val="16"/>
                <w:szCs w:val="16"/>
              </w:rPr>
              <w:t>18 (75%)</w:t>
            </w:r>
          </w:p>
        </w:tc>
        <w:tc>
          <w:tcPr>
            <w:tcW w:w="1274" w:type="dxa"/>
            <w:vAlign w:val="center"/>
          </w:tcPr>
          <w:p w14:paraId="6F64D806" w14:textId="77777777" w:rsidR="0066156E" w:rsidRPr="00AA03A3" w:rsidRDefault="0066156E" w:rsidP="0066156E">
            <w:pPr>
              <w:spacing w:line="360" w:lineRule="auto"/>
              <w:rPr>
                <w:sz w:val="16"/>
                <w:szCs w:val="16"/>
              </w:rPr>
            </w:pPr>
            <w:r w:rsidRPr="00AA03A3">
              <w:rPr>
                <w:sz w:val="16"/>
                <w:szCs w:val="16"/>
              </w:rPr>
              <w:t>23 (95.8%)</w:t>
            </w:r>
          </w:p>
        </w:tc>
        <w:tc>
          <w:tcPr>
            <w:tcW w:w="1534" w:type="dxa"/>
            <w:vAlign w:val="center"/>
          </w:tcPr>
          <w:p w14:paraId="0AC06248" w14:textId="77777777" w:rsidR="0066156E" w:rsidRPr="00AA03A3" w:rsidRDefault="0066156E" w:rsidP="0066156E">
            <w:pPr>
              <w:spacing w:line="360" w:lineRule="auto"/>
              <w:rPr>
                <w:sz w:val="16"/>
                <w:szCs w:val="16"/>
              </w:rPr>
            </w:pPr>
            <w:r w:rsidRPr="00AA03A3">
              <w:rPr>
                <w:sz w:val="16"/>
                <w:szCs w:val="16"/>
              </w:rPr>
              <w:t>20 (83.3%)</w:t>
            </w:r>
          </w:p>
        </w:tc>
        <w:tc>
          <w:tcPr>
            <w:tcW w:w="1544" w:type="dxa"/>
            <w:vAlign w:val="center"/>
          </w:tcPr>
          <w:p w14:paraId="118720A0" w14:textId="77777777" w:rsidR="0066156E" w:rsidRPr="00AA03A3" w:rsidRDefault="0066156E" w:rsidP="0066156E">
            <w:pPr>
              <w:spacing w:line="360" w:lineRule="auto"/>
              <w:rPr>
                <w:sz w:val="16"/>
                <w:szCs w:val="16"/>
              </w:rPr>
            </w:pPr>
            <w:r w:rsidRPr="00AA03A3">
              <w:rPr>
                <w:sz w:val="16"/>
                <w:szCs w:val="16"/>
              </w:rPr>
              <w:t>21 (87.5%)</w:t>
            </w:r>
          </w:p>
        </w:tc>
        <w:tc>
          <w:tcPr>
            <w:tcW w:w="1431" w:type="dxa"/>
            <w:vAlign w:val="center"/>
          </w:tcPr>
          <w:p w14:paraId="07FB6402" w14:textId="77777777" w:rsidR="0066156E" w:rsidRPr="00AA03A3" w:rsidRDefault="0066156E" w:rsidP="0066156E">
            <w:pPr>
              <w:spacing w:line="360" w:lineRule="auto"/>
              <w:rPr>
                <w:sz w:val="16"/>
                <w:szCs w:val="16"/>
              </w:rPr>
            </w:pPr>
            <w:r w:rsidRPr="00AA03A3">
              <w:rPr>
                <w:sz w:val="16"/>
                <w:szCs w:val="16"/>
              </w:rPr>
              <w:t>21 (87.5%)</w:t>
            </w:r>
          </w:p>
        </w:tc>
      </w:tr>
      <w:tr w:rsidR="0066156E" w:rsidRPr="00AA03A3" w14:paraId="0208CB3A" w14:textId="77777777" w:rsidTr="0066156E">
        <w:trPr>
          <w:cantSplit/>
        </w:trPr>
        <w:tc>
          <w:tcPr>
            <w:tcW w:w="2017" w:type="dxa"/>
            <w:vAlign w:val="center"/>
          </w:tcPr>
          <w:p w14:paraId="5692DA18" w14:textId="77777777" w:rsidR="0066156E" w:rsidRPr="00AA03A3" w:rsidRDefault="0066156E" w:rsidP="0066156E">
            <w:pPr>
              <w:spacing w:line="360" w:lineRule="auto"/>
              <w:rPr>
                <w:b/>
                <w:sz w:val="18"/>
                <w:szCs w:val="16"/>
              </w:rPr>
            </w:pPr>
            <w:r w:rsidRPr="00AA03A3">
              <w:rPr>
                <w:b/>
                <w:sz w:val="18"/>
                <w:szCs w:val="16"/>
              </w:rPr>
              <w:t>Ability to Visualize Neck Veins</w:t>
            </w:r>
          </w:p>
        </w:tc>
        <w:tc>
          <w:tcPr>
            <w:tcW w:w="1233" w:type="dxa"/>
            <w:vAlign w:val="center"/>
          </w:tcPr>
          <w:p w14:paraId="5AC5BC3C" w14:textId="77777777" w:rsidR="0066156E" w:rsidRPr="00AA03A3" w:rsidRDefault="0066156E" w:rsidP="0066156E">
            <w:pPr>
              <w:spacing w:line="360" w:lineRule="auto"/>
              <w:rPr>
                <w:sz w:val="16"/>
                <w:szCs w:val="16"/>
              </w:rPr>
            </w:pPr>
            <w:r w:rsidRPr="00AA03A3">
              <w:rPr>
                <w:sz w:val="16"/>
                <w:szCs w:val="16"/>
              </w:rPr>
              <w:t>22 (91.7%)</w:t>
            </w:r>
          </w:p>
        </w:tc>
        <w:tc>
          <w:tcPr>
            <w:tcW w:w="1312" w:type="dxa"/>
            <w:vAlign w:val="center"/>
          </w:tcPr>
          <w:p w14:paraId="6ED32AC0" w14:textId="77777777" w:rsidR="0066156E" w:rsidRPr="00AA03A3" w:rsidRDefault="0066156E" w:rsidP="0066156E">
            <w:pPr>
              <w:spacing w:line="360" w:lineRule="auto"/>
              <w:rPr>
                <w:sz w:val="16"/>
                <w:szCs w:val="16"/>
              </w:rPr>
            </w:pPr>
            <w:r w:rsidRPr="00AA03A3">
              <w:rPr>
                <w:sz w:val="16"/>
                <w:szCs w:val="16"/>
              </w:rPr>
              <w:t>20 (83.3%)</w:t>
            </w:r>
          </w:p>
        </w:tc>
        <w:tc>
          <w:tcPr>
            <w:tcW w:w="1274" w:type="dxa"/>
            <w:vAlign w:val="center"/>
          </w:tcPr>
          <w:p w14:paraId="361C099A" w14:textId="77777777" w:rsidR="0066156E" w:rsidRPr="00AA03A3" w:rsidRDefault="0066156E" w:rsidP="0066156E">
            <w:pPr>
              <w:spacing w:line="360" w:lineRule="auto"/>
              <w:rPr>
                <w:sz w:val="16"/>
                <w:szCs w:val="16"/>
              </w:rPr>
            </w:pPr>
            <w:r w:rsidRPr="00AA03A3">
              <w:rPr>
                <w:sz w:val="16"/>
                <w:szCs w:val="16"/>
              </w:rPr>
              <w:t>23 (95.8%)</w:t>
            </w:r>
          </w:p>
        </w:tc>
        <w:tc>
          <w:tcPr>
            <w:tcW w:w="1534" w:type="dxa"/>
            <w:vAlign w:val="center"/>
          </w:tcPr>
          <w:p w14:paraId="6CA92A8A" w14:textId="77777777" w:rsidR="0066156E" w:rsidRPr="00AA03A3" w:rsidRDefault="0066156E" w:rsidP="0066156E">
            <w:pPr>
              <w:spacing w:line="360" w:lineRule="auto"/>
              <w:rPr>
                <w:sz w:val="16"/>
                <w:szCs w:val="16"/>
              </w:rPr>
            </w:pPr>
            <w:r w:rsidRPr="00AA03A3">
              <w:rPr>
                <w:sz w:val="16"/>
                <w:szCs w:val="16"/>
              </w:rPr>
              <w:t>18 (75%)</w:t>
            </w:r>
          </w:p>
        </w:tc>
        <w:tc>
          <w:tcPr>
            <w:tcW w:w="1544" w:type="dxa"/>
            <w:vAlign w:val="center"/>
          </w:tcPr>
          <w:p w14:paraId="30D1E8EB" w14:textId="77777777" w:rsidR="0066156E" w:rsidRPr="00AA03A3" w:rsidRDefault="0066156E" w:rsidP="0066156E">
            <w:pPr>
              <w:spacing w:line="360" w:lineRule="auto"/>
              <w:rPr>
                <w:sz w:val="16"/>
                <w:szCs w:val="16"/>
              </w:rPr>
            </w:pPr>
            <w:r w:rsidRPr="00AA03A3">
              <w:rPr>
                <w:sz w:val="16"/>
                <w:szCs w:val="16"/>
              </w:rPr>
              <w:t>21 (87.5%)</w:t>
            </w:r>
          </w:p>
        </w:tc>
        <w:tc>
          <w:tcPr>
            <w:tcW w:w="1431" w:type="dxa"/>
            <w:vAlign w:val="center"/>
          </w:tcPr>
          <w:p w14:paraId="7FE151B7" w14:textId="77777777" w:rsidR="0066156E" w:rsidRPr="00AA03A3" w:rsidRDefault="0066156E" w:rsidP="0066156E">
            <w:pPr>
              <w:spacing w:line="360" w:lineRule="auto"/>
              <w:rPr>
                <w:sz w:val="16"/>
                <w:szCs w:val="16"/>
              </w:rPr>
            </w:pPr>
            <w:r w:rsidRPr="00AA03A3">
              <w:rPr>
                <w:sz w:val="16"/>
                <w:szCs w:val="16"/>
              </w:rPr>
              <w:t>19 (79.2%)</w:t>
            </w:r>
          </w:p>
        </w:tc>
      </w:tr>
      <w:tr w:rsidR="0066156E" w:rsidRPr="00AA03A3" w14:paraId="16D6AAA1" w14:textId="77777777" w:rsidTr="0066156E">
        <w:trPr>
          <w:cantSplit/>
        </w:trPr>
        <w:tc>
          <w:tcPr>
            <w:tcW w:w="2017" w:type="dxa"/>
            <w:vAlign w:val="center"/>
          </w:tcPr>
          <w:p w14:paraId="2669195C" w14:textId="77777777" w:rsidR="0066156E" w:rsidRPr="00AA03A3" w:rsidRDefault="0066156E" w:rsidP="0066156E">
            <w:pPr>
              <w:spacing w:line="360" w:lineRule="auto"/>
              <w:rPr>
                <w:b/>
                <w:sz w:val="18"/>
                <w:szCs w:val="16"/>
              </w:rPr>
            </w:pPr>
            <w:r w:rsidRPr="00AA03A3">
              <w:rPr>
                <w:b/>
                <w:sz w:val="18"/>
                <w:szCs w:val="16"/>
              </w:rPr>
              <w:t xml:space="preserve">Artifact Preventing Vascular Measurement </w:t>
            </w:r>
          </w:p>
        </w:tc>
        <w:tc>
          <w:tcPr>
            <w:tcW w:w="1233" w:type="dxa"/>
            <w:vAlign w:val="center"/>
          </w:tcPr>
          <w:p w14:paraId="28FE9520" w14:textId="77777777" w:rsidR="0066156E" w:rsidRPr="00AA03A3" w:rsidRDefault="0066156E" w:rsidP="0066156E">
            <w:pPr>
              <w:spacing w:line="360" w:lineRule="auto"/>
              <w:rPr>
                <w:sz w:val="16"/>
                <w:szCs w:val="16"/>
              </w:rPr>
            </w:pPr>
            <w:r w:rsidRPr="00AA03A3">
              <w:rPr>
                <w:sz w:val="16"/>
                <w:szCs w:val="16"/>
              </w:rPr>
              <w:t>6 (</w:t>
            </w:r>
            <w:r>
              <w:rPr>
                <w:sz w:val="16"/>
                <w:szCs w:val="16"/>
              </w:rPr>
              <w:t>3</w:t>
            </w:r>
            <w:r w:rsidRPr="00AA03A3">
              <w:rPr>
                <w:sz w:val="16"/>
                <w:szCs w:val="16"/>
              </w:rPr>
              <w:t>%)</w:t>
            </w:r>
          </w:p>
        </w:tc>
        <w:tc>
          <w:tcPr>
            <w:tcW w:w="1312" w:type="dxa"/>
            <w:vAlign w:val="center"/>
          </w:tcPr>
          <w:p w14:paraId="49ABA7AB" w14:textId="164DF070" w:rsidR="0066156E" w:rsidRPr="00AA03A3" w:rsidRDefault="0066156E" w:rsidP="0066156E">
            <w:pPr>
              <w:spacing w:line="360" w:lineRule="auto"/>
              <w:rPr>
                <w:sz w:val="16"/>
                <w:szCs w:val="16"/>
              </w:rPr>
            </w:pPr>
            <w:r w:rsidRPr="00AA03A3">
              <w:rPr>
                <w:sz w:val="16"/>
                <w:szCs w:val="16"/>
              </w:rPr>
              <w:t>4 (</w:t>
            </w:r>
            <w:r>
              <w:rPr>
                <w:sz w:val="16"/>
                <w:szCs w:val="16"/>
              </w:rPr>
              <w:t>2</w:t>
            </w:r>
            <w:r w:rsidR="002107D1">
              <w:rPr>
                <w:sz w:val="16"/>
                <w:szCs w:val="16"/>
              </w:rPr>
              <w:t>%</w:t>
            </w:r>
            <w:r w:rsidRPr="00AA03A3">
              <w:rPr>
                <w:sz w:val="16"/>
                <w:szCs w:val="16"/>
              </w:rPr>
              <w:t>)</w:t>
            </w:r>
          </w:p>
        </w:tc>
        <w:tc>
          <w:tcPr>
            <w:tcW w:w="1274" w:type="dxa"/>
            <w:vAlign w:val="center"/>
          </w:tcPr>
          <w:p w14:paraId="594C2A0E" w14:textId="77777777" w:rsidR="0066156E" w:rsidRPr="00AA03A3" w:rsidRDefault="0066156E" w:rsidP="0066156E">
            <w:pPr>
              <w:spacing w:line="360" w:lineRule="auto"/>
              <w:rPr>
                <w:sz w:val="16"/>
                <w:szCs w:val="16"/>
              </w:rPr>
            </w:pPr>
            <w:r w:rsidRPr="00AA03A3">
              <w:rPr>
                <w:sz w:val="16"/>
                <w:szCs w:val="16"/>
              </w:rPr>
              <w:t>6 (</w:t>
            </w:r>
            <w:r>
              <w:rPr>
                <w:sz w:val="16"/>
                <w:szCs w:val="16"/>
              </w:rPr>
              <w:t>3</w:t>
            </w:r>
            <w:r w:rsidRPr="00AA03A3">
              <w:rPr>
                <w:sz w:val="16"/>
                <w:szCs w:val="16"/>
              </w:rPr>
              <w:t>%)</w:t>
            </w:r>
          </w:p>
        </w:tc>
        <w:tc>
          <w:tcPr>
            <w:tcW w:w="1534" w:type="dxa"/>
            <w:vAlign w:val="center"/>
          </w:tcPr>
          <w:p w14:paraId="59F63A3E" w14:textId="77777777" w:rsidR="0066156E" w:rsidRPr="00AA03A3" w:rsidRDefault="0066156E" w:rsidP="0066156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  <w:r w:rsidRPr="00AA03A3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97.9</w:t>
            </w:r>
            <w:r w:rsidRPr="00AA03A3">
              <w:rPr>
                <w:sz w:val="16"/>
                <w:szCs w:val="16"/>
              </w:rPr>
              <w:t>%)</w:t>
            </w:r>
          </w:p>
        </w:tc>
        <w:tc>
          <w:tcPr>
            <w:tcW w:w="1544" w:type="dxa"/>
            <w:vAlign w:val="center"/>
          </w:tcPr>
          <w:p w14:paraId="56255096" w14:textId="77777777" w:rsidR="0066156E" w:rsidRPr="00AA03A3" w:rsidRDefault="0066156E" w:rsidP="0066156E">
            <w:pPr>
              <w:spacing w:line="360" w:lineRule="auto"/>
              <w:rPr>
                <w:sz w:val="16"/>
                <w:szCs w:val="16"/>
              </w:rPr>
            </w:pPr>
            <w:r w:rsidRPr="00AA03A3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4</w:t>
            </w:r>
            <w:r w:rsidRPr="00AA03A3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96.8</w:t>
            </w:r>
            <w:r w:rsidRPr="00AA03A3">
              <w:rPr>
                <w:sz w:val="16"/>
                <w:szCs w:val="16"/>
              </w:rPr>
              <w:t>%)</w:t>
            </w:r>
          </w:p>
        </w:tc>
        <w:tc>
          <w:tcPr>
            <w:tcW w:w="1431" w:type="dxa"/>
            <w:vAlign w:val="center"/>
          </w:tcPr>
          <w:p w14:paraId="70917231" w14:textId="77777777" w:rsidR="0066156E" w:rsidRPr="00AA03A3" w:rsidRDefault="0066156E" w:rsidP="0066156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  <w:r w:rsidRPr="00AA03A3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97.9</w:t>
            </w:r>
            <w:r w:rsidRPr="00AA03A3">
              <w:rPr>
                <w:sz w:val="16"/>
                <w:szCs w:val="16"/>
              </w:rPr>
              <w:t>%)</w:t>
            </w:r>
          </w:p>
        </w:tc>
      </w:tr>
      <w:tr w:rsidR="0066156E" w:rsidRPr="00AA03A3" w14:paraId="6C07783F" w14:textId="77777777" w:rsidTr="0066156E">
        <w:trPr>
          <w:cantSplit/>
        </w:trPr>
        <w:tc>
          <w:tcPr>
            <w:tcW w:w="10345" w:type="dxa"/>
            <w:gridSpan w:val="7"/>
            <w:vAlign w:val="center"/>
          </w:tcPr>
          <w:p w14:paraId="445C9A76" w14:textId="15C295DA" w:rsidR="0066156E" w:rsidRDefault="0066156E" w:rsidP="0066156E">
            <w:pPr>
              <w:spacing w:line="360" w:lineRule="auto"/>
              <w:rPr>
                <w:sz w:val="16"/>
                <w:szCs w:val="16"/>
              </w:rPr>
            </w:pPr>
            <w:r w:rsidRPr="00AA03A3">
              <w:rPr>
                <w:sz w:val="16"/>
                <w:szCs w:val="16"/>
              </w:rPr>
              <w:t xml:space="preserve">Abbreviations: </w:t>
            </w:r>
            <w:proofErr w:type="spellStart"/>
            <w:r>
              <w:rPr>
                <w:sz w:val="16"/>
                <w:szCs w:val="16"/>
              </w:rPr>
              <w:t>mDixon</w:t>
            </w:r>
            <w:proofErr w:type="spellEnd"/>
            <w:r>
              <w:rPr>
                <w:sz w:val="16"/>
                <w:szCs w:val="16"/>
              </w:rPr>
              <w:t>: m</w:t>
            </w:r>
            <w:r w:rsidR="003B5B30">
              <w:rPr>
                <w:sz w:val="16"/>
                <w:szCs w:val="16"/>
              </w:rPr>
              <w:t>odified</w:t>
            </w:r>
            <w:r>
              <w:rPr>
                <w:sz w:val="16"/>
                <w:szCs w:val="16"/>
              </w:rPr>
              <w:t xml:space="preserve">-Dixon; </w:t>
            </w:r>
            <w:proofErr w:type="spellStart"/>
            <w:r w:rsidR="000C4774">
              <w:rPr>
                <w:sz w:val="16"/>
                <w:szCs w:val="16"/>
              </w:rPr>
              <w:t>b</w:t>
            </w:r>
            <w:r w:rsidRPr="00AA03A3">
              <w:rPr>
                <w:sz w:val="16"/>
                <w:szCs w:val="16"/>
              </w:rPr>
              <w:t>SSF</w:t>
            </w:r>
            <w:r>
              <w:rPr>
                <w:sz w:val="16"/>
                <w:szCs w:val="16"/>
              </w:rPr>
              <w:t>P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="003B5B30">
              <w:rPr>
                <w:sz w:val="16"/>
                <w:szCs w:val="16"/>
              </w:rPr>
              <w:t xml:space="preserve">balanced </w:t>
            </w:r>
            <w:bookmarkStart w:id="0" w:name="_GoBack"/>
            <w:bookmarkEnd w:id="0"/>
            <w:r>
              <w:rPr>
                <w:sz w:val="16"/>
                <w:szCs w:val="16"/>
              </w:rPr>
              <w:t>S</w:t>
            </w:r>
            <w:r w:rsidRPr="00AA03A3">
              <w:rPr>
                <w:sz w:val="16"/>
                <w:szCs w:val="16"/>
              </w:rPr>
              <w:t xml:space="preserve">teady </w:t>
            </w:r>
            <w:r>
              <w:rPr>
                <w:sz w:val="16"/>
                <w:szCs w:val="16"/>
              </w:rPr>
              <w:t>S</w:t>
            </w:r>
            <w:r w:rsidRPr="00AA03A3">
              <w:rPr>
                <w:sz w:val="16"/>
                <w:szCs w:val="16"/>
              </w:rPr>
              <w:t xml:space="preserve">tate </w:t>
            </w:r>
            <w:r>
              <w:rPr>
                <w:sz w:val="16"/>
                <w:szCs w:val="16"/>
              </w:rPr>
              <w:t>F</w:t>
            </w:r>
            <w:r w:rsidRPr="00AA03A3">
              <w:rPr>
                <w:sz w:val="16"/>
                <w:szCs w:val="16"/>
              </w:rPr>
              <w:t xml:space="preserve">ree </w:t>
            </w:r>
            <w:r>
              <w:rPr>
                <w:sz w:val="16"/>
                <w:szCs w:val="16"/>
              </w:rPr>
              <w:t>P</w:t>
            </w:r>
            <w:r w:rsidRPr="00AA03A3">
              <w:rPr>
                <w:sz w:val="16"/>
                <w:szCs w:val="16"/>
              </w:rPr>
              <w:t>recision; CE-MRA</w:t>
            </w:r>
            <w:r>
              <w:rPr>
                <w:sz w:val="16"/>
                <w:szCs w:val="16"/>
              </w:rPr>
              <w:t>: Contrast-Enhanced MRA</w:t>
            </w:r>
            <w:r w:rsidRPr="00AA03A3">
              <w:rPr>
                <w:sz w:val="16"/>
                <w:szCs w:val="16"/>
              </w:rPr>
              <w:t xml:space="preserve"> </w:t>
            </w:r>
          </w:p>
          <w:p w14:paraId="2F9E6EA5" w14:textId="420DDD22" w:rsidR="0066156E" w:rsidRPr="008366F4" w:rsidRDefault="0066156E" w:rsidP="0066156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represents the number of cases out of the total number of cases (N=24) that pulmonary veins or neck veins were visualized, or the number of vascular measurements not performed due to artifact out of the total number of measurements (N=192).  </w:t>
            </w:r>
          </w:p>
        </w:tc>
      </w:tr>
    </w:tbl>
    <w:p w14:paraId="4A1B4E11" w14:textId="77777777" w:rsidR="00B93BCA" w:rsidRDefault="00B93BCA"/>
    <w:sectPr w:rsidR="00B9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6E"/>
    <w:rsid w:val="000C4774"/>
    <w:rsid w:val="002107D1"/>
    <w:rsid w:val="003B5B30"/>
    <w:rsid w:val="0066156E"/>
    <w:rsid w:val="00B93BCA"/>
    <w:rsid w:val="00D1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C4A2"/>
  <w15:chartTrackingRefBased/>
  <w15:docId w15:val="{83068FC8-60CD-449D-949E-51F4B454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66156E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6156E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Kourtidou, Soultana (Tania)</dc:creator>
  <cp:keywords/>
  <dc:description/>
  <cp:lastModifiedBy>Soultana Kourtidou</cp:lastModifiedBy>
  <cp:revision>5</cp:revision>
  <dcterms:created xsi:type="dcterms:W3CDTF">2018-06-24T19:07:00Z</dcterms:created>
  <dcterms:modified xsi:type="dcterms:W3CDTF">2019-06-22T13:48:00Z</dcterms:modified>
</cp:coreProperties>
</file>