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5706D" w14:textId="4CF81244" w:rsidR="0013628E" w:rsidRPr="00D93D2D" w:rsidRDefault="00644E09" w:rsidP="00060BF2">
      <w:pPr>
        <w:pStyle w:val="Title"/>
        <w:tabs>
          <w:tab w:val="left" w:pos="2430"/>
        </w:tabs>
        <w:jc w:val="both"/>
        <w:rPr>
          <w:rFonts w:asciiTheme="minorHAnsi" w:hAnsiTheme="minorHAnsi" w:cstheme="minorHAnsi"/>
        </w:rPr>
      </w:pPr>
      <w:r>
        <w:rPr>
          <w:rFonts w:asciiTheme="minorHAnsi" w:hAnsiTheme="minorHAnsi" w:cstheme="minorHAnsi"/>
        </w:rPr>
        <w:t>Additional File 1</w:t>
      </w:r>
    </w:p>
    <w:p w14:paraId="1C7E8D0D" w14:textId="3C4F3BDF" w:rsidR="00DD45C9" w:rsidRDefault="00DD45C9" w:rsidP="00DD45C9">
      <w:pPr>
        <w:rPr>
          <w:rFonts w:cstheme="minorHAnsi"/>
        </w:rPr>
      </w:pPr>
    </w:p>
    <w:p w14:paraId="46B8BB7E" w14:textId="3F4143CF" w:rsidR="00EB0541" w:rsidRPr="009A35D4" w:rsidRDefault="00EB0541" w:rsidP="00DD45C9">
      <w:pPr>
        <w:rPr>
          <w:rFonts w:cstheme="minorHAnsi"/>
          <w:b/>
          <w:bCs/>
          <w:sz w:val="32"/>
          <w:szCs w:val="32"/>
        </w:rPr>
      </w:pPr>
      <w:r w:rsidRPr="009A35D4">
        <w:rPr>
          <w:rFonts w:cstheme="minorHAnsi"/>
          <w:b/>
          <w:bCs/>
          <w:sz w:val="32"/>
          <w:szCs w:val="32"/>
        </w:rPr>
        <w:t>Supplementary materials to</w:t>
      </w:r>
      <w:r w:rsidR="009A35D4">
        <w:rPr>
          <w:rFonts w:cstheme="minorHAnsi"/>
          <w:b/>
          <w:bCs/>
          <w:sz w:val="32"/>
          <w:szCs w:val="32"/>
        </w:rPr>
        <w:t xml:space="preserve"> manuscript</w:t>
      </w:r>
      <w:r w:rsidRPr="009A35D4">
        <w:rPr>
          <w:rFonts w:cstheme="minorHAnsi"/>
          <w:b/>
          <w:bCs/>
          <w:sz w:val="32"/>
          <w:szCs w:val="32"/>
        </w:rPr>
        <w:t xml:space="preserve">: </w:t>
      </w:r>
    </w:p>
    <w:p w14:paraId="6C5A09E1" w14:textId="4FA253C6" w:rsidR="00DD45C9" w:rsidRPr="009A35D4" w:rsidRDefault="00DD45C9" w:rsidP="00DD45C9">
      <w:pPr>
        <w:jc w:val="both"/>
        <w:rPr>
          <w:rFonts w:cstheme="minorHAnsi"/>
          <w:b/>
          <w:sz w:val="36"/>
          <w:szCs w:val="36"/>
        </w:rPr>
      </w:pPr>
      <w:r w:rsidRPr="009A35D4">
        <w:rPr>
          <w:rFonts w:cstheme="minorHAnsi"/>
          <w:b/>
          <w:sz w:val="32"/>
          <w:szCs w:val="36"/>
        </w:rPr>
        <w:t>Informing decision-making for universal access to quality tuberculosis diagnosis in India: an economic-epidemic model</w:t>
      </w:r>
    </w:p>
    <w:p w14:paraId="5539DE4B" w14:textId="77777777" w:rsidR="00DD45C9" w:rsidRPr="009A35D4" w:rsidRDefault="00DD45C9" w:rsidP="00DD45C9">
      <w:pPr>
        <w:jc w:val="both"/>
        <w:rPr>
          <w:rFonts w:cstheme="minorHAnsi"/>
          <w:bCs/>
          <w:sz w:val="28"/>
          <w:szCs w:val="28"/>
        </w:rPr>
      </w:pPr>
    </w:p>
    <w:p w14:paraId="61F8EA48" w14:textId="38E2FC17" w:rsidR="009A35D4" w:rsidRPr="00CA4BEF" w:rsidRDefault="009A35D4" w:rsidP="009A35D4">
      <w:pPr>
        <w:jc w:val="both"/>
        <w:rPr>
          <w:rFonts w:ascii="Calibri" w:hAnsi="Calibri" w:cs="Calibri"/>
          <w:szCs w:val="28"/>
        </w:rPr>
      </w:pPr>
      <w:r>
        <w:rPr>
          <w:rFonts w:cstheme="minorHAnsi"/>
          <w:szCs w:val="28"/>
        </w:rPr>
        <w:t xml:space="preserve">Authors: </w:t>
      </w:r>
      <w:r w:rsidRPr="00CA4BEF">
        <w:rPr>
          <w:rFonts w:ascii="Calibri" w:hAnsi="Calibri" w:cs="Calibri"/>
          <w:szCs w:val="28"/>
        </w:rPr>
        <w:t xml:space="preserve">Hojoon Sohn, PhD </w:t>
      </w:r>
      <w:r w:rsidRPr="00CA4BEF">
        <w:rPr>
          <w:rFonts w:ascii="Calibri" w:hAnsi="Calibri" w:cs="Calibri"/>
          <w:szCs w:val="28"/>
          <w:vertAlign w:val="superscript"/>
        </w:rPr>
        <w:t>1</w:t>
      </w:r>
      <w:r w:rsidRPr="00CA4BEF">
        <w:rPr>
          <w:rFonts w:ascii="Calibri" w:hAnsi="Calibri" w:cs="Calibri"/>
          <w:szCs w:val="28"/>
        </w:rPr>
        <w:t xml:space="preserve"> Parastu Kasaie, PhD</w:t>
      </w:r>
      <w:r w:rsidRPr="00CA4BEF">
        <w:rPr>
          <w:rFonts w:ascii="Calibri" w:hAnsi="Calibri" w:cs="Calibri"/>
          <w:szCs w:val="28"/>
          <w:vertAlign w:val="superscript"/>
        </w:rPr>
        <w:t>1</w:t>
      </w:r>
      <w:r w:rsidRPr="00CA4BEF">
        <w:rPr>
          <w:rFonts w:ascii="Calibri" w:hAnsi="Calibri" w:cs="Calibri"/>
          <w:szCs w:val="28"/>
        </w:rPr>
        <w:t xml:space="preserve"> Emily Kendall, MD</w:t>
      </w:r>
      <w:r w:rsidRPr="00CA4BEF">
        <w:rPr>
          <w:rFonts w:ascii="Calibri" w:hAnsi="Calibri" w:cs="Calibri"/>
          <w:szCs w:val="28"/>
          <w:vertAlign w:val="superscript"/>
        </w:rPr>
        <w:t>2</w:t>
      </w:r>
      <w:r w:rsidRPr="00CA4BEF">
        <w:rPr>
          <w:rFonts w:ascii="Calibri" w:hAnsi="Calibri" w:cs="Calibri"/>
          <w:szCs w:val="28"/>
        </w:rPr>
        <w:t xml:space="preserve"> Gabriela B Gomez, PhD</w:t>
      </w:r>
      <w:r w:rsidRPr="00CA4BEF">
        <w:rPr>
          <w:rFonts w:ascii="Calibri" w:hAnsi="Calibri" w:cs="Calibri"/>
          <w:szCs w:val="28"/>
          <w:vertAlign w:val="superscript"/>
        </w:rPr>
        <w:t>3</w:t>
      </w:r>
      <w:r w:rsidRPr="00CA4BEF">
        <w:rPr>
          <w:rFonts w:ascii="Calibri" w:hAnsi="Calibri" w:cs="Calibri"/>
          <w:szCs w:val="28"/>
        </w:rPr>
        <w:t xml:space="preserve"> </w:t>
      </w:r>
    </w:p>
    <w:p w14:paraId="2540A64C" w14:textId="6D64373A" w:rsidR="009A35D4" w:rsidRDefault="009A35D4" w:rsidP="009A35D4">
      <w:pPr>
        <w:jc w:val="both"/>
        <w:rPr>
          <w:rFonts w:ascii="Calibri" w:hAnsi="Calibri" w:cs="Calibri"/>
          <w:szCs w:val="28"/>
          <w:vertAlign w:val="superscript"/>
        </w:rPr>
      </w:pPr>
      <w:r w:rsidRPr="00CA4BEF">
        <w:rPr>
          <w:rFonts w:ascii="Calibri" w:hAnsi="Calibri" w:cs="Calibri"/>
          <w:szCs w:val="28"/>
        </w:rPr>
        <w:t>Anna Vassall, PhD</w:t>
      </w:r>
      <w:r w:rsidRPr="00CA4BEF">
        <w:rPr>
          <w:rFonts w:ascii="Calibri" w:hAnsi="Calibri" w:cs="Calibri"/>
          <w:szCs w:val="28"/>
          <w:vertAlign w:val="superscript"/>
        </w:rPr>
        <w:t>3</w:t>
      </w:r>
      <w:r w:rsidRPr="00CA4BEF">
        <w:rPr>
          <w:rFonts w:ascii="Calibri" w:hAnsi="Calibri" w:cs="Calibri"/>
          <w:szCs w:val="28"/>
        </w:rPr>
        <w:t xml:space="preserve"> Madhukar Pai,</w:t>
      </w:r>
      <w:r>
        <w:rPr>
          <w:rFonts w:ascii="Calibri" w:hAnsi="Calibri" w:cs="Calibri"/>
          <w:szCs w:val="28"/>
        </w:rPr>
        <w:t xml:space="preserve"> MD,</w:t>
      </w:r>
      <w:r w:rsidRPr="00CA4BEF">
        <w:rPr>
          <w:rFonts w:ascii="Calibri" w:hAnsi="Calibri" w:cs="Calibri"/>
          <w:szCs w:val="28"/>
        </w:rPr>
        <w:t xml:space="preserve"> PhD</w:t>
      </w:r>
      <w:r w:rsidRPr="00CA4BEF">
        <w:rPr>
          <w:rFonts w:ascii="Calibri" w:hAnsi="Calibri" w:cs="Calibri"/>
          <w:szCs w:val="28"/>
          <w:vertAlign w:val="superscript"/>
        </w:rPr>
        <w:t>4</w:t>
      </w:r>
      <w:r>
        <w:rPr>
          <w:rFonts w:ascii="Calibri" w:hAnsi="Calibri" w:cs="Calibri"/>
          <w:szCs w:val="28"/>
          <w:vertAlign w:val="superscript"/>
        </w:rPr>
        <w:t>,5</w:t>
      </w:r>
      <w:r w:rsidRPr="00CA4BEF">
        <w:rPr>
          <w:rFonts w:ascii="Calibri" w:hAnsi="Calibri" w:cs="Calibri"/>
          <w:szCs w:val="28"/>
        </w:rPr>
        <w:t xml:space="preserve"> David Dowdy, PhD</w:t>
      </w:r>
      <w:r w:rsidRPr="00CA4BEF">
        <w:rPr>
          <w:rFonts w:ascii="Calibri" w:hAnsi="Calibri" w:cs="Calibri"/>
          <w:szCs w:val="28"/>
          <w:vertAlign w:val="superscript"/>
        </w:rPr>
        <w:t>1</w:t>
      </w:r>
    </w:p>
    <w:p w14:paraId="38A78C6E" w14:textId="0EC32238" w:rsidR="009A35D4" w:rsidRDefault="009A35D4" w:rsidP="009A35D4">
      <w:pPr>
        <w:jc w:val="both"/>
        <w:rPr>
          <w:rFonts w:ascii="Calibri" w:hAnsi="Calibri" w:cs="Calibri"/>
          <w:szCs w:val="28"/>
          <w:vertAlign w:val="superscript"/>
        </w:rPr>
      </w:pPr>
    </w:p>
    <w:p w14:paraId="1897F693" w14:textId="77777777" w:rsidR="009A35D4" w:rsidRPr="00CA4BEF" w:rsidRDefault="009A35D4" w:rsidP="009A35D4">
      <w:pPr>
        <w:jc w:val="both"/>
        <w:rPr>
          <w:rFonts w:ascii="Calibri" w:hAnsi="Calibri" w:cs="Calibri"/>
          <w:b/>
        </w:rPr>
      </w:pPr>
      <w:r w:rsidRPr="00CA4BEF">
        <w:rPr>
          <w:rFonts w:ascii="Calibri" w:hAnsi="Calibri" w:cs="Calibri"/>
          <w:b/>
        </w:rPr>
        <w:t>Author affiliations:</w:t>
      </w:r>
    </w:p>
    <w:p w14:paraId="18DB3282" w14:textId="77777777" w:rsidR="009A35D4" w:rsidRPr="00CA4BEF" w:rsidRDefault="009A35D4" w:rsidP="009A35D4">
      <w:pPr>
        <w:spacing w:line="240" w:lineRule="auto"/>
        <w:jc w:val="both"/>
        <w:rPr>
          <w:rFonts w:ascii="Calibri" w:hAnsi="Calibri" w:cs="Calibri"/>
        </w:rPr>
      </w:pPr>
      <w:r w:rsidRPr="00CA4BEF">
        <w:rPr>
          <w:rFonts w:ascii="Calibri" w:hAnsi="Calibri" w:cs="Calibri"/>
          <w:vertAlign w:val="superscript"/>
        </w:rPr>
        <w:t xml:space="preserve">1 </w:t>
      </w:r>
      <w:r w:rsidRPr="00CA4BEF">
        <w:rPr>
          <w:rFonts w:ascii="Calibri" w:hAnsi="Calibri" w:cs="Calibri"/>
        </w:rPr>
        <w:t>Department of Epidemiology, Johns Hopkins Bloomberg School of Public Health, Baltimore, MD 21205, USA</w:t>
      </w:r>
    </w:p>
    <w:p w14:paraId="2C2D552F" w14:textId="77777777" w:rsidR="009A35D4" w:rsidRPr="00CA4BEF" w:rsidRDefault="009A35D4" w:rsidP="009A35D4">
      <w:pPr>
        <w:spacing w:line="240" w:lineRule="auto"/>
        <w:jc w:val="both"/>
        <w:rPr>
          <w:rFonts w:ascii="Calibri" w:hAnsi="Calibri" w:cs="Calibri"/>
        </w:rPr>
      </w:pPr>
      <w:r w:rsidRPr="00CA4BEF">
        <w:rPr>
          <w:rFonts w:ascii="Calibri" w:hAnsi="Calibri" w:cs="Calibri"/>
          <w:vertAlign w:val="superscript"/>
        </w:rPr>
        <w:t xml:space="preserve">2 </w:t>
      </w:r>
      <w:r w:rsidRPr="00CA4BEF">
        <w:rPr>
          <w:rFonts w:ascii="Calibri" w:hAnsi="Calibri" w:cs="Calibri"/>
        </w:rPr>
        <w:t>Division of Infectious Disease, Johns Hopkins University School of Medicine, Baltimore, MD 21205, USA</w:t>
      </w:r>
    </w:p>
    <w:p w14:paraId="6229A924" w14:textId="77777777" w:rsidR="009A35D4" w:rsidRPr="00CA4BEF" w:rsidRDefault="009A35D4" w:rsidP="009A35D4">
      <w:pPr>
        <w:spacing w:line="240" w:lineRule="auto"/>
        <w:jc w:val="both"/>
        <w:rPr>
          <w:rFonts w:ascii="Calibri" w:hAnsi="Calibri" w:cs="Calibri"/>
        </w:rPr>
      </w:pPr>
      <w:r w:rsidRPr="00CA4BEF">
        <w:rPr>
          <w:rFonts w:ascii="Calibri" w:hAnsi="Calibri" w:cs="Calibri"/>
          <w:vertAlign w:val="superscript"/>
        </w:rPr>
        <w:t>3</w:t>
      </w:r>
      <w:r w:rsidRPr="00CA4BEF">
        <w:rPr>
          <w:rFonts w:ascii="Calibri" w:hAnsi="Calibri" w:cs="Calibri"/>
        </w:rPr>
        <w:t xml:space="preserve"> Department of Global Health and Development, London School of Hygiene and Tropical Medicine, London WC1E 7HT, UK</w:t>
      </w:r>
    </w:p>
    <w:p w14:paraId="734AA557" w14:textId="77777777" w:rsidR="009A35D4" w:rsidRDefault="009A35D4" w:rsidP="009A35D4">
      <w:pPr>
        <w:spacing w:line="240" w:lineRule="auto"/>
        <w:jc w:val="both"/>
        <w:rPr>
          <w:rFonts w:ascii="Calibri" w:hAnsi="Calibri" w:cs="Calibri"/>
        </w:rPr>
      </w:pPr>
      <w:r w:rsidRPr="00CA4BEF">
        <w:rPr>
          <w:rFonts w:ascii="Calibri" w:hAnsi="Calibri" w:cs="Calibri"/>
          <w:vertAlign w:val="superscript"/>
        </w:rPr>
        <w:t>4</w:t>
      </w:r>
      <w:r w:rsidRPr="00CA4BEF">
        <w:rPr>
          <w:rFonts w:ascii="Calibri" w:hAnsi="Calibri" w:cs="Calibri"/>
        </w:rPr>
        <w:t xml:space="preserve"> Department of Epidemiology &amp; Biostatistics</w:t>
      </w:r>
      <w:r>
        <w:rPr>
          <w:rFonts w:ascii="Calibri" w:hAnsi="Calibri" w:cs="Calibri"/>
        </w:rPr>
        <w:t xml:space="preserve"> &amp; McGill International TB Centre</w:t>
      </w:r>
      <w:r w:rsidRPr="00CA4BEF">
        <w:rPr>
          <w:rFonts w:ascii="Calibri" w:hAnsi="Calibri" w:cs="Calibri"/>
        </w:rPr>
        <w:t>, McGill University, Montreal, QC H3A 1A2, Canada</w:t>
      </w:r>
    </w:p>
    <w:p w14:paraId="11B5DD97" w14:textId="00EE1565" w:rsidR="009A35D4" w:rsidRDefault="009A35D4" w:rsidP="009A35D4">
      <w:pPr>
        <w:spacing w:line="240" w:lineRule="auto"/>
        <w:jc w:val="both"/>
        <w:rPr>
          <w:rFonts w:ascii="Calibri" w:hAnsi="Calibri" w:cs="Calibri"/>
        </w:rPr>
      </w:pPr>
      <w:r>
        <w:rPr>
          <w:rFonts w:ascii="Calibri" w:hAnsi="Calibri" w:cs="Calibri"/>
          <w:vertAlign w:val="superscript"/>
        </w:rPr>
        <w:t xml:space="preserve">5 </w:t>
      </w:r>
      <w:r>
        <w:rPr>
          <w:rFonts w:ascii="Calibri" w:hAnsi="Calibri" w:cs="Calibri"/>
        </w:rPr>
        <w:t>Manipal McGill Centre for Infectious Diseases, Manipal Academy of Higher Education, Manipal, India</w:t>
      </w:r>
    </w:p>
    <w:p w14:paraId="48B78734" w14:textId="77777777" w:rsidR="009A35D4" w:rsidRDefault="009A35D4">
      <w:pPr>
        <w:rPr>
          <w:rFonts w:ascii="Calibri" w:hAnsi="Calibri" w:cs="Calibri"/>
        </w:rPr>
      </w:pPr>
      <w:r>
        <w:rPr>
          <w:rFonts w:ascii="Calibri" w:hAnsi="Calibri" w:cs="Calibri"/>
        </w:rPr>
        <w:br w:type="page"/>
      </w:r>
    </w:p>
    <w:sdt>
      <w:sdtPr>
        <w:id w:val="-939291335"/>
        <w:docPartObj>
          <w:docPartGallery w:val="Table of Contents"/>
          <w:docPartUnique/>
        </w:docPartObj>
      </w:sdtPr>
      <w:sdtEndPr>
        <w:rPr>
          <w:rFonts w:asciiTheme="minorHAnsi" w:eastAsiaTheme="minorEastAsia" w:hAnsiTheme="minorHAnsi" w:cstheme="minorBidi"/>
          <w:b/>
          <w:bCs/>
          <w:noProof/>
          <w:color w:val="auto"/>
          <w:sz w:val="22"/>
          <w:szCs w:val="22"/>
          <w:lang w:eastAsia="ko-KR"/>
        </w:rPr>
      </w:sdtEndPr>
      <w:sdtContent>
        <w:p w14:paraId="12C601A0" w14:textId="0D612CD9" w:rsidR="009A35D4" w:rsidRDefault="009A35D4">
          <w:pPr>
            <w:pStyle w:val="TOCHeading"/>
          </w:pPr>
          <w:r>
            <w:t>Contents</w:t>
          </w:r>
        </w:p>
        <w:p w14:paraId="256812AC" w14:textId="2AA3B256" w:rsidR="00066DF3" w:rsidRPr="00066DF3" w:rsidRDefault="009A35D4">
          <w:pPr>
            <w:pStyle w:val="TOC1"/>
            <w:tabs>
              <w:tab w:val="left" w:pos="440"/>
              <w:tab w:val="right" w:leader="dot" w:pos="9350"/>
            </w:tabs>
            <w:rPr>
              <w:noProof/>
            </w:rPr>
          </w:pPr>
          <w:r w:rsidRPr="00066DF3">
            <w:fldChar w:fldCharType="begin"/>
          </w:r>
          <w:r w:rsidRPr="00066DF3">
            <w:instrText xml:space="preserve"> TOC \o "1-3" \h \z \u </w:instrText>
          </w:r>
          <w:r w:rsidRPr="00066DF3">
            <w:fldChar w:fldCharType="separate"/>
          </w:r>
          <w:hyperlink w:anchor="_Toc12877754" w:history="1">
            <w:r w:rsidR="00066DF3" w:rsidRPr="00066DF3">
              <w:rPr>
                <w:rStyle w:val="Hyperlink"/>
                <w:rFonts w:cstheme="minorHAnsi"/>
                <w:noProof/>
              </w:rPr>
              <w:t>1.</w:t>
            </w:r>
            <w:r w:rsidR="00066DF3" w:rsidRPr="00066DF3">
              <w:rPr>
                <w:noProof/>
              </w:rPr>
              <w:tab/>
            </w:r>
            <w:r w:rsidR="00066DF3" w:rsidRPr="00066DF3">
              <w:rPr>
                <w:rStyle w:val="Hyperlink"/>
                <w:rFonts w:cstheme="minorHAnsi"/>
                <w:noProof/>
              </w:rPr>
              <w:t>Cost Analysis</w:t>
            </w:r>
            <w:r w:rsidR="00066DF3" w:rsidRPr="00066DF3">
              <w:rPr>
                <w:noProof/>
                <w:webHidden/>
              </w:rPr>
              <w:tab/>
            </w:r>
            <w:r w:rsidR="00066DF3" w:rsidRPr="00066DF3">
              <w:rPr>
                <w:noProof/>
                <w:webHidden/>
              </w:rPr>
              <w:fldChar w:fldCharType="begin"/>
            </w:r>
            <w:r w:rsidR="00066DF3" w:rsidRPr="00066DF3">
              <w:rPr>
                <w:noProof/>
                <w:webHidden/>
              </w:rPr>
              <w:instrText xml:space="preserve"> PAGEREF _Toc12877754 \h </w:instrText>
            </w:r>
            <w:r w:rsidR="00066DF3" w:rsidRPr="00066DF3">
              <w:rPr>
                <w:noProof/>
                <w:webHidden/>
              </w:rPr>
            </w:r>
            <w:r w:rsidR="00066DF3" w:rsidRPr="00066DF3">
              <w:rPr>
                <w:noProof/>
                <w:webHidden/>
              </w:rPr>
              <w:fldChar w:fldCharType="separate"/>
            </w:r>
            <w:r w:rsidR="00066DF3" w:rsidRPr="00066DF3">
              <w:rPr>
                <w:noProof/>
                <w:webHidden/>
              </w:rPr>
              <w:t>3</w:t>
            </w:r>
            <w:r w:rsidR="00066DF3" w:rsidRPr="00066DF3">
              <w:rPr>
                <w:noProof/>
                <w:webHidden/>
              </w:rPr>
              <w:fldChar w:fldCharType="end"/>
            </w:r>
          </w:hyperlink>
        </w:p>
        <w:p w14:paraId="24A1052A" w14:textId="030E4A53" w:rsidR="00066DF3" w:rsidRPr="00066DF3" w:rsidRDefault="00066DF3">
          <w:pPr>
            <w:pStyle w:val="TOC2"/>
            <w:tabs>
              <w:tab w:val="left" w:pos="880"/>
              <w:tab w:val="right" w:leader="dot" w:pos="9350"/>
            </w:tabs>
            <w:rPr>
              <w:noProof/>
            </w:rPr>
          </w:pPr>
          <w:hyperlink w:anchor="_Toc12877755" w:history="1">
            <w:r w:rsidRPr="00066DF3">
              <w:rPr>
                <w:rStyle w:val="Hyperlink"/>
                <w:rFonts w:cstheme="minorHAnsi"/>
                <w:noProof/>
              </w:rPr>
              <w:t>1.1.</w:t>
            </w:r>
            <w:r w:rsidRPr="00066DF3">
              <w:rPr>
                <w:noProof/>
              </w:rPr>
              <w:tab/>
            </w:r>
            <w:r w:rsidRPr="00066DF3">
              <w:rPr>
                <w:rStyle w:val="Hyperlink"/>
                <w:rFonts w:cstheme="minorHAnsi"/>
                <w:noProof/>
              </w:rPr>
              <w:t>An overview of the 2025 National Strategic Plan (NSP) for Xpert scale-up in India</w:t>
            </w:r>
            <w:r w:rsidRPr="00066DF3">
              <w:rPr>
                <w:noProof/>
                <w:webHidden/>
              </w:rPr>
              <w:tab/>
            </w:r>
            <w:r w:rsidRPr="00066DF3">
              <w:rPr>
                <w:noProof/>
                <w:webHidden/>
              </w:rPr>
              <w:fldChar w:fldCharType="begin"/>
            </w:r>
            <w:r w:rsidRPr="00066DF3">
              <w:rPr>
                <w:noProof/>
                <w:webHidden/>
              </w:rPr>
              <w:instrText xml:space="preserve"> PAGEREF _Toc12877755 \h </w:instrText>
            </w:r>
            <w:r w:rsidRPr="00066DF3">
              <w:rPr>
                <w:noProof/>
                <w:webHidden/>
              </w:rPr>
            </w:r>
            <w:r w:rsidRPr="00066DF3">
              <w:rPr>
                <w:noProof/>
                <w:webHidden/>
              </w:rPr>
              <w:fldChar w:fldCharType="separate"/>
            </w:r>
            <w:r w:rsidRPr="00066DF3">
              <w:rPr>
                <w:noProof/>
                <w:webHidden/>
              </w:rPr>
              <w:t>3</w:t>
            </w:r>
            <w:r w:rsidRPr="00066DF3">
              <w:rPr>
                <w:noProof/>
                <w:webHidden/>
              </w:rPr>
              <w:fldChar w:fldCharType="end"/>
            </w:r>
          </w:hyperlink>
        </w:p>
        <w:p w14:paraId="504FDAF9" w14:textId="35E7DB81" w:rsidR="00066DF3" w:rsidRPr="00066DF3" w:rsidRDefault="00066DF3">
          <w:pPr>
            <w:pStyle w:val="TOC2"/>
            <w:tabs>
              <w:tab w:val="left" w:pos="880"/>
              <w:tab w:val="right" w:leader="dot" w:pos="9350"/>
            </w:tabs>
            <w:rPr>
              <w:noProof/>
            </w:rPr>
          </w:pPr>
          <w:hyperlink w:anchor="_Toc12877756" w:history="1">
            <w:r w:rsidRPr="00066DF3">
              <w:rPr>
                <w:rStyle w:val="Hyperlink"/>
                <w:rFonts w:cstheme="minorHAnsi"/>
                <w:noProof/>
              </w:rPr>
              <w:t>1.2.</w:t>
            </w:r>
            <w:r w:rsidRPr="00066DF3">
              <w:rPr>
                <w:noProof/>
              </w:rPr>
              <w:tab/>
            </w:r>
            <w:r w:rsidRPr="00066DF3">
              <w:rPr>
                <w:rStyle w:val="Hyperlink"/>
                <w:rFonts w:cstheme="minorHAnsi"/>
                <w:noProof/>
              </w:rPr>
              <w:t>Index per-test unit cost for laboratories</w:t>
            </w:r>
            <w:r w:rsidRPr="00066DF3">
              <w:rPr>
                <w:noProof/>
                <w:webHidden/>
              </w:rPr>
              <w:tab/>
            </w:r>
            <w:r w:rsidRPr="00066DF3">
              <w:rPr>
                <w:noProof/>
                <w:webHidden/>
              </w:rPr>
              <w:fldChar w:fldCharType="begin"/>
            </w:r>
            <w:r w:rsidRPr="00066DF3">
              <w:rPr>
                <w:noProof/>
                <w:webHidden/>
              </w:rPr>
              <w:instrText xml:space="preserve"> PAGEREF _Toc12877756 \h </w:instrText>
            </w:r>
            <w:r w:rsidRPr="00066DF3">
              <w:rPr>
                <w:noProof/>
                <w:webHidden/>
              </w:rPr>
            </w:r>
            <w:r w:rsidRPr="00066DF3">
              <w:rPr>
                <w:noProof/>
                <w:webHidden/>
              </w:rPr>
              <w:fldChar w:fldCharType="separate"/>
            </w:r>
            <w:r w:rsidRPr="00066DF3">
              <w:rPr>
                <w:noProof/>
                <w:webHidden/>
              </w:rPr>
              <w:t>4</w:t>
            </w:r>
            <w:r w:rsidRPr="00066DF3">
              <w:rPr>
                <w:noProof/>
                <w:webHidden/>
              </w:rPr>
              <w:fldChar w:fldCharType="end"/>
            </w:r>
          </w:hyperlink>
        </w:p>
        <w:p w14:paraId="22905D92" w14:textId="5A1F7A00" w:rsidR="00066DF3" w:rsidRPr="00066DF3" w:rsidRDefault="00066DF3">
          <w:pPr>
            <w:pStyle w:val="TOC2"/>
            <w:tabs>
              <w:tab w:val="left" w:pos="880"/>
              <w:tab w:val="right" w:leader="dot" w:pos="9350"/>
            </w:tabs>
            <w:rPr>
              <w:noProof/>
            </w:rPr>
          </w:pPr>
          <w:hyperlink w:anchor="_Toc12877757" w:history="1">
            <w:r w:rsidRPr="00066DF3">
              <w:rPr>
                <w:rStyle w:val="Hyperlink"/>
                <w:rFonts w:cstheme="minorHAnsi"/>
                <w:noProof/>
              </w:rPr>
              <w:t>1.3.</w:t>
            </w:r>
            <w:r w:rsidRPr="00066DF3">
              <w:rPr>
                <w:noProof/>
              </w:rPr>
              <w:tab/>
            </w:r>
            <w:r w:rsidRPr="00066DF3">
              <w:rPr>
                <w:rStyle w:val="Hyperlink"/>
                <w:rFonts w:cstheme="minorHAnsi"/>
                <w:noProof/>
              </w:rPr>
              <w:t>Distribution of daily test volume and calculating mean per-test cost</w:t>
            </w:r>
            <w:r w:rsidRPr="00066DF3">
              <w:rPr>
                <w:noProof/>
                <w:webHidden/>
              </w:rPr>
              <w:tab/>
            </w:r>
            <w:r w:rsidRPr="00066DF3">
              <w:rPr>
                <w:noProof/>
                <w:webHidden/>
              </w:rPr>
              <w:fldChar w:fldCharType="begin"/>
            </w:r>
            <w:r w:rsidRPr="00066DF3">
              <w:rPr>
                <w:noProof/>
                <w:webHidden/>
              </w:rPr>
              <w:instrText xml:space="preserve"> PAGEREF _Toc12877757 \h </w:instrText>
            </w:r>
            <w:r w:rsidRPr="00066DF3">
              <w:rPr>
                <w:noProof/>
                <w:webHidden/>
              </w:rPr>
            </w:r>
            <w:r w:rsidRPr="00066DF3">
              <w:rPr>
                <w:noProof/>
                <w:webHidden/>
              </w:rPr>
              <w:fldChar w:fldCharType="separate"/>
            </w:r>
            <w:r w:rsidRPr="00066DF3">
              <w:rPr>
                <w:noProof/>
                <w:webHidden/>
              </w:rPr>
              <w:t>6</w:t>
            </w:r>
            <w:r w:rsidRPr="00066DF3">
              <w:rPr>
                <w:noProof/>
                <w:webHidden/>
              </w:rPr>
              <w:fldChar w:fldCharType="end"/>
            </w:r>
          </w:hyperlink>
        </w:p>
        <w:p w14:paraId="17627F16" w14:textId="22638E43" w:rsidR="00066DF3" w:rsidRPr="00066DF3" w:rsidRDefault="00066DF3">
          <w:pPr>
            <w:pStyle w:val="TOC2"/>
            <w:tabs>
              <w:tab w:val="left" w:pos="880"/>
              <w:tab w:val="right" w:leader="dot" w:pos="9350"/>
            </w:tabs>
            <w:rPr>
              <w:noProof/>
            </w:rPr>
          </w:pPr>
          <w:hyperlink w:anchor="_Toc12877758" w:history="1">
            <w:r w:rsidRPr="00066DF3">
              <w:rPr>
                <w:rStyle w:val="Hyperlink"/>
                <w:rFonts w:cstheme="minorHAnsi"/>
                <w:noProof/>
              </w:rPr>
              <w:t>1.4.</w:t>
            </w:r>
            <w:r w:rsidRPr="00066DF3">
              <w:rPr>
                <w:noProof/>
              </w:rPr>
              <w:tab/>
            </w:r>
            <w:r w:rsidRPr="00066DF3">
              <w:rPr>
                <w:rStyle w:val="Hyperlink"/>
                <w:rFonts w:cstheme="minorHAnsi"/>
                <w:noProof/>
              </w:rPr>
              <w:t>Calculating sample transport costs</w:t>
            </w:r>
            <w:r w:rsidRPr="00066DF3">
              <w:rPr>
                <w:noProof/>
                <w:webHidden/>
              </w:rPr>
              <w:tab/>
            </w:r>
            <w:r w:rsidRPr="00066DF3">
              <w:rPr>
                <w:noProof/>
                <w:webHidden/>
              </w:rPr>
              <w:fldChar w:fldCharType="begin"/>
            </w:r>
            <w:r w:rsidRPr="00066DF3">
              <w:rPr>
                <w:noProof/>
                <w:webHidden/>
              </w:rPr>
              <w:instrText xml:space="preserve"> PAGEREF _Toc12877758 \h </w:instrText>
            </w:r>
            <w:r w:rsidRPr="00066DF3">
              <w:rPr>
                <w:noProof/>
                <w:webHidden/>
              </w:rPr>
            </w:r>
            <w:r w:rsidRPr="00066DF3">
              <w:rPr>
                <w:noProof/>
                <w:webHidden/>
              </w:rPr>
              <w:fldChar w:fldCharType="separate"/>
            </w:r>
            <w:r w:rsidRPr="00066DF3">
              <w:rPr>
                <w:noProof/>
                <w:webHidden/>
              </w:rPr>
              <w:t>9</w:t>
            </w:r>
            <w:r w:rsidRPr="00066DF3">
              <w:rPr>
                <w:noProof/>
                <w:webHidden/>
              </w:rPr>
              <w:fldChar w:fldCharType="end"/>
            </w:r>
          </w:hyperlink>
        </w:p>
        <w:p w14:paraId="38B228B0" w14:textId="64E0EBC1" w:rsidR="00066DF3" w:rsidRPr="00066DF3" w:rsidRDefault="00066DF3">
          <w:pPr>
            <w:pStyle w:val="TOC2"/>
            <w:tabs>
              <w:tab w:val="left" w:pos="880"/>
              <w:tab w:val="right" w:leader="dot" w:pos="9350"/>
            </w:tabs>
            <w:rPr>
              <w:noProof/>
            </w:rPr>
          </w:pPr>
          <w:hyperlink w:anchor="_Toc12877759" w:history="1">
            <w:r w:rsidRPr="00066DF3">
              <w:rPr>
                <w:rStyle w:val="Hyperlink"/>
                <w:rFonts w:cstheme="minorHAnsi"/>
                <w:noProof/>
              </w:rPr>
              <w:t>1.5.</w:t>
            </w:r>
            <w:r w:rsidRPr="00066DF3">
              <w:rPr>
                <w:noProof/>
              </w:rPr>
              <w:tab/>
            </w:r>
            <w:r w:rsidRPr="00066DF3">
              <w:rPr>
                <w:rStyle w:val="Hyperlink"/>
                <w:rFonts w:cstheme="minorHAnsi"/>
                <w:noProof/>
              </w:rPr>
              <w:t>Calculating the cost difference between decentralized Xpert (DXP) and centralized Xpert (CXP)</w:t>
            </w:r>
            <w:r w:rsidRPr="00066DF3">
              <w:rPr>
                <w:noProof/>
                <w:webHidden/>
              </w:rPr>
              <w:tab/>
            </w:r>
            <w:r w:rsidRPr="00066DF3">
              <w:rPr>
                <w:noProof/>
                <w:webHidden/>
              </w:rPr>
              <w:fldChar w:fldCharType="begin"/>
            </w:r>
            <w:r w:rsidRPr="00066DF3">
              <w:rPr>
                <w:noProof/>
                <w:webHidden/>
              </w:rPr>
              <w:instrText xml:space="preserve"> PAGEREF _Toc12877759 \h </w:instrText>
            </w:r>
            <w:r w:rsidRPr="00066DF3">
              <w:rPr>
                <w:noProof/>
                <w:webHidden/>
              </w:rPr>
            </w:r>
            <w:r w:rsidRPr="00066DF3">
              <w:rPr>
                <w:noProof/>
                <w:webHidden/>
              </w:rPr>
              <w:fldChar w:fldCharType="separate"/>
            </w:r>
            <w:r w:rsidRPr="00066DF3">
              <w:rPr>
                <w:noProof/>
                <w:webHidden/>
              </w:rPr>
              <w:t>11</w:t>
            </w:r>
            <w:r w:rsidRPr="00066DF3">
              <w:rPr>
                <w:noProof/>
                <w:webHidden/>
              </w:rPr>
              <w:fldChar w:fldCharType="end"/>
            </w:r>
          </w:hyperlink>
        </w:p>
        <w:p w14:paraId="25CFBC89" w14:textId="0F94EF82" w:rsidR="00066DF3" w:rsidRPr="00066DF3" w:rsidRDefault="00066DF3">
          <w:pPr>
            <w:pStyle w:val="TOC2"/>
            <w:tabs>
              <w:tab w:val="left" w:pos="880"/>
              <w:tab w:val="right" w:leader="dot" w:pos="9350"/>
            </w:tabs>
            <w:rPr>
              <w:noProof/>
            </w:rPr>
          </w:pPr>
          <w:hyperlink w:anchor="_Toc12877760" w:history="1">
            <w:r w:rsidRPr="00066DF3">
              <w:rPr>
                <w:rStyle w:val="Hyperlink"/>
                <w:rFonts w:cstheme="minorHAnsi"/>
                <w:noProof/>
              </w:rPr>
              <w:t>1.6.</w:t>
            </w:r>
            <w:r w:rsidRPr="00066DF3">
              <w:rPr>
                <w:noProof/>
              </w:rPr>
              <w:tab/>
            </w:r>
            <w:r w:rsidRPr="00066DF3">
              <w:rPr>
                <w:rStyle w:val="Hyperlink"/>
                <w:rFonts w:cstheme="minorHAnsi"/>
                <w:noProof/>
              </w:rPr>
              <w:t>Sensitivity analysis of GeneXpert equipment useful life – a worked example</w:t>
            </w:r>
            <w:r w:rsidRPr="00066DF3">
              <w:rPr>
                <w:noProof/>
                <w:webHidden/>
              </w:rPr>
              <w:tab/>
            </w:r>
            <w:r w:rsidRPr="00066DF3">
              <w:rPr>
                <w:noProof/>
                <w:webHidden/>
              </w:rPr>
              <w:fldChar w:fldCharType="begin"/>
            </w:r>
            <w:r w:rsidRPr="00066DF3">
              <w:rPr>
                <w:noProof/>
                <w:webHidden/>
              </w:rPr>
              <w:instrText xml:space="preserve"> PAGEREF _Toc12877760 \h </w:instrText>
            </w:r>
            <w:r w:rsidRPr="00066DF3">
              <w:rPr>
                <w:noProof/>
                <w:webHidden/>
              </w:rPr>
            </w:r>
            <w:r w:rsidRPr="00066DF3">
              <w:rPr>
                <w:noProof/>
                <w:webHidden/>
              </w:rPr>
              <w:fldChar w:fldCharType="separate"/>
            </w:r>
            <w:r w:rsidRPr="00066DF3">
              <w:rPr>
                <w:noProof/>
                <w:webHidden/>
              </w:rPr>
              <w:t>17</w:t>
            </w:r>
            <w:r w:rsidRPr="00066DF3">
              <w:rPr>
                <w:noProof/>
                <w:webHidden/>
              </w:rPr>
              <w:fldChar w:fldCharType="end"/>
            </w:r>
          </w:hyperlink>
        </w:p>
        <w:p w14:paraId="2D808A05" w14:textId="194095DE" w:rsidR="00066DF3" w:rsidRPr="00066DF3" w:rsidRDefault="00066DF3">
          <w:pPr>
            <w:pStyle w:val="TOC1"/>
            <w:tabs>
              <w:tab w:val="left" w:pos="440"/>
              <w:tab w:val="right" w:leader="dot" w:pos="9350"/>
            </w:tabs>
            <w:rPr>
              <w:noProof/>
            </w:rPr>
          </w:pPr>
          <w:hyperlink w:anchor="_Toc12877761" w:history="1">
            <w:r w:rsidRPr="00066DF3">
              <w:rPr>
                <w:rStyle w:val="Hyperlink"/>
                <w:rFonts w:cstheme="minorHAnsi"/>
                <w:noProof/>
              </w:rPr>
              <w:t>2.</w:t>
            </w:r>
            <w:r w:rsidRPr="00066DF3">
              <w:rPr>
                <w:noProof/>
              </w:rPr>
              <w:tab/>
            </w:r>
            <w:r w:rsidRPr="00066DF3">
              <w:rPr>
                <w:rStyle w:val="Hyperlink"/>
                <w:rFonts w:cstheme="minorHAnsi"/>
                <w:noProof/>
              </w:rPr>
              <w:t>The simulation model</w:t>
            </w:r>
            <w:r w:rsidRPr="00066DF3">
              <w:rPr>
                <w:noProof/>
                <w:webHidden/>
              </w:rPr>
              <w:tab/>
            </w:r>
            <w:r w:rsidRPr="00066DF3">
              <w:rPr>
                <w:noProof/>
                <w:webHidden/>
              </w:rPr>
              <w:fldChar w:fldCharType="begin"/>
            </w:r>
            <w:r w:rsidRPr="00066DF3">
              <w:rPr>
                <w:noProof/>
                <w:webHidden/>
              </w:rPr>
              <w:instrText xml:space="preserve"> PAGEREF _Toc12877761 \h </w:instrText>
            </w:r>
            <w:r w:rsidRPr="00066DF3">
              <w:rPr>
                <w:noProof/>
                <w:webHidden/>
              </w:rPr>
            </w:r>
            <w:r w:rsidRPr="00066DF3">
              <w:rPr>
                <w:noProof/>
                <w:webHidden/>
              </w:rPr>
              <w:fldChar w:fldCharType="separate"/>
            </w:r>
            <w:r w:rsidRPr="00066DF3">
              <w:rPr>
                <w:noProof/>
                <w:webHidden/>
              </w:rPr>
              <w:t>20</w:t>
            </w:r>
            <w:r w:rsidRPr="00066DF3">
              <w:rPr>
                <w:noProof/>
                <w:webHidden/>
              </w:rPr>
              <w:fldChar w:fldCharType="end"/>
            </w:r>
          </w:hyperlink>
        </w:p>
        <w:p w14:paraId="373BA8C6" w14:textId="75D6ADD5" w:rsidR="00066DF3" w:rsidRPr="00066DF3" w:rsidRDefault="00066DF3">
          <w:pPr>
            <w:pStyle w:val="TOC2"/>
            <w:tabs>
              <w:tab w:val="left" w:pos="880"/>
              <w:tab w:val="right" w:leader="dot" w:pos="9350"/>
            </w:tabs>
            <w:rPr>
              <w:noProof/>
            </w:rPr>
          </w:pPr>
          <w:hyperlink w:anchor="_Toc12877762" w:history="1">
            <w:r w:rsidRPr="00066DF3">
              <w:rPr>
                <w:rStyle w:val="Hyperlink"/>
                <w:rFonts w:cstheme="minorHAnsi"/>
                <w:noProof/>
              </w:rPr>
              <w:t>2.1.</w:t>
            </w:r>
            <w:r w:rsidRPr="00066DF3">
              <w:rPr>
                <w:noProof/>
              </w:rPr>
              <w:tab/>
            </w:r>
            <w:r w:rsidRPr="00066DF3">
              <w:rPr>
                <w:rStyle w:val="Hyperlink"/>
                <w:rFonts w:cstheme="minorHAnsi"/>
                <w:noProof/>
              </w:rPr>
              <w:t>Underlying simulation model</w:t>
            </w:r>
            <w:r w:rsidRPr="00066DF3">
              <w:rPr>
                <w:noProof/>
                <w:webHidden/>
              </w:rPr>
              <w:tab/>
            </w:r>
            <w:r w:rsidRPr="00066DF3">
              <w:rPr>
                <w:noProof/>
                <w:webHidden/>
              </w:rPr>
              <w:fldChar w:fldCharType="begin"/>
            </w:r>
            <w:r w:rsidRPr="00066DF3">
              <w:rPr>
                <w:noProof/>
                <w:webHidden/>
              </w:rPr>
              <w:instrText xml:space="preserve"> PAGEREF _Toc12877762 \h </w:instrText>
            </w:r>
            <w:r w:rsidRPr="00066DF3">
              <w:rPr>
                <w:noProof/>
                <w:webHidden/>
              </w:rPr>
            </w:r>
            <w:r w:rsidRPr="00066DF3">
              <w:rPr>
                <w:noProof/>
                <w:webHidden/>
              </w:rPr>
              <w:fldChar w:fldCharType="separate"/>
            </w:r>
            <w:r w:rsidRPr="00066DF3">
              <w:rPr>
                <w:noProof/>
                <w:webHidden/>
              </w:rPr>
              <w:t>20</w:t>
            </w:r>
            <w:r w:rsidRPr="00066DF3">
              <w:rPr>
                <w:noProof/>
                <w:webHidden/>
              </w:rPr>
              <w:fldChar w:fldCharType="end"/>
            </w:r>
          </w:hyperlink>
        </w:p>
        <w:p w14:paraId="06C68E4C" w14:textId="6DCC1689" w:rsidR="00066DF3" w:rsidRPr="00066DF3" w:rsidRDefault="00066DF3">
          <w:pPr>
            <w:pStyle w:val="TOC2"/>
            <w:tabs>
              <w:tab w:val="left" w:pos="880"/>
              <w:tab w:val="right" w:leader="dot" w:pos="9350"/>
            </w:tabs>
            <w:rPr>
              <w:noProof/>
            </w:rPr>
          </w:pPr>
          <w:hyperlink w:anchor="_Toc12877763" w:history="1">
            <w:r w:rsidRPr="00066DF3">
              <w:rPr>
                <w:rStyle w:val="Hyperlink"/>
                <w:rFonts w:cstheme="minorHAnsi"/>
                <w:noProof/>
              </w:rPr>
              <w:t>2.2.</w:t>
            </w:r>
            <w:r w:rsidRPr="00066DF3">
              <w:rPr>
                <w:noProof/>
              </w:rPr>
              <w:tab/>
            </w:r>
            <w:r w:rsidRPr="00066DF3">
              <w:rPr>
                <w:rStyle w:val="Hyperlink"/>
                <w:rFonts w:cstheme="minorHAnsi"/>
                <w:noProof/>
              </w:rPr>
              <w:t>TB treatment decision and Xpert performance</w:t>
            </w:r>
            <w:r w:rsidRPr="00066DF3">
              <w:rPr>
                <w:noProof/>
                <w:webHidden/>
              </w:rPr>
              <w:tab/>
            </w:r>
            <w:r w:rsidRPr="00066DF3">
              <w:rPr>
                <w:noProof/>
                <w:webHidden/>
              </w:rPr>
              <w:fldChar w:fldCharType="begin"/>
            </w:r>
            <w:r w:rsidRPr="00066DF3">
              <w:rPr>
                <w:noProof/>
                <w:webHidden/>
              </w:rPr>
              <w:instrText xml:space="preserve"> PAGEREF _Toc12877763 \h </w:instrText>
            </w:r>
            <w:r w:rsidRPr="00066DF3">
              <w:rPr>
                <w:noProof/>
                <w:webHidden/>
              </w:rPr>
            </w:r>
            <w:r w:rsidRPr="00066DF3">
              <w:rPr>
                <w:noProof/>
                <w:webHidden/>
              </w:rPr>
              <w:fldChar w:fldCharType="separate"/>
            </w:r>
            <w:r w:rsidRPr="00066DF3">
              <w:rPr>
                <w:noProof/>
                <w:webHidden/>
              </w:rPr>
              <w:t>22</w:t>
            </w:r>
            <w:r w:rsidRPr="00066DF3">
              <w:rPr>
                <w:noProof/>
                <w:webHidden/>
              </w:rPr>
              <w:fldChar w:fldCharType="end"/>
            </w:r>
          </w:hyperlink>
        </w:p>
        <w:p w14:paraId="0A4DAF56" w14:textId="6B045DA2" w:rsidR="00066DF3" w:rsidRPr="00066DF3" w:rsidRDefault="00066DF3">
          <w:pPr>
            <w:pStyle w:val="TOC2"/>
            <w:tabs>
              <w:tab w:val="left" w:pos="880"/>
              <w:tab w:val="right" w:leader="dot" w:pos="9350"/>
            </w:tabs>
            <w:rPr>
              <w:noProof/>
            </w:rPr>
          </w:pPr>
          <w:hyperlink w:anchor="_Toc12877764" w:history="1">
            <w:r w:rsidRPr="00066DF3">
              <w:rPr>
                <w:rStyle w:val="Hyperlink"/>
                <w:rFonts w:cstheme="minorHAnsi"/>
                <w:noProof/>
              </w:rPr>
              <w:t>2.3.</w:t>
            </w:r>
            <w:r w:rsidRPr="00066DF3">
              <w:rPr>
                <w:noProof/>
              </w:rPr>
              <w:tab/>
            </w:r>
            <w:r w:rsidRPr="00066DF3">
              <w:rPr>
                <w:rStyle w:val="Hyperlink"/>
                <w:rFonts w:cstheme="minorHAnsi"/>
                <w:noProof/>
              </w:rPr>
              <w:t>Experimental framework for studying the impact of Xpert</w:t>
            </w:r>
            <w:r w:rsidRPr="00066DF3">
              <w:rPr>
                <w:noProof/>
                <w:webHidden/>
              </w:rPr>
              <w:tab/>
            </w:r>
            <w:r w:rsidRPr="00066DF3">
              <w:rPr>
                <w:noProof/>
                <w:webHidden/>
              </w:rPr>
              <w:fldChar w:fldCharType="begin"/>
            </w:r>
            <w:r w:rsidRPr="00066DF3">
              <w:rPr>
                <w:noProof/>
                <w:webHidden/>
              </w:rPr>
              <w:instrText xml:space="preserve"> PAGEREF _Toc12877764 \h </w:instrText>
            </w:r>
            <w:r w:rsidRPr="00066DF3">
              <w:rPr>
                <w:noProof/>
                <w:webHidden/>
              </w:rPr>
            </w:r>
            <w:r w:rsidRPr="00066DF3">
              <w:rPr>
                <w:noProof/>
                <w:webHidden/>
              </w:rPr>
              <w:fldChar w:fldCharType="separate"/>
            </w:r>
            <w:r w:rsidRPr="00066DF3">
              <w:rPr>
                <w:noProof/>
                <w:webHidden/>
              </w:rPr>
              <w:t>23</w:t>
            </w:r>
            <w:r w:rsidRPr="00066DF3">
              <w:rPr>
                <w:noProof/>
                <w:webHidden/>
              </w:rPr>
              <w:fldChar w:fldCharType="end"/>
            </w:r>
          </w:hyperlink>
        </w:p>
        <w:p w14:paraId="614C32C8" w14:textId="3CAEA013" w:rsidR="00066DF3" w:rsidRPr="00066DF3" w:rsidRDefault="00066DF3">
          <w:pPr>
            <w:pStyle w:val="TOC2"/>
            <w:tabs>
              <w:tab w:val="left" w:pos="880"/>
              <w:tab w:val="right" w:leader="dot" w:pos="9350"/>
            </w:tabs>
            <w:rPr>
              <w:noProof/>
            </w:rPr>
          </w:pPr>
          <w:hyperlink w:anchor="_Toc12877765" w:history="1">
            <w:r w:rsidRPr="00066DF3">
              <w:rPr>
                <w:rStyle w:val="Hyperlink"/>
                <w:rFonts w:cstheme="minorHAnsi"/>
                <w:noProof/>
              </w:rPr>
              <w:t>2.4.</w:t>
            </w:r>
            <w:r w:rsidRPr="00066DF3">
              <w:rPr>
                <w:noProof/>
              </w:rPr>
              <w:tab/>
            </w:r>
            <w:r w:rsidRPr="00066DF3">
              <w:rPr>
                <w:rStyle w:val="Hyperlink"/>
                <w:rFonts w:cstheme="minorHAnsi"/>
                <w:noProof/>
              </w:rPr>
              <w:t>Simulation process</w:t>
            </w:r>
            <w:r w:rsidRPr="00066DF3">
              <w:rPr>
                <w:noProof/>
                <w:webHidden/>
              </w:rPr>
              <w:tab/>
            </w:r>
            <w:r w:rsidRPr="00066DF3">
              <w:rPr>
                <w:noProof/>
                <w:webHidden/>
              </w:rPr>
              <w:fldChar w:fldCharType="begin"/>
            </w:r>
            <w:r w:rsidRPr="00066DF3">
              <w:rPr>
                <w:noProof/>
                <w:webHidden/>
              </w:rPr>
              <w:instrText xml:space="preserve"> PAGEREF _Toc12877765 \h </w:instrText>
            </w:r>
            <w:r w:rsidRPr="00066DF3">
              <w:rPr>
                <w:noProof/>
                <w:webHidden/>
              </w:rPr>
            </w:r>
            <w:r w:rsidRPr="00066DF3">
              <w:rPr>
                <w:noProof/>
                <w:webHidden/>
              </w:rPr>
              <w:fldChar w:fldCharType="separate"/>
            </w:r>
            <w:r w:rsidRPr="00066DF3">
              <w:rPr>
                <w:noProof/>
                <w:webHidden/>
              </w:rPr>
              <w:t>23</w:t>
            </w:r>
            <w:r w:rsidRPr="00066DF3">
              <w:rPr>
                <w:noProof/>
                <w:webHidden/>
              </w:rPr>
              <w:fldChar w:fldCharType="end"/>
            </w:r>
          </w:hyperlink>
        </w:p>
        <w:p w14:paraId="434519DE" w14:textId="4F292A4E" w:rsidR="00066DF3" w:rsidRPr="00066DF3" w:rsidRDefault="00066DF3">
          <w:pPr>
            <w:pStyle w:val="TOC2"/>
            <w:tabs>
              <w:tab w:val="left" w:pos="880"/>
              <w:tab w:val="right" w:leader="dot" w:pos="9350"/>
            </w:tabs>
            <w:rPr>
              <w:noProof/>
            </w:rPr>
          </w:pPr>
          <w:hyperlink w:anchor="_Toc12877766" w:history="1">
            <w:r w:rsidRPr="00066DF3">
              <w:rPr>
                <w:rStyle w:val="Hyperlink"/>
                <w:rFonts w:cstheme="minorHAnsi"/>
                <w:noProof/>
              </w:rPr>
              <w:t>2.5.</w:t>
            </w:r>
            <w:r w:rsidRPr="00066DF3">
              <w:rPr>
                <w:noProof/>
              </w:rPr>
              <w:tab/>
            </w:r>
            <w:r w:rsidRPr="00066DF3">
              <w:rPr>
                <w:rStyle w:val="Hyperlink"/>
                <w:rFonts w:cstheme="minorHAnsi"/>
                <w:noProof/>
              </w:rPr>
              <w:t>Model calibration process</w:t>
            </w:r>
            <w:r w:rsidRPr="00066DF3">
              <w:rPr>
                <w:noProof/>
                <w:webHidden/>
              </w:rPr>
              <w:tab/>
            </w:r>
            <w:r w:rsidRPr="00066DF3">
              <w:rPr>
                <w:noProof/>
                <w:webHidden/>
              </w:rPr>
              <w:fldChar w:fldCharType="begin"/>
            </w:r>
            <w:r w:rsidRPr="00066DF3">
              <w:rPr>
                <w:noProof/>
                <w:webHidden/>
              </w:rPr>
              <w:instrText xml:space="preserve"> PAGEREF _Toc12877766 \h </w:instrText>
            </w:r>
            <w:r w:rsidRPr="00066DF3">
              <w:rPr>
                <w:noProof/>
                <w:webHidden/>
              </w:rPr>
            </w:r>
            <w:r w:rsidRPr="00066DF3">
              <w:rPr>
                <w:noProof/>
                <w:webHidden/>
              </w:rPr>
              <w:fldChar w:fldCharType="separate"/>
            </w:r>
            <w:r w:rsidRPr="00066DF3">
              <w:rPr>
                <w:noProof/>
                <w:webHidden/>
              </w:rPr>
              <w:t>23</w:t>
            </w:r>
            <w:r w:rsidRPr="00066DF3">
              <w:rPr>
                <w:noProof/>
                <w:webHidden/>
              </w:rPr>
              <w:fldChar w:fldCharType="end"/>
            </w:r>
          </w:hyperlink>
        </w:p>
        <w:p w14:paraId="4CFE331D" w14:textId="0D558092" w:rsidR="00066DF3" w:rsidRPr="00066DF3" w:rsidRDefault="00066DF3">
          <w:pPr>
            <w:pStyle w:val="TOC2"/>
            <w:tabs>
              <w:tab w:val="left" w:pos="880"/>
              <w:tab w:val="right" w:leader="dot" w:pos="9350"/>
            </w:tabs>
            <w:rPr>
              <w:noProof/>
            </w:rPr>
          </w:pPr>
          <w:hyperlink w:anchor="_Toc12877767" w:history="1">
            <w:r w:rsidRPr="00066DF3">
              <w:rPr>
                <w:rStyle w:val="Hyperlink"/>
                <w:rFonts w:cstheme="minorHAnsi"/>
                <w:noProof/>
              </w:rPr>
              <w:t>2.6.</w:t>
            </w:r>
            <w:r w:rsidRPr="00066DF3">
              <w:rPr>
                <w:noProof/>
              </w:rPr>
              <w:tab/>
            </w:r>
            <w:r w:rsidRPr="00066DF3">
              <w:rPr>
                <w:rStyle w:val="Hyperlink"/>
                <w:rFonts w:cstheme="minorHAnsi"/>
                <w:noProof/>
              </w:rPr>
              <w:t>Summary of model parameters</w:t>
            </w:r>
            <w:r w:rsidRPr="00066DF3">
              <w:rPr>
                <w:noProof/>
                <w:webHidden/>
              </w:rPr>
              <w:tab/>
            </w:r>
            <w:r w:rsidRPr="00066DF3">
              <w:rPr>
                <w:noProof/>
                <w:webHidden/>
              </w:rPr>
              <w:fldChar w:fldCharType="begin"/>
            </w:r>
            <w:r w:rsidRPr="00066DF3">
              <w:rPr>
                <w:noProof/>
                <w:webHidden/>
              </w:rPr>
              <w:instrText xml:space="preserve"> PAGEREF _Toc12877767 \h </w:instrText>
            </w:r>
            <w:r w:rsidRPr="00066DF3">
              <w:rPr>
                <w:noProof/>
                <w:webHidden/>
              </w:rPr>
            </w:r>
            <w:r w:rsidRPr="00066DF3">
              <w:rPr>
                <w:noProof/>
                <w:webHidden/>
              </w:rPr>
              <w:fldChar w:fldCharType="separate"/>
            </w:r>
            <w:r w:rsidRPr="00066DF3">
              <w:rPr>
                <w:noProof/>
                <w:webHidden/>
              </w:rPr>
              <w:t>26</w:t>
            </w:r>
            <w:r w:rsidRPr="00066DF3">
              <w:rPr>
                <w:noProof/>
                <w:webHidden/>
              </w:rPr>
              <w:fldChar w:fldCharType="end"/>
            </w:r>
          </w:hyperlink>
        </w:p>
        <w:p w14:paraId="4EFBB4BA" w14:textId="7659A15A" w:rsidR="00066DF3" w:rsidRPr="00066DF3" w:rsidRDefault="00066DF3">
          <w:pPr>
            <w:pStyle w:val="TOC1"/>
            <w:tabs>
              <w:tab w:val="left" w:pos="440"/>
              <w:tab w:val="right" w:leader="dot" w:pos="9350"/>
            </w:tabs>
            <w:rPr>
              <w:noProof/>
            </w:rPr>
          </w:pPr>
          <w:hyperlink w:anchor="_Toc12877768" w:history="1">
            <w:r w:rsidRPr="00066DF3">
              <w:rPr>
                <w:rStyle w:val="Hyperlink"/>
                <w:rFonts w:cstheme="minorHAnsi"/>
                <w:noProof/>
              </w:rPr>
              <w:t>3.</w:t>
            </w:r>
            <w:r w:rsidRPr="00066DF3">
              <w:rPr>
                <w:noProof/>
              </w:rPr>
              <w:tab/>
            </w:r>
            <w:r w:rsidRPr="00066DF3">
              <w:rPr>
                <w:rStyle w:val="Hyperlink"/>
                <w:rFonts w:cstheme="minorHAnsi"/>
                <w:noProof/>
              </w:rPr>
              <w:t>Sensitivity analysis</w:t>
            </w:r>
            <w:r w:rsidRPr="00066DF3">
              <w:rPr>
                <w:noProof/>
                <w:webHidden/>
              </w:rPr>
              <w:tab/>
            </w:r>
            <w:r w:rsidRPr="00066DF3">
              <w:rPr>
                <w:noProof/>
                <w:webHidden/>
              </w:rPr>
              <w:fldChar w:fldCharType="begin"/>
            </w:r>
            <w:r w:rsidRPr="00066DF3">
              <w:rPr>
                <w:noProof/>
                <w:webHidden/>
              </w:rPr>
              <w:instrText xml:space="preserve"> PAGEREF _Toc12877768 \h </w:instrText>
            </w:r>
            <w:r w:rsidRPr="00066DF3">
              <w:rPr>
                <w:noProof/>
                <w:webHidden/>
              </w:rPr>
            </w:r>
            <w:r w:rsidRPr="00066DF3">
              <w:rPr>
                <w:noProof/>
                <w:webHidden/>
              </w:rPr>
              <w:fldChar w:fldCharType="separate"/>
            </w:r>
            <w:r w:rsidRPr="00066DF3">
              <w:rPr>
                <w:noProof/>
                <w:webHidden/>
              </w:rPr>
              <w:t>28</w:t>
            </w:r>
            <w:r w:rsidRPr="00066DF3">
              <w:rPr>
                <w:noProof/>
                <w:webHidden/>
              </w:rPr>
              <w:fldChar w:fldCharType="end"/>
            </w:r>
          </w:hyperlink>
        </w:p>
        <w:p w14:paraId="29513191" w14:textId="501F68F2" w:rsidR="00066DF3" w:rsidRPr="00066DF3" w:rsidRDefault="00066DF3">
          <w:pPr>
            <w:pStyle w:val="TOC2"/>
            <w:tabs>
              <w:tab w:val="left" w:pos="880"/>
              <w:tab w:val="right" w:leader="dot" w:pos="9350"/>
            </w:tabs>
            <w:rPr>
              <w:noProof/>
            </w:rPr>
          </w:pPr>
          <w:hyperlink w:anchor="_Toc12877769" w:history="1">
            <w:r w:rsidRPr="00066DF3">
              <w:rPr>
                <w:rStyle w:val="Hyperlink"/>
                <w:rFonts w:cstheme="minorHAnsi"/>
                <w:noProof/>
              </w:rPr>
              <w:t>3.1.</w:t>
            </w:r>
            <w:r w:rsidRPr="00066DF3">
              <w:rPr>
                <w:noProof/>
              </w:rPr>
              <w:tab/>
            </w:r>
            <w:r w:rsidRPr="00066DF3">
              <w:rPr>
                <w:rStyle w:val="Hyperlink"/>
                <w:rFonts w:cstheme="minorHAnsi"/>
                <w:noProof/>
              </w:rPr>
              <w:t>One-way sensitivity analyses</w:t>
            </w:r>
            <w:r w:rsidRPr="00066DF3">
              <w:rPr>
                <w:noProof/>
                <w:webHidden/>
              </w:rPr>
              <w:tab/>
            </w:r>
            <w:r w:rsidRPr="00066DF3">
              <w:rPr>
                <w:noProof/>
                <w:webHidden/>
              </w:rPr>
              <w:fldChar w:fldCharType="begin"/>
            </w:r>
            <w:r w:rsidRPr="00066DF3">
              <w:rPr>
                <w:noProof/>
                <w:webHidden/>
              </w:rPr>
              <w:instrText xml:space="preserve"> PAGEREF _Toc12877769 \h </w:instrText>
            </w:r>
            <w:r w:rsidRPr="00066DF3">
              <w:rPr>
                <w:noProof/>
                <w:webHidden/>
              </w:rPr>
            </w:r>
            <w:r w:rsidRPr="00066DF3">
              <w:rPr>
                <w:noProof/>
                <w:webHidden/>
              </w:rPr>
              <w:fldChar w:fldCharType="separate"/>
            </w:r>
            <w:r w:rsidRPr="00066DF3">
              <w:rPr>
                <w:noProof/>
                <w:webHidden/>
              </w:rPr>
              <w:t>28</w:t>
            </w:r>
            <w:r w:rsidRPr="00066DF3">
              <w:rPr>
                <w:noProof/>
                <w:webHidden/>
              </w:rPr>
              <w:fldChar w:fldCharType="end"/>
            </w:r>
          </w:hyperlink>
        </w:p>
        <w:p w14:paraId="2AE75408" w14:textId="4E1E2EE2" w:rsidR="00066DF3" w:rsidRPr="00066DF3" w:rsidRDefault="00066DF3">
          <w:pPr>
            <w:pStyle w:val="TOC2"/>
            <w:tabs>
              <w:tab w:val="left" w:pos="880"/>
              <w:tab w:val="right" w:leader="dot" w:pos="9350"/>
            </w:tabs>
            <w:rPr>
              <w:noProof/>
            </w:rPr>
          </w:pPr>
          <w:hyperlink w:anchor="_Toc12877770" w:history="1">
            <w:r w:rsidRPr="00066DF3">
              <w:rPr>
                <w:rStyle w:val="Hyperlink"/>
                <w:rFonts w:cstheme="minorHAnsi"/>
                <w:noProof/>
              </w:rPr>
              <w:t>3.2.</w:t>
            </w:r>
            <w:r w:rsidRPr="00066DF3">
              <w:rPr>
                <w:noProof/>
              </w:rPr>
              <w:tab/>
            </w:r>
            <w:r w:rsidRPr="00066DF3">
              <w:rPr>
                <w:rStyle w:val="Hyperlink"/>
                <w:rFonts w:cstheme="minorHAnsi"/>
                <w:noProof/>
              </w:rPr>
              <w:t>Sensitivity and threshold analysis to incremental pre-treatment loss to follow up in the centralized scenario</w:t>
            </w:r>
            <w:r w:rsidRPr="00066DF3">
              <w:rPr>
                <w:noProof/>
                <w:webHidden/>
              </w:rPr>
              <w:tab/>
            </w:r>
            <w:r w:rsidRPr="00066DF3">
              <w:rPr>
                <w:noProof/>
                <w:webHidden/>
              </w:rPr>
              <w:fldChar w:fldCharType="begin"/>
            </w:r>
            <w:r w:rsidRPr="00066DF3">
              <w:rPr>
                <w:noProof/>
                <w:webHidden/>
              </w:rPr>
              <w:instrText xml:space="preserve"> PAGEREF _Toc12877770 \h </w:instrText>
            </w:r>
            <w:r w:rsidRPr="00066DF3">
              <w:rPr>
                <w:noProof/>
                <w:webHidden/>
              </w:rPr>
            </w:r>
            <w:r w:rsidRPr="00066DF3">
              <w:rPr>
                <w:noProof/>
                <w:webHidden/>
              </w:rPr>
              <w:fldChar w:fldCharType="separate"/>
            </w:r>
            <w:r w:rsidRPr="00066DF3">
              <w:rPr>
                <w:noProof/>
                <w:webHidden/>
              </w:rPr>
              <w:t>29</w:t>
            </w:r>
            <w:r w:rsidRPr="00066DF3">
              <w:rPr>
                <w:noProof/>
                <w:webHidden/>
              </w:rPr>
              <w:fldChar w:fldCharType="end"/>
            </w:r>
          </w:hyperlink>
        </w:p>
        <w:p w14:paraId="078F6DE8" w14:textId="1E01139F" w:rsidR="00066DF3" w:rsidRPr="00066DF3" w:rsidRDefault="00066DF3">
          <w:pPr>
            <w:pStyle w:val="TOC2"/>
            <w:tabs>
              <w:tab w:val="left" w:pos="880"/>
              <w:tab w:val="right" w:leader="dot" w:pos="9350"/>
            </w:tabs>
            <w:rPr>
              <w:noProof/>
            </w:rPr>
          </w:pPr>
          <w:hyperlink w:anchor="_Toc12877771" w:history="1">
            <w:r w:rsidRPr="00066DF3">
              <w:rPr>
                <w:rStyle w:val="Hyperlink"/>
                <w:rFonts w:cstheme="minorHAnsi"/>
                <w:noProof/>
              </w:rPr>
              <w:t>3.3.</w:t>
            </w:r>
            <w:r w:rsidRPr="00066DF3">
              <w:rPr>
                <w:noProof/>
              </w:rPr>
              <w:tab/>
            </w:r>
            <w:r w:rsidRPr="00066DF3">
              <w:rPr>
                <w:rStyle w:val="Hyperlink"/>
                <w:rFonts w:cstheme="minorHAnsi"/>
                <w:noProof/>
              </w:rPr>
              <w:t>Sensitivity analysis to role of smear</w:t>
            </w:r>
            <w:r w:rsidRPr="00066DF3">
              <w:rPr>
                <w:noProof/>
                <w:webHidden/>
              </w:rPr>
              <w:tab/>
            </w:r>
            <w:r w:rsidRPr="00066DF3">
              <w:rPr>
                <w:noProof/>
                <w:webHidden/>
              </w:rPr>
              <w:fldChar w:fldCharType="begin"/>
            </w:r>
            <w:r w:rsidRPr="00066DF3">
              <w:rPr>
                <w:noProof/>
                <w:webHidden/>
              </w:rPr>
              <w:instrText xml:space="preserve"> PAGEREF _Toc12877771 \h </w:instrText>
            </w:r>
            <w:r w:rsidRPr="00066DF3">
              <w:rPr>
                <w:noProof/>
                <w:webHidden/>
              </w:rPr>
            </w:r>
            <w:r w:rsidRPr="00066DF3">
              <w:rPr>
                <w:noProof/>
                <w:webHidden/>
              </w:rPr>
              <w:fldChar w:fldCharType="separate"/>
            </w:r>
            <w:r w:rsidRPr="00066DF3">
              <w:rPr>
                <w:noProof/>
                <w:webHidden/>
              </w:rPr>
              <w:t>32</w:t>
            </w:r>
            <w:r w:rsidRPr="00066DF3">
              <w:rPr>
                <w:noProof/>
                <w:webHidden/>
              </w:rPr>
              <w:fldChar w:fldCharType="end"/>
            </w:r>
          </w:hyperlink>
        </w:p>
        <w:p w14:paraId="51391CF5" w14:textId="032B0B95" w:rsidR="009A35D4" w:rsidRPr="00066DF3" w:rsidRDefault="009A35D4">
          <w:r w:rsidRPr="00066DF3">
            <w:rPr>
              <w:b/>
              <w:bCs/>
              <w:noProof/>
            </w:rPr>
            <w:fldChar w:fldCharType="end"/>
          </w:r>
        </w:p>
      </w:sdtContent>
    </w:sdt>
    <w:p w14:paraId="6F04720B" w14:textId="77777777" w:rsidR="009A35D4" w:rsidRPr="00CA4BEF" w:rsidRDefault="009A35D4" w:rsidP="009A35D4">
      <w:pPr>
        <w:jc w:val="both"/>
        <w:rPr>
          <w:rFonts w:ascii="Calibri" w:hAnsi="Calibri" w:cs="Calibri"/>
          <w:szCs w:val="28"/>
          <w:vertAlign w:val="superscript"/>
        </w:rPr>
      </w:pPr>
    </w:p>
    <w:p w14:paraId="2C2F2529" w14:textId="45F1A2A2" w:rsidR="00DD45C9" w:rsidRPr="00D93D2D" w:rsidRDefault="00DD45C9" w:rsidP="00DD45C9">
      <w:pPr>
        <w:jc w:val="both"/>
        <w:rPr>
          <w:rFonts w:cstheme="minorHAnsi"/>
          <w:szCs w:val="28"/>
        </w:rPr>
      </w:pPr>
    </w:p>
    <w:p w14:paraId="5B9132E3" w14:textId="77777777" w:rsidR="00DD45C9" w:rsidRPr="00D93D2D" w:rsidRDefault="00DD45C9" w:rsidP="00DD45C9">
      <w:pPr>
        <w:rPr>
          <w:rFonts w:cstheme="minorHAnsi"/>
        </w:rPr>
      </w:pPr>
    </w:p>
    <w:p w14:paraId="5BEE659A" w14:textId="77777777" w:rsidR="003767A9" w:rsidRPr="00D93D2D" w:rsidRDefault="003767A9" w:rsidP="00060BF2">
      <w:pPr>
        <w:tabs>
          <w:tab w:val="left" w:pos="2430"/>
        </w:tabs>
        <w:jc w:val="both"/>
        <w:rPr>
          <w:rFonts w:eastAsiaTheme="majorEastAsia" w:cstheme="minorHAnsi"/>
          <w:b/>
          <w:color w:val="000000" w:themeColor="text1"/>
          <w:sz w:val="32"/>
          <w:szCs w:val="32"/>
        </w:rPr>
      </w:pPr>
      <w:r w:rsidRPr="00D93D2D">
        <w:rPr>
          <w:rFonts w:cstheme="minorHAnsi"/>
        </w:rPr>
        <w:br w:type="page"/>
      </w:r>
    </w:p>
    <w:p w14:paraId="7594550C" w14:textId="7FF475F0" w:rsidR="00AA32BF" w:rsidRPr="00D93D2D" w:rsidRDefault="000D2FEE" w:rsidP="00060BF2">
      <w:pPr>
        <w:pStyle w:val="Heading1"/>
        <w:tabs>
          <w:tab w:val="left" w:pos="2430"/>
        </w:tabs>
        <w:jc w:val="both"/>
        <w:rPr>
          <w:rFonts w:cstheme="minorHAnsi"/>
        </w:rPr>
      </w:pPr>
      <w:bookmarkStart w:id="0" w:name="_Toc12877754"/>
      <w:r w:rsidRPr="00D93D2D">
        <w:rPr>
          <w:rFonts w:cstheme="minorHAnsi"/>
        </w:rPr>
        <w:lastRenderedPageBreak/>
        <w:t>C</w:t>
      </w:r>
      <w:r w:rsidR="00AA32BF" w:rsidRPr="00D93D2D">
        <w:rPr>
          <w:rFonts w:cstheme="minorHAnsi"/>
        </w:rPr>
        <w:t>ost Analysis</w:t>
      </w:r>
      <w:bookmarkEnd w:id="0"/>
    </w:p>
    <w:p w14:paraId="2C7CC39D" w14:textId="513AA78D" w:rsidR="00084C16" w:rsidRPr="00D93D2D" w:rsidRDefault="00084C16" w:rsidP="00084C16">
      <w:pPr>
        <w:pStyle w:val="Heading2"/>
        <w:rPr>
          <w:rFonts w:cstheme="minorHAnsi"/>
        </w:rPr>
      </w:pPr>
      <w:bookmarkStart w:id="1" w:name="_Toc12877755"/>
      <w:r w:rsidRPr="00D93D2D">
        <w:rPr>
          <w:rFonts w:cstheme="minorHAnsi"/>
        </w:rPr>
        <w:t xml:space="preserve">An overview of the 2025 </w:t>
      </w:r>
      <w:r w:rsidR="008636F3" w:rsidRPr="00D93D2D">
        <w:rPr>
          <w:rFonts w:cstheme="minorHAnsi"/>
        </w:rPr>
        <w:t>National Strategic Plan (</w:t>
      </w:r>
      <w:r w:rsidRPr="00D93D2D">
        <w:rPr>
          <w:rFonts w:cstheme="minorHAnsi"/>
        </w:rPr>
        <w:t>NSP</w:t>
      </w:r>
      <w:r w:rsidR="008636F3" w:rsidRPr="00D93D2D">
        <w:rPr>
          <w:rFonts w:cstheme="minorHAnsi"/>
        </w:rPr>
        <w:t>)</w:t>
      </w:r>
      <w:r w:rsidRPr="00D93D2D">
        <w:rPr>
          <w:rFonts w:cstheme="minorHAnsi"/>
        </w:rPr>
        <w:t xml:space="preserve"> for Xpert scale-up in India</w:t>
      </w:r>
      <w:bookmarkEnd w:id="1"/>
    </w:p>
    <w:p w14:paraId="08DD0DFB" w14:textId="78C2DF13" w:rsidR="000F2683" w:rsidRPr="00D93D2D" w:rsidRDefault="00261FEE" w:rsidP="00B614B1">
      <w:pPr>
        <w:jc w:val="both"/>
        <w:rPr>
          <w:rFonts w:cstheme="minorHAnsi"/>
        </w:rPr>
      </w:pPr>
      <w:r w:rsidRPr="00D93D2D">
        <w:rPr>
          <w:rFonts w:cstheme="minorHAnsi"/>
        </w:rPr>
        <w:t>India’s 2025 National Strategic Plan for laboratory systems and diagnosis is developed around the goal of achieving universal access to early and accurate diagnosis of TB. One of the key activities within the laboratory strengthening program is to roll-out cartridge-based nucleic acid amplification test (CBNAAT</w:t>
      </w:r>
      <w:r w:rsidR="00671563" w:rsidRPr="00D93D2D">
        <w:rPr>
          <w:rFonts w:cstheme="minorHAnsi"/>
        </w:rPr>
        <w:t xml:space="preserve"> – Xpert MTB/RIF</w:t>
      </w:r>
      <w:r w:rsidRPr="00D93D2D">
        <w:rPr>
          <w:rFonts w:cstheme="minorHAnsi"/>
        </w:rPr>
        <w:t xml:space="preserve">) throughout the country, built upon the </w:t>
      </w:r>
      <w:r w:rsidR="008636F3" w:rsidRPr="00D93D2D">
        <w:rPr>
          <w:rFonts w:cstheme="minorHAnsi"/>
        </w:rPr>
        <w:t>Revised National Tuberculosis Control Programme (</w:t>
      </w:r>
      <w:r w:rsidRPr="00D93D2D">
        <w:rPr>
          <w:rFonts w:cstheme="minorHAnsi"/>
        </w:rPr>
        <w:t>RNTCP</w:t>
      </w:r>
      <w:r w:rsidR="008636F3" w:rsidRPr="00D93D2D">
        <w:rPr>
          <w:rFonts w:cstheme="minorHAnsi"/>
        </w:rPr>
        <w:t>)</w:t>
      </w:r>
      <w:r w:rsidRPr="00D93D2D">
        <w:rPr>
          <w:rFonts w:cstheme="minorHAnsi"/>
        </w:rPr>
        <w:t xml:space="preserve">’s initial success in implementing more than 600 </w:t>
      </w:r>
      <w:r w:rsidR="008636F3" w:rsidRPr="00D93D2D">
        <w:rPr>
          <w:rFonts w:cstheme="minorHAnsi"/>
        </w:rPr>
        <w:t>cartridge-based nucleic acid amplification tests (</w:t>
      </w:r>
      <w:r w:rsidRPr="00D93D2D">
        <w:rPr>
          <w:rFonts w:cstheme="minorHAnsi"/>
        </w:rPr>
        <w:t>CBNAAT</w:t>
      </w:r>
      <w:r w:rsidR="008636F3" w:rsidRPr="00D93D2D">
        <w:rPr>
          <w:rFonts w:cstheme="minorHAnsi"/>
        </w:rPr>
        <w:t>)</w:t>
      </w:r>
      <w:r w:rsidRPr="00D93D2D">
        <w:rPr>
          <w:rFonts w:cstheme="minorHAnsi"/>
        </w:rPr>
        <w:t xml:space="preserve"> between 2012 and 2017. The 2025 NSP aims to accelerate this process by making CBNAAT available to 8335 laboratory facilities</w:t>
      </w:r>
      <w:r w:rsidR="00671563" w:rsidRPr="00D93D2D">
        <w:rPr>
          <w:rFonts w:cstheme="minorHAnsi"/>
        </w:rPr>
        <w:t>. Table</w:t>
      </w:r>
      <w:r w:rsidR="00C30A6E">
        <w:rPr>
          <w:rFonts w:cstheme="minorHAnsi"/>
        </w:rPr>
        <w:t xml:space="preserve"> S1 </w:t>
      </w:r>
      <w:r w:rsidR="00671563" w:rsidRPr="00D93D2D">
        <w:rPr>
          <w:rFonts w:cstheme="minorHAnsi"/>
        </w:rPr>
        <w:t xml:space="preserve">summarizes expected national coverage and average testing volumes for CBNAAT based on the projected numbers reported in the 2025 NSP. </w:t>
      </w:r>
      <w:r w:rsidRPr="00D93D2D">
        <w:rPr>
          <w:rFonts w:cstheme="minorHAnsi"/>
        </w:rPr>
        <w:t xml:space="preserve"> </w:t>
      </w:r>
    </w:p>
    <w:tbl>
      <w:tblPr>
        <w:tblpPr w:leftFromText="180" w:rightFromText="180" w:vertAnchor="page" w:horzAnchor="margin" w:tblpY="5389"/>
        <w:tblW w:w="5000" w:type="pct"/>
        <w:tblLook w:val="04A0" w:firstRow="1" w:lastRow="0" w:firstColumn="1" w:lastColumn="0" w:noHBand="0" w:noVBand="1"/>
      </w:tblPr>
      <w:tblGrid>
        <w:gridCol w:w="2060"/>
        <w:gridCol w:w="621"/>
        <w:gridCol w:w="621"/>
        <w:gridCol w:w="672"/>
        <w:gridCol w:w="672"/>
        <w:gridCol w:w="672"/>
        <w:gridCol w:w="672"/>
        <w:gridCol w:w="672"/>
        <w:gridCol w:w="672"/>
        <w:gridCol w:w="672"/>
        <w:gridCol w:w="672"/>
        <w:gridCol w:w="672"/>
      </w:tblGrid>
      <w:tr w:rsidR="00671563" w:rsidRPr="00D93D2D" w14:paraId="12513EB2" w14:textId="77777777" w:rsidTr="005A6E42">
        <w:trPr>
          <w:trHeight w:val="130"/>
        </w:trPr>
        <w:tc>
          <w:tcPr>
            <w:tcW w:w="1102" w:type="pct"/>
            <w:vMerge w:val="restart"/>
            <w:tcBorders>
              <w:top w:val="single" w:sz="4" w:space="0" w:color="auto"/>
              <w:left w:val="single" w:sz="4" w:space="0" w:color="auto"/>
              <w:bottom w:val="single" w:sz="4" w:space="0" w:color="000000"/>
              <w:right w:val="single" w:sz="4" w:space="0" w:color="auto"/>
            </w:tcBorders>
            <w:shd w:val="clear" w:color="000000" w:fill="C9C9C9"/>
            <w:noWrap/>
            <w:hideMark/>
          </w:tcPr>
          <w:p w14:paraId="2CCE5B3B"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Indicators</w:t>
            </w:r>
          </w:p>
        </w:tc>
        <w:tc>
          <w:tcPr>
            <w:tcW w:w="3898" w:type="pct"/>
            <w:gridSpan w:val="11"/>
            <w:tcBorders>
              <w:top w:val="single" w:sz="4" w:space="0" w:color="auto"/>
              <w:left w:val="nil"/>
              <w:bottom w:val="single" w:sz="4" w:space="0" w:color="auto"/>
              <w:right w:val="single" w:sz="4" w:space="0" w:color="auto"/>
            </w:tcBorders>
            <w:shd w:val="clear" w:color="000000" w:fill="C9C9C9"/>
            <w:noWrap/>
            <w:hideMark/>
          </w:tcPr>
          <w:p w14:paraId="038EA4B4"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Year</w:t>
            </w:r>
          </w:p>
        </w:tc>
      </w:tr>
      <w:tr w:rsidR="00671563" w:rsidRPr="00D93D2D" w14:paraId="0B5A27D1" w14:textId="77777777" w:rsidTr="005A6E42">
        <w:trPr>
          <w:trHeight w:val="130"/>
        </w:trPr>
        <w:tc>
          <w:tcPr>
            <w:tcW w:w="1102" w:type="pct"/>
            <w:vMerge/>
            <w:tcBorders>
              <w:top w:val="single" w:sz="4" w:space="0" w:color="auto"/>
              <w:left w:val="single" w:sz="4" w:space="0" w:color="auto"/>
              <w:bottom w:val="single" w:sz="4" w:space="0" w:color="000000"/>
              <w:right w:val="single" w:sz="4" w:space="0" w:color="auto"/>
            </w:tcBorders>
            <w:hideMark/>
          </w:tcPr>
          <w:p w14:paraId="51DEFA12" w14:textId="77777777" w:rsidR="00671563" w:rsidRPr="00D93D2D" w:rsidRDefault="00671563" w:rsidP="008636F3">
            <w:pPr>
              <w:spacing w:after="0" w:line="240" w:lineRule="auto"/>
              <w:rPr>
                <w:rFonts w:eastAsia="Times New Roman" w:cstheme="minorHAnsi"/>
                <w:b/>
                <w:bCs/>
                <w:color w:val="000000"/>
                <w:sz w:val="12"/>
              </w:rPr>
            </w:pPr>
          </w:p>
        </w:tc>
        <w:tc>
          <w:tcPr>
            <w:tcW w:w="332" w:type="pct"/>
            <w:tcBorders>
              <w:top w:val="nil"/>
              <w:left w:val="nil"/>
              <w:bottom w:val="single" w:sz="4" w:space="0" w:color="auto"/>
              <w:right w:val="single" w:sz="4" w:space="0" w:color="auto"/>
            </w:tcBorders>
            <w:shd w:val="clear" w:color="000000" w:fill="EDEDED"/>
            <w:noWrap/>
            <w:hideMark/>
          </w:tcPr>
          <w:p w14:paraId="722C6259"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2015</w:t>
            </w:r>
          </w:p>
        </w:tc>
        <w:tc>
          <w:tcPr>
            <w:tcW w:w="332" w:type="pct"/>
            <w:tcBorders>
              <w:top w:val="nil"/>
              <w:left w:val="nil"/>
              <w:bottom w:val="single" w:sz="4" w:space="0" w:color="auto"/>
              <w:right w:val="single" w:sz="4" w:space="0" w:color="auto"/>
            </w:tcBorders>
            <w:shd w:val="clear" w:color="000000" w:fill="EDEDED"/>
            <w:noWrap/>
            <w:hideMark/>
          </w:tcPr>
          <w:p w14:paraId="2BC5DA0F"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2016</w:t>
            </w:r>
          </w:p>
        </w:tc>
        <w:tc>
          <w:tcPr>
            <w:tcW w:w="359" w:type="pct"/>
            <w:tcBorders>
              <w:top w:val="nil"/>
              <w:left w:val="nil"/>
              <w:bottom w:val="single" w:sz="4" w:space="0" w:color="auto"/>
              <w:right w:val="single" w:sz="4" w:space="0" w:color="auto"/>
            </w:tcBorders>
            <w:shd w:val="clear" w:color="000000" w:fill="EDEDED"/>
            <w:noWrap/>
            <w:hideMark/>
          </w:tcPr>
          <w:p w14:paraId="604B3050"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2017</w:t>
            </w:r>
          </w:p>
        </w:tc>
        <w:tc>
          <w:tcPr>
            <w:tcW w:w="359" w:type="pct"/>
            <w:tcBorders>
              <w:top w:val="nil"/>
              <w:left w:val="nil"/>
              <w:bottom w:val="single" w:sz="4" w:space="0" w:color="auto"/>
              <w:right w:val="single" w:sz="4" w:space="0" w:color="auto"/>
            </w:tcBorders>
            <w:shd w:val="clear" w:color="000000" w:fill="EDEDED"/>
            <w:noWrap/>
            <w:hideMark/>
          </w:tcPr>
          <w:p w14:paraId="3F89561D"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2018</w:t>
            </w:r>
          </w:p>
        </w:tc>
        <w:tc>
          <w:tcPr>
            <w:tcW w:w="359" w:type="pct"/>
            <w:tcBorders>
              <w:top w:val="nil"/>
              <w:left w:val="nil"/>
              <w:bottom w:val="single" w:sz="4" w:space="0" w:color="auto"/>
              <w:right w:val="single" w:sz="4" w:space="0" w:color="auto"/>
            </w:tcBorders>
            <w:shd w:val="clear" w:color="000000" w:fill="EDEDED"/>
            <w:noWrap/>
            <w:hideMark/>
          </w:tcPr>
          <w:p w14:paraId="12B96357"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2019</w:t>
            </w:r>
          </w:p>
        </w:tc>
        <w:tc>
          <w:tcPr>
            <w:tcW w:w="359" w:type="pct"/>
            <w:tcBorders>
              <w:top w:val="nil"/>
              <w:left w:val="nil"/>
              <w:bottom w:val="single" w:sz="4" w:space="0" w:color="auto"/>
              <w:right w:val="single" w:sz="4" w:space="0" w:color="auto"/>
            </w:tcBorders>
            <w:shd w:val="clear" w:color="000000" w:fill="EDEDED"/>
            <w:noWrap/>
            <w:hideMark/>
          </w:tcPr>
          <w:p w14:paraId="6D24BB0C"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2020</w:t>
            </w:r>
          </w:p>
        </w:tc>
        <w:tc>
          <w:tcPr>
            <w:tcW w:w="359" w:type="pct"/>
            <w:tcBorders>
              <w:top w:val="nil"/>
              <w:left w:val="nil"/>
              <w:bottom w:val="single" w:sz="4" w:space="0" w:color="auto"/>
              <w:right w:val="single" w:sz="4" w:space="0" w:color="auto"/>
            </w:tcBorders>
            <w:shd w:val="clear" w:color="000000" w:fill="EDEDED"/>
            <w:noWrap/>
            <w:hideMark/>
          </w:tcPr>
          <w:p w14:paraId="3528AF46"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2021</w:t>
            </w:r>
          </w:p>
        </w:tc>
        <w:tc>
          <w:tcPr>
            <w:tcW w:w="359" w:type="pct"/>
            <w:tcBorders>
              <w:top w:val="nil"/>
              <w:left w:val="nil"/>
              <w:bottom w:val="single" w:sz="4" w:space="0" w:color="auto"/>
              <w:right w:val="single" w:sz="4" w:space="0" w:color="auto"/>
            </w:tcBorders>
            <w:shd w:val="clear" w:color="000000" w:fill="EDEDED"/>
            <w:noWrap/>
            <w:hideMark/>
          </w:tcPr>
          <w:p w14:paraId="74D8EA44"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2022</w:t>
            </w:r>
          </w:p>
        </w:tc>
        <w:tc>
          <w:tcPr>
            <w:tcW w:w="359" w:type="pct"/>
            <w:tcBorders>
              <w:top w:val="nil"/>
              <w:left w:val="nil"/>
              <w:bottom w:val="single" w:sz="4" w:space="0" w:color="auto"/>
              <w:right w:val="single" w:sz="4" w:space="0" w:color="auto"/>
            </w:tcBorders>
            <w:shd w:val="clear" w:color="000000" w:fill="EDEDED"/>
            <w:noWrap/>
            <w:hideMark/>
          </w:tcPr>
          <w:p w14:paraId="40A02ABD"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2023</w:t>
            </w:r>
          </w:p>
        </w:tc>
        <w:tc>
          <w:tcPr>
            <w:tcW w:w="359" w:type="pct"/>
            <w:tcBorders>
              <w:top w:val="nil"/>
              <w:left w:val="nil"/>
              <w:bottom w:val="single" w:sz="4" w:space="0" w:color="auto"/>
              <w:right w:val="single" w:sz="4" w:space="0" w:color="auto"/>
            </w:tcBorders>
            <w:shd w:val="clear" w:color="000000" w:fill="EDEDED"/>
            <w:noWrap/>
            <w:hideMark/>
          </w:tcPr>
          <w:p w14:paraId="5B946E33"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2024</w:t>
            </w:r>
          </w:p>
        </w:tc>
        <w:tc>
          <w:tcPr>
            <w:tcW w:w="359" w:type="pct"/>
            <w:tcBorders>
              <w:top w:val="nil"/>
              <w:left w:val="nil"/>
              <w:bottom w:val="single" w:sz="4" w:space="0" w:color="auto"/>
              <w:right w:val="single" w:sz="4" w:space="0" w:color="auto"/>
            </w:tcBorders>
            <w:shd w:val="clear" w:color="000000" w:fill="EDEDED"/>
            <w:noWrap/>
            <w:hideMark/>
          </w:tcPr>
          <w:p w14:paraId="685476B0" w14:textId="77777777" w:rsidR="00671563" w:rsidRPr="00D93D2D" w:rsidRDefault="00671563" w:rsidP="008636F3">
            <w:pPr>
              <w:spacing w:after="0" w:line="240" w:lineRule="auto"/>
              <w:rPr>
                <w:rFonts w:eastAsia="Times New Roman" w:cstheme="minorHAnsi"/>
                <w:b/>
                <w:bCs/>
                <w:color w:val="000000"/>
                <w:sz w:val="12"/>
              </w:rPr>
            </w:pPr>
            <w:r w:rsidRPr="00D93D2D">
              <w:rPr>
                <w:rFonts w:eastAsia="Times New Roman" w:cstheme="minorHAnsi"/>
                <w:b/>
                <w:bCs/>
                <w:color w:val="000000"/>
                <w:sz w:val="12"/>
              </w:rPr>
              <w:t>2025</w:t>
            </w:r>
          </w:p>
        </w:tc>
      </w:tr>
      <w:tr w:rsidR="00671563" w:rsidRPr="00D93D2D" w14:paraId="5CF03C16"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1CB6234B"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Total # of diagnostic tests*</w:t>
            </w:r>
          </w:p>
        </w:tc>
        <w:tc>
          <w:tcPr>
            <w:tcW w:w="332" w:type="pct"/>
            <w:tcBorders>
              <w:top w:val="nil"/>
              <w:left w:val="nil"/>
              <w:bottom w:val="single" w:sz="4" w:space="0" w:color="auto"/>
              <w:right w:val="single" w:sz="4" w:space="0" w:color="auto"/>
            </w:tcBorders>
            <w:shd w:val="clear" w:color="auto" w:fill="auto"/>
            <w:noWrap/>
            <w:vAlign w:val="center"/>
            <w:hideMark/>
          </w:tcPr>
          <w:p w14:paraId="1274A7BA"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9,343,004</w:t>
            </w:r>
          </w:p>
        </w:tc>
        <w:tc>
          <w:tcPr>
            <w:tcW w:w="332" w:type="pct"/>
            <w:tcBorders>
              <w:top w:val="nil"/>
              <w:left w:val="nil"/>
              <w:bottom w:val="single" w:sz="4" w:space="0" w:color="auto"/>
              <w:right w:val="single" w:sz="4" w:space="0" w:color="auto"/>
            </w:tcBorders>
            <w:shd w:val="clear" w:color="auto" w:fill="auto"/>
            <w:noWrap/>
            <w:vAlign w:val="center"/>
            <w:hideMark/>
          </w:tcPr>
          <w:p w14:paraId="205335E2"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9,722,000</w:t>
            </w:r>
          </w:p>
        </w:tc>
        <w:tc>
          <w:tcPr>
            <w:tcW w:w="359" w:type="pct"/>
            <w:tcBorders>
              <w:top w:val="nil"/>
              <w:left w:val="nil"/>
              <w:bottom w:val="single" w:sz="4" w:space="0" w:color="auto"/>
              <w:right w:val="single" w:sz="4" w:space="0" w:color="auto"/>
            </w:tcBorders>
            <w:shd w:val="clear" w:color="auto" w:fill="auto"/>
            <w:noWrap/>
            <w:vAlign w:val="center"/>
            <w:hideMark/>
          </w:tcPr>
          <w:p w14:paraId="3346D22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10,718,000</w:t>
            </w:r>
          </w:p>
        </w:tc>
        <w:tc>
          <w:tcPr>
            <w:tcW w:w="359" w:type="pct"/>
            <w:tcBorders>
              <w:top w:val="nil"/>
              <w:left w:val="nil"/>
              <w:bottom w:val="single" w:sz="4" w:space="0" w:color="auto"/>
              <w:right w:val="single" w:sz="4" w:space="0" w:color="auto"/>
            </w:tcBorders>
            <w:shd w:val="clear" w:color="auto" w:fill="auto"/>
            <w:noWrap/>
            <w:vAlign w:val="center"/>
            <w:hideMark/>
          </w:tcPr>
          <w:p w14:paraId="3EF80A3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12,330,000</w:t>
            </w:r>
          </w:p>
        </w:tc>
        <w:tc>
          <w:tcPr>
            <w:tcW w:w="359" w:type="pct"/>
            <w:tcBorders>
              <w:top w:val="nil"/>
              <w:left w:val="nil"/>
              <w:bottom w:val="single" w:sz="4" w:space="0" w:color="auto"/>
              <w:right w:val="single" w:sz="4" w:space="0" w:color="auto"/>
            </w:tcBorders>
            <w:shd w:val="clear" w:color="auto" w:fill="auto"/>
            <w:noWrap/>
            <w:vAlign w:val="center"/>
            <w:hideMark/>
          </w:tcPr>
          <w:p w14:paraId="4CACABBC"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14,565,000</w:t>
            </w:r>
          </w:p>
        </w:tc>
        <w:tc>
          <w:tcPr>
            <w:tcW w:w="359" w:type="pct"/>
            <w:tcBorders>
              <w:top w:val="nil"/>
              <w:left w:val="nil"/>
              <w:bottom w:val="single" w:sz="4" w:space="0" w:color="auto"/>
              <w:right w:val="single" w:sz="4" w:space="0" w:color="auto"/>
            </w:tcBorders>
            <w:shd w:val="clear" w:color="auto" w:fill="auto"/>
            <w:noWrap/>
            <w:vAlign w:val="center"/>
            <w:hideMark/>
          </w:tcPr>
          <w:p w14:paraId="1745174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15,960,000</w:t>
            </w:r>
          </w:p>
        </w:tc>
        <w:tc>
          <w:tcPr>
            <w:tcW w:w="359" w:type="pct"/>
            <w:tcBorders>
              <w:top w:val="nil"/>
              <w:left w:val="nil"/>
              <w:bottom w:val="single" w:sz="4" w:space="0" w:color="auto"/>
              <w:right w:val="single" w:sz="4" w:space="0" w:color="auto"/>
            </w:tcBorders>
            <w:shd w:val="clear" w:color="auto" w:fill="auto"/>
            <w:noWrap/>
            <w:vAlign w:val="center"/>
            <w:hideMark/>
          </w:tcPr>
          <w:p w14:paraId="509AB950"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19,300,000</w:t>
            </w:r>
          </w:p>
        </w:tc>
        <w:tc>
          <w:tcPr>
            <w:tcW w:w="359" w:type="pct"/>
            <w:tcBorders>
              <w:top w:val="nil"/>
              <w:left w:val="nil"/>
              <w:bottom w:val="single" w:sz="4" w:space="0" w:color="auto"/>
              <w:right w:val="single" w:sz="4" w:space="0" w:color="auto"/>
            </w:tcBorders>
            <w:shd w:val="clear" w:color="auto" w:fill="auto"/>
            <w:noWrap/>
            <w:vAlign w:val="center"/>
            <w:hideMark/>
          </w:tcPr>
          <w:p w14:paraId="5AC4069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20,390,000</w:t>
            </w:r>
          </w:p>
        </w:tc>
        <w:tc>
          <w:tcPr>
            <w:tcW w:w="359" w:type="pct"/>
            <w:tcBorders>
              <w:top w:val="nil"/>
              <w:left w:val="nil"/>
              <w:bottom w:val="single" w:sz="4" w:space="0" w:color="auto"/>
              <w:right w:val="single" w:sz="4" w:space="0" w:color="auto"/>
            </w:tcBorders>
            <w:shd w:val="clear" w:color="auto" w:fill="auto"/>
            <w:noWrap/>
            <w:vAlign w:val="center"/>
            <w:hideMark/>
          </w:tcPr>
          <w:p w14:paraId="2D3D57C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21,205,000</w:t>
            </w:r>
          </w:p>
        </w:tc>
        <w:tc>
          <w:tcPr>
            <w:tcW w:w="359" w:type="pct"/>
            <w:tcBorders>
              <w:top w:val="nil"/>
              <w:left w:val="nil"/>
              <w:bottom w:val="single" w:sz="4" w:space="0" w:color="auto"/>
              <w:right w:val="single" w:sz="4" w:space="0" w:color="auto"/>
            </w:tcBorders>
            <w:shd w:val="clear" w:color="auto" w:fill="auto"/>
            <w:noWrap/>
            <w:vAlign w:val="center"/>
            <w:hideMark/>
          </w:tcPr>
          <w:p w14:paraId="255D120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21,270,000</w:t>
            </w:r>
          </w:p>
        </w:tc>
        <w:tc>
          <w:tcPr>
            <w:tcW w:w="359" w:type="pct"/>
            <w:tcBorders>
              <w:top w:val="nil"/>
              <w:left w:val="nil"/>
              <w:bottom w:val="single" w:sz="4" w:space="0" w:color="auto"/>
              <w:right w:val="single" w:sz="4" w:space="0" w:color="auto"/>
            </w:tcBorders>
            <w:shd w:val="clear" w:color="auto" w:fill="auto"/>
            <w:noWrap/>
            <w:vAlign w:val="center"/>
            <w:hideMark/>
          </w:tcPr>
          <w:p w14:paraId="7E88B0B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21,495,000</w:t>
            </w:r>
          </w:p>
        </w:tc>
      </w:tr>
      <w:tr w:rsidR="00671563" w:rsidRPr="00D93D2D" w14:paraId="5DD7F48A"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073E0F82"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 of Xpert Labs</w:t>
            </w:r>
          </w:p>
        </w:tc>
        <w:tc>
          <w:tcPr>
            <w:tcW w:w="332" w:type="pct"/>
            <w:tcBorders>
              <w:top w:val="nil"/>
              <w:left w:val="nil"/>
              <w:bottom w:val="single" w:sz="4" w:space="0" w:color="auto"/>
              <w:right w:val="single" w:sz="4" w:space="0" w:color="auto"/>
            </w:tcBorders>
            <w:shd w:val="clear" w:color="auto" w:fill="auto"/>
            <w:noWrap/>
            <w:vAlign w:val="center"/>
            <w:hideMark/>
          </w:tcPr>
          <w:p w14:paraId="72E596D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123</w:t>
            </w:r>
          </w:p>
        </w:tc>
        <w:tc>
          <w:tcPr>
            <w:tcW w:w="332" w:type="pct"/>
            <w:tcBorders>
              <w:top w:val="nil"/>
              <w:left w:val="nil"/>
              <w:bottom w:val="single" w:sz="4" w:space="0" w:color="auto"/>
              <w:right w:val="single" w:sz="4" w:space="0" w:color="auto"/>
            </w:tcBorders>
            <w:shd w:val="clear" w:color="auto" w:fill="auto"/>
            <w:noWrap/>
            <w:vAlign w:val="center"/>
            <w:hideMark/>
          </w:tcPr>
          <w:p w14:paraId="6CD87AD0"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628</w:t>
            </w:r>
          </w:p>
        </w:tc>
        <w:tc>
          <w:tcPr>
            <w:tcW w:w="359" w:type="pct"/>
            <w:tcBorders>
              <w:top w:val="nil"/>
              <w:left w:val="nil"/>
              <w:bottom w:val="single" w:sz="4" w:space="0" w:color="auto"/>
              <w:right w:val="single" w:sz="4" w:space="0" w:color="auto"/>
            </w:tcBorders>
            <w:shd w:val="clear" w:color="auto" w:fill="auto"/>
            <w:noWrap/>
            <w:vAlign w:val="center"/>
            <w:hideMark/>
          </w:tcPr>
          <w:p w14:paraId="47EC6D2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1235</w:t>
            </w:r>
          </w:p>
        </w:tc>
        <w:tc>
          <w:tcPr>
            <w:tcW w:w="359" w:type="pct"/>
            <w:tcBorders>
              <w:top w:val="nil"/>
              <w:left w:val="nil"/>
              <w:bottom w:val="single" w:sz="4" w:space="0" w:color="auto"/>
              <w:right w:val="single" w:sz="4" w:space="0" w:color="auto"/>
            </w:tcBorders>
            <w:shd w:val="clear" w:color="auto" w:fill="auto"/>
            <w:noWrap/>
            <w:vAlign w:val="center"/>
            <w:hideMark/>
          </w:tcPr>
          <w:p w14:paraId="542376A9"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2235</w:t>
            </w:r>
          </w:p>
        </w:tc>
        <w:tc>
          <w:tcPr>
            <w:tcW w:w="359" w:type="pct"/>
            <w:tcBorders>
              <w:top w:val="nil"/>
              <w:left w:val="nil"/>
              <w:bottom w:val="single" w:sz="4" w:space="0" w:color="auto"/>
              <w:right w:val="single" w:sz="4" w:space="0" w:color="auto"/>
            </w:tcBorders>
            <w:shd w:val="clear" w:color="auto" w:fill="auto"/>
            <w:noWrap/>
            <w:vAlign w:val="center"/>
            <w:hideMark/>
          </w:tcPr>
          <w:p w14:paraId="6F8C0BE8"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3235</w:t>
            </w:r>
          </w:p>
        </w:tc>
        <w:tc>
          <w:tcPr>
            <w:tcW w:w="359" w:type="pct"/>
            <w:tcBorders>
              <w:top w:val="nil"/>
              <w:left w:val="nil"/>
              <w:bottom w:val="single" w:sz="4" w:space="0" w:color="auto"/>
              <w:right w:val="single" w:sz="4" w:space="0" w:color="auto"/>
            </w:tcBorders>
            <w:shd w:val="clear" w:color="auto" w:fill="auto"/>
            <w:noWrap/>
            <w:vAlign w:val="center"/>
            <w:hideMark/>
          </w:tcPr>
          <w:p w14:paraId="6AB1AD4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5235</w:t>
            </w:r>
          </w:p>
        </w:tc>
        <w:tc>
          <w:tcPr>
            <w:tcW w:w="359" w:type="pct"/>
            <w:tcBorders>
              <w:top w:val="nil"/>
              <w:left w:val="nil"/>
              <w:bottom w:val="single" w:sz="4" w:space="0" w:color="auto"/>
              <w:right w:val="single" w:sz="4" w:space="0" w:color="auto"/>
            </w:tcBorders>
            <w:shd w:val="clear" w:color="auto" w:fill="auto"/>
            <w:noWrap/>
            <w:vAlign w:val="center"/>
            <w:hideMark/>
          </w:tcPr>
          <w:p w14:paraId="3D52641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6235</w:t>
            </w:r>
          </w:p>
        </w:tc>
        <w:tc>
          <w:tcPr>
            <w:tcW w:w="359" w:type="pct"/>
            <w:tcBorders>
              <w:top w:val="nil"/>
              <w:left w:val="nil"/>
              <w:bottom w:val="single" w:sz="4" w:space="0" w:color="auto"/>
              <w:right w:val="single" w:sz="4" w:space="0" w:color="auto"/>
            </w:tcBorders>
            <w:shd w:val="clear" w:color="auto" w:fill="auto"/>
            <w:noWrap/>
            <w:vAlign w:val="center"/>
            <w:hideMark/>
          </w:tcPr>
          <w:p w14:paraId="1CD60578"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6985</w:t>
            </w:r>
          </w:p>
        </w:tc>
        <w:tc>
          <w:tcPr>
            <w:tcW w:w="359" w:type="pct"/>
            <w:tcBorders>
              <w:top w:val="nil"/>
              <w:left w:val="nil"/>
              <w:bottom w:val="single" w:sz="4" w:space="0" w:color="auto"/>
              <w:right w:val="single" w:sz="4" w:space="0" w:color="auto"/>
            </w:tcBorders>
            <w:shd w:val="clear" w:color="auto" w:fill="auto"/>
            <w:noWrap/>
            <w:vAlign w:val="center"/>
            <w:hideMark/>
          </w:tcPr>
          <w:p w14:paraId="599C9AE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7585</w:t>
            </w:r>
          </w:p>
        </w:tc>
        <w:tc>
          <w:tcPr>
            <w:tcW w:w="359" w:type="pct"/>
            <w:tcBorders>
              <w:top w:val="nil"/>
              <w:left w:val="nil"/>
              <w:bottom w:val="single" w:sz="4" w:space="0" w:color="auto"/>
              <w:right w:val="single" w:sz="4" w:space="0" w:color="auto"/>
            </w:tcBorders>
            <w:shd w:val="clear" w:color="auto" w:fill="auto"/>
            <w:noWrap/>
            <w:vAlign w:val="center"/>
            <w:hideMark/>
          </w:tcPr>
          <w:p w14:paraId="67EF15E9"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8085</w:t>
            </w:r>
          </w:p>
        </w:tc>
        <w:tc>
          <w:tcPr>
            <w:tcW w:w="359" w:type="pct"/>
            <w:tcBorders>
              <w:top w:val="nil"/>
              <w:left w:val="nil"/>
              <w:bottom w:val="single" w:sz="4" w:space="0" w:color="auto"/>
              <w:right w:val="single" w:sz="4" w:space="0" w:color="auto"/>
            </w:tcBorders>
            <w:shd w:val="clear" w:color="auto" w:fill="auto"/>
            <w:noWrap/>
            <w:vAlign w:val="center"/>
            <w:hideMark/>
          </w:tcPr>
          <w:p w14:paraId="5A2879D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8335</w:t>
            </w:r>
          </w:p>
        </w:tc>
      </w:tr>
      <w:tr w:rsidR="00671563" w:rsidRPr="00D93D2D" w14:paraId="28E4BF78"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40CD497E"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Coverage @ DTC**</w:t>
            </w:r>
          </w:p>
        </w:tc>
        <w:tc>
          <w:tcPr>
            <w:tcW w:w="332" w:type="pct"/>
            <w:tcBorders>
              <w:top w:val="nil"/>
              <w:left w:val="nil"/>
              <w:bottom w:val="single" w:sz="4" w:space="0" w:color="auto"/>
              <w:right w:val="single" w:sz="4" w:space="0" w:color="auto"/>
            </w:tcBorders>
            <w:shd w:val="clear" w:color="auto" w:fill="auto"/>
            <w:noWrap/>
            <w:vAlign w:val="center"/>
            <w:hideMark/>
          </w:tcPr>
          <w:p w14:paraId="1E894E2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17%</w:t>
            </w:r>
          </w:p>
        </w:tc>
        <w:tc>
          <w:tcPr>
            <w:tcW w:w="332" w:type="pct"/>
            <w:tcBorders>
              <w:top w:val="nil"/>
              <w:left w:val="nil"/>
              <w:bottom w:val="single" w:sz="4" w:space="0" w:color="auto"/>
              <w:right w:val="single" w:sz="4" w:space="0" w:color="auto"/>
            </w:tcBorders>
            <w:shd w:val="clear" w:color="auto" w:fill="auto"/>
            <w:noWrap/>
            <w:vAlign w:val="center"/>
            <w:hideMark/>
          </w:tcPr>
          <w:p w14:paraId="1488E14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86%</w:t>
            </w:r>
          </w:p>
        </w:tc>
        <w:tc>
          <w:tcPr>
            <w:tcW w:w="359" w:type="pct"/>
            <w:tcBorders>
              <w:top w:val="nil"/>
              <w:left w:val="nil"/>
              <w:bottom w:val="single" w:sz="4" w:space="0" w:color="auto"/>
              <w:right w:val="single" w:sz="4" w:space="0" w:color="auto"/>
            </w:tcBorders>
            <w:shd w:val="clear" w:color="auto" w:fill="auto"/>
            <w:noWrap/>
            <w:vAlign w:val="center"/>
            <w:hideMark/>
          </w:tcPr>
          <w:p w14:paraId="62380F5A"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1BB1DB5F"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11397FAA"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65E3606B"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5EF6C388"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3BB8305E"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24245892"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2166AB6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7AC9C05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r>
      <w:tr w:rsidR="00671563" w:rsidRPr="00D93D2D" w14:paraId="033FCD3C" w14:textId="77777777" w:rsidTr="005A6E42">
        <w:trPr>
          <w:trHeight w:val="126"/>
        </w:trPr>
        <w:tc>
          <w:tcPr>
            <w:tcW w:w="1102" w:type="pct"/>
            <w:tcBorders>
              <w:top w:val="nil"/>
              <w:left w:val="single" w:sz="4" w:space="0" w:color="auto"/>
              <w:bottom w:val="single" w:sz="4" w:space="0" w:color="auto"/>
              <w:right w:val="single" w:sz="4" w:space="0" w:color="auto"/>
            </w:tcBorders>
            <w:shd w:val="clear" w:color="000000" w:fill="EDEDED"/>
            <w:noWrap/>
            <w:hideMark/>
          </w:tcPr>
          <w:p w14:paraId="6A922DCA"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Coverage @ TBU</w:t>
            </w:r>
          </w:p>
        </w:tc>
        <w:tc>
          <w:tcPr>
            <w:tcW w:w="332" w:type="pct"/>
            <w:tcBorders>
              <w:top w:val="nil"/>
              <w:left w:val="nil"/>
              <w:bottom w:val="single" w:sz="4" w:space="0" w:color="auto"/>
              <w:right w:val="single" w:sz="4" w:space="0" w:color="auto"/>
            </w:tcBorders>
            <w:shd w:val="clear" w:color="auto" w:fill="auto"/>
            <w:noWrap/>
            <w:vAlign w:val="center"/>
            <w:hideMark/>
          </w:tcPr>
          <w:p w14:paraId="04F39E5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32" w:type="pct"/>
            <w:tcBorders>
              <w:top w:val="nil"/>
              <w:left w:val="nil"/>
              <w:bottom w:val="single" w:sz="4" w:space="0" w:color="auto"/>
              <w:right w:val="single" w:sz="4" w:space="0" w:color="auto"/>
            </w:tcBorders>
            <w:shd w:val="clear" w:color="auto" w:fill="auto"/>
            <w:noWrap/>
            <w:vAlign w:val="center"/>
            <w:hideMark/>
          </w:tcPr>
          <w:p w14:paraId="110F128E"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59" w:type="pct"/>
            <w:tcBorders>
              <w:top w:val="nil"/>
              <w:left w:val="nil"/>
              <w:bottom w:val="single" w:sz="4" w:space="0" w:color="auto"/>
              <w:right w:val="single" w:sz="4" w:space="0" w:color="auto"/>
            </w:tcBorders>
            <w:shd w:val="clear" w:color="auto" w:fill="auto"/>
            <w:noWrap/>
            <w:vAlign w:val="center"/>
            <w:hideMark/>
          </w:tcPr>
          <w:p w14:paraId="0A4790FB"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11%</w:t>
            </w:r>
          </w:p>
        </w:tc>
        <w:tc>
          <w:tcPr>
            <w:tcW w:w="359" w:type="pct"/>
            <w:tcBorders>
              <w:top w:val="nil"/>
              <w:left w:val="nil"/>
              <w:bottom w:val="single" w:sz="4" w:space="0" w:color="auto"/>
              <w:right w:val="single" w:sz="4" w:space="0" w:color="auto"/>
            </w:tcBorders>
            <w:shd w:val="clear" w:color="auto" w:fill="auto"/>
            <w:noWrap/>
            <w:vAlign w:val="center"/>
            <w:hideMark/>
          </w:tcPr>
          <w:p w14:paraId="769193EB"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33%</w:t>
            </w:r>
          </w:p>
        </w:tc>
        <w:tc>
          <w:tcPr>
            <w:tcW w:w="359" w:type="pct"/>
            <w:tcBorders>
              <w:top w:val="nil"/>
              <w:left w:val="nil"/>
              <w:bottom w:val="single" w:sz="4" w:space="0" w:color="auto"/>
              <w:right w:val="single" w:sz="4" w:space="0" w:color="auto"/>
            </w:tcBorders>
            <w:shd w:val="clear" w:color="auto" w:fill="auto"/>
            <w:noWrap/>
            <w:vAlign w:val="center"/>
            <w:hideMark/>
          </w:tcPr>
          <w:p w14:paraId="49E49B0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55%</w:t>
            </w:r>
          </w:p>
        </w:tc>
        <w:tc>
          <w:tcPr>
            <w:tcW w:w="359" w:type="pct"/>
            <w:tcBorders>
              <w:top w:val="nil"/>
              <w:left w:val="nil"/>
              <w:bottom w:val="single" w:sz="4" w:space="0" w:color="auto"/>
              <w:right w:val="single" w:sz="4" w:space="0" w:color="auto"/>
            </w:tcBorders>
            <w:shd w:val="clear" w:color="auto" w:fill="auto"/>
            <w:noWrap/>
            <w:vAlign w:val="center"/>
            <w:hideMark/>
          </w:tcPr>
          <w:p w14:paraId="621D252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99%</w:t>
            </w:r>
          </w:p>
        </w:tc>
        <w:tc>
          <w:tcPr>
            <w:tcW w:w="359" w:type="pct"/>
            <w:tcBorders>
              <w:top w:val="nil"/>
              <w:left w:val="nil"/>
              <w:bottom w:val="single" w:sz="4" w:space="0" w:color="auto"/>
              <w:right w:val="single" w:sz="4" w:space="0" w:color="auto"/>
            </w:tcBorders>
            <w:shd w:val="clear" w:color="auto" w:fill="auto"/>
            <w:noWrap/>
            <w:vAlign w:val="center"/>
            <w:hideMark/>
          </w:tcPr>
          <w:p w14:paraId="1327246F"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5FAD72F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1C1F5F5F"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7A9A6E7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c>
          <w:tcPr>
            <w:tcW w:w="359" w:type="pct"/>
            <w:tcBorders>
              <w:top w:val="nil"/>
              <w:left w:val="nil"/>
              <w:bottom w:val="single" w:sz="4" w:space="0" w:color="auto"/>
              <w:right w:val="single" w:sz="4" w:space="0" w:color="auto"/>
            </w:tcBorders>
            <w:shd w:val="clear" w:color="auto" w:fill="auto"/>
            <w:noWrap/>
            <w:vAlign w:val="center"/>
            <w:hideMark/>
          </w:tcPr>
          <w:p w14:paraId="118DAD58"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w:t>
            </w:r>
          </w:p>
        </w:tc>
      </w:tr>
      <w:tr w:rsidR="00671563" w:rsidRPr="00D93D2D" w14:paraId="5337BE7F" w14:textId="77777777" w:rsidTr="005A6E42">
        <w:trPr>
          <w:trHeight w:val="126"/>
        </w:trPr>
        <w:tc>
          <w:tcPr>
            <w:tcW w:w="1102" w:type="pct"/>
            <w:tcBorders>
              <w:top w:val="nil"/>
              <w:left w:val="single" w:sz="4" w:space="0" w:color="auto"/>
              <w:bottom w:val="single" w:sz="4" w:space="0" w:color="auto"/>
              <w:right w:val="single" w:sz="4" w:space="0" w:color="auto"/>
            </w:tcBorders>
            <w:shd w:val="clear" w:color="000000" w:fill="EDEDED"/>
            <w:noWrap/>
            <w:hideMark/>
          </w:tcPr>
          <w:p w14:paraId="41B1161E"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Coverage @ DMC (staggered)</w:t>
            </w:r>
          </w:p>
        </w:tc>
        <w:tc>
          <w:tcPr>
            <w:tcW w:w="332" w:type="pct"/>
            <w:tcBorders>
              <w:top w:val="nil"/>
              <w:left w:val="nil"/>
              <w:bottom w:val="single" w:sz="4" w:space="0" w:color="auto"/>
              <w:right w:val="single" w:sz="4" w:space="0" w:color="auto"/>
            </w:tcBorders>
            <w:shd w:val="clear" w:color="auto" w:fill="auto"/>
            <w:noWrap/>
            <w:vAlign w:val="center"/>
            <w:hideMark/>
          </w:tcPr>
          <w:p w14:paraId="41AA53E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0.00%</w:t>
            </w:r>
          </w:p>
        </w:tc>
        <w:tc>
          <w:tcPr>
            <w:tcW w:w="332" w:type="pct"/>
            <w:tcBorders>
              <w:top w:val="nil"/>
              <w:left w:val="nil"/>
              <w:bottom w:val="single" w:sz="4" w:space="0" w:color="auto"/>
              <w:right w:val="single" w:sz="4" w:space="0" w:color="auto"/>
            </w:tcBorders>
            <w:shd w:val="clear" w:color="auto" w:fill="auto"/>
            <w:noWrap/>
            <w:vAlign w:val="center"/>
            <w:hideMark/>
          </w:tcPr>
          <w:p w14:paraId="3E613E40"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0.00%</w:t>
            </w:r>
          </w:p>
        </w:tc>
        <w:tc>
          <w:tcPr>
            <w:tcW w:w="359" w:type="pct"/>
            <w:tcBorders>
              <w:top w:val="nil"/>
              <w:left w:val="nil"/>
              <w:bottom w:val="single" w:sz="4" w:space="0" w:color="auto"/>
              <w:right w:val="single" w:sz="4" w:space="0" w:color="auto"/>
            </w:tcBorders>
            <w:shd w:val="clear" w:color="auto" w:fill="auto"/>
            <w:noWrap/>
            <w:vAlign w:val="center"/>
            <w:hideMark/>
          </w:tcPr>
          <w:p w14:paraId="339DF0B9"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0.00%</w:t>
            </w:r>
          </w:p>
        </w:tc>
        <w:tc>
          <w:tcPr>
            <w:tcW w:w="359" w:type="pct"/>
            <w:tcBorders>
              <w:top w:val="nil"/>
              <w:left w:val="nil"/>
              <w:bottom w:val="single" w:sz="4" w:space="0" w:color="auto"/>
              <w:right w:val="single" w:sz="4" w:space="0" w:color="auto"/>
            </w:tcBorders>
            <w:shd w:val="clear" w:color="auto" w:fill="auto"/>
            <w:noWrap/>
            <w:vAlign w:val="center"/>
            <w:hideMark/>
          </w:tcPr>
          <w:p w14:paraId="4D28AA0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0.00%</w:t>
            </w:r>
          </w:p>
        </w:tc>
        <w:tc>
          <w:tcPr>
            <w:tcW w:w="359" w:type="pct"/>
            <w:tcBorders>
              <w:top w:val="nil"/>
              <w:left w:val="nil"/>
              <w:bottom w:val="single" w:sz="4" w:space="0" w:color="auto"/>
              <w:right w:val="single" w:sz="4" w:space="0" w:color="auto"/>
            </w:tcBorders>
            <w:shd w:val="clear" w:color="auto" w:fill="auto"/>
            <w:noWrap/>
            <w:vAlign w:val="center"/>
            <w:hideMark/>
          </w:tcPr>
          <w:p w14:paraId="2C0F603A"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0.00%</w:t>
            </w:r>
          </w:p>
        </w:tc>
        <w:tc>
          <w:tcPr>
            <w:tcW w:w="359" w:type="pct"/>
            <w:tcBorders>
              <w:top w:val="nil"/>
              <w:left w:val="nil"/>
              <w:bottom w:val="single" w:sz="4" w:space="0" w:color="auto"/>
              <w:right w:val="single" w:sz="4" w:space="0" w:color="auto"/>
            </w:tcBorders>
            <w:shd w:val="clear" w:color="auto" w:fill="auto"/>
            <w:noWrap/>
            <w:vAlign w:val="center"/>
            <w:hideMark/>
          </w:tcPr>
          <w:p w14:paraId="64EB65D0"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0.00%</w:t>
            </w:r>
          </w:p>
        </w:tc>
        <w:tc>
          <w:tcPr>
            <w:tcW w:w="359" w:type="pct"/>
            <w:tcBorders>
              <w:top w:val="nil"/>
              <w:left w:val="nil"/>
              <w:bottom w:val="single" w:sz="4" w:space="0" w:color="auto"/>
              <w:right w:val="single" w:sz="4" w:space="0" w:color="auto"/>
            </w:tcBorders>
            <w:shd w:val="clear" w:color="auto" w:fill="auto"/>
            <w:noWrap/>
            <w:vAlign w:val="center"/>
            <w:hideMark/>
          </w:tcPr>
          <w:p w14:paraId="35ADC71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7%</w:t>
            </w:r>
          </w:p>
        </w:tc>
        <w:tc>
          <w:tcPr>
            <w:tcW w:w="359" w:type="pct"/>
            <w:tcBorders>
              <w:top w:val="nil"/>
              <w:left w:val="nil"/>
              <w:bottom w:val="single" w:sz="4" w:space="0" w:color="auto"/>
              <w:right w:val="single" w:sz="4" w:space="0" w:color="auto"/>
            </w:tcBorders>
            <w:shd w:val="clear" w:color="auto" w:fill="auto"/>
            <w:noWrap/>
            <w:vAlign w:val="center"/>
            <w:hideMark/>
          </w:tcPr>
          <w:p w14:paraId="66BC6240"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12.32%</w:t>
            </w:r>
          </w:p>
        </w:tc>
        <w:tc>
          <w:tcPr>
            <w:tcW w:w="359" w:type="pct"/>
            <w:tcBorders>
              <w:top w:val="nil"/>
              <w:left w:val="nil"/>
              <w:bottom w:val="single" w:sz="4" w:space="0" w:color="auto"/>
              <w:right w:val="single" w:sz="4" w:space="0" w:color="auto"/>
            </w:tcBorders>
            <w:shd w:val="clear" w:color="auto" w:fill="auto"/>
            <w:noWrap/>
            <w:vAlign w:val="center"/>
            <w:hideMark/>
          </w:tcPr>
          <w:p w14:paraId="64120C5C"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16.64%</w:t>
            </w:r>
          </w:p>
        </w:tc>
        <w:tc>
          <w:tcPr>
            <w:tcW w:w="359" w:type="pct"/>
            <w:tcBorders>
              <w:top w:val="nil"/>
              <w:left w:val="nil"/>
              <w:bottom w:val="single" w:sz="4" w:space="0" w:color="auto"/>
              <w:right w:val="single" w:sz="4" w:space="0" w:color="auto"/>
            </w:tcBorders>
            <w:shd w:val="clear" w:color="auto" w:fill="auto"/>
            <w:noWrap/>
            <w:vAlign w:val="center"/>
            <w:hideMark/>
          </w:tcPr>
          <w:p w14:paraId="237120D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20.23%</w:t>
            </w:r>
          </w:p>
        </w:tc>
        <w:tc>
          <w:tcPr>
            <w:tcW w:w="359" w:type="pct"/>
            <w:tcBorders>
              <w:top w:val="nil"/>
              <w:left w:val="nil"/>
              <w:bottom w:val="single" w:sz="4" w:space="0" w:color="auto"/>
              <w:right w:val="single" w:sz="4" w:space="0" w:color="auto"/>
            </w:tcBorders>
            <w:shd w:val="clear" w:color="auto" w:fill="auto"/>
            <w:noWrap/>
            <w:vAlign w:val="center"/>
            <w:hideMark/>
          </w:tcPr>
          <w:p w14:paraId="4605451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22.03%</w:t>
            </w:r>
          </w:p>
        </w:tc>
      </w:tr>
      <w:tr w:rsidR="00671563" w:rsidRPr="00D93D2D" w14:paraId="3356802D"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1C93EAC0"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Coverage @ DMC (immediate)**</w:t>
            </w:r>
          </w:p>
        </w:tc>
        <w:tc>
          <w:tcPr>
            <w:tcW w:w="332" w:type="pct"/>
            <w:tcBorders>
              <w:top w:val="nil"/>
              <w:left w:val="nil"/>
              <w:bottom w:val="single" w:sz="4" w:space="0" w:color="auto"/>
              <w:right w:val="single" w:sz="4" w:space="0" w:color="auto"/>
            </w:tcBorders>
            <w:shd w:val="clear" w:color="auto" w:fill="auto"/>
            <w:noWrap/>
            <w:vAlign w:val="center"/>
            <w:hideMark/>
          </w:tcPr>
          <w:p w14:paraId="71A18EB4"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32" w:type="pct"/>
            <w:tcBorders>
              <w:top w:val="nil"/>
              <w:left w:val="nil"/>
              <w:bottom w:val="single" w:sz="4" w:space="0" w:color="auto"/>
              <w:right w:val="single" w:sz="4" w:space="0" w:color="auto"/>
            </w:tcBorders>
            <w:shd w:val="clear" w:color="auto" w:fill="auto"/>
            <w:noWrap/>
            <w:vAlign w:val="center"/>
            <w:hideMark/>
          </w:tcPr>
          <w:p w14:paraId="5DEC901E"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59" w:type="pct"/>
            <w:tcBorders>
              <w:top w:val="nil"/>
              <w:left w:val="nil"/>
              <w:bottom w:val="single" w:sz="4" w:space="0" w:color="auto"/>
              <w:right w:val="single" w:sz="4" w:space="0" w:color="auto"/>
            </w:tcBorders>
            <w:shd w:val="clear" w:color="auto" w:fill="auto"/>
            <w:noWrap/>
            <w:vAlign w:val="center"/>
            <w:hideMark/>
          </w:tcPr>
          <w:p w14:paraId="5761AB22"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4%</w:t>
            </w:r>
          </w:p>
        </w:tc>
        <w:tc>
          <w:tcPr>
            <w:tcW w:w="359" w:type="pct"/>
            <w:tcBorders>
              <w:top w:val="nil"/>
              <w:left w:val="nil"/>
              <w:bottom w:val="single" w:sz="4" w:space="0" w:color="auto"/>
              <w:right w:val="single" w:sz="4" w:space="0" w:color="auto"/>
            </w:tcBorders>
            <w:shd w:val="clear" w:color="auto" w:fill="auto"/>
            <w:noWrap/>
            <w:vAlign w:val="center"/>
            <w:hideMark/>
          </w:tcPr>
          <w:p w14:paraId="58EF283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11%</w:t>
            </w:r>
          </w:p>
        </w:tc>
        <w:tc>
          <w:tcPr>
            <w:tcW w:w="359" w:type="pct"/>
            <w:tcBorders>
              <w:top w:val="nil"/>
              <w:left w:val="nil"/>
              <w:bottom w:val="single" w:sz="4" w:space="0" w:color="auto"/>
              <w:right w:val="single" w:sz="4" w:space="0" w:color="auto"/>
            </w:tcBorders>
            <w:shd w:val="clear" w:color="auto" w:fill="auto"/>
            <w:noWrap/>
            <w:vAlign w:val="center"/>
            <w:hideMark/>
          </w:tcPr>
          <w:p w14:paraId="69E5CEC4"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18%</w:t>
            </w:r>
          </w:p>
        </w:tc>
        <w:tc>
          <w:tcPr>
            <w:tcW w:w="359" w:type="pct"/>
            <w:tcBorders>
              <w:top w:val="nil"/>
              <w:left w:val="nil"/>
              <w:bottom w:val="single" w:sz="4" w:space="0" w:color="auto"/>
              <w:right w:val="single" w:sz="4" w:space="0" w:color="auto"/>
            </w:tcBorders>
            <w:shd w:val="clear" w:color="auto" w:fill="auto"/>
            <w:noWrap/>
            <w:vAlign w:val="center"/>
            <w:hideMark/>
          </w:tcPr>
          <w:p w14:paraId="303A35C8"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32%</w:t>
            </w:r>
          </w:p>
        </w:tc>
        <w:tc>
          <w:tcPr>
            <w:tcW w:w="359" w:type="pct"/>
            <w:tcBorders>
              <w:top w:val="nil"/>
              <w:left w:val="nil"/>
              <w:bottom w:val="single" w:sz="4" w:space="0" w:color="auto"/>
              <w:right w:val="single" w:sz="4" w:space="0" w:color="auto"/>
            </w:tcBorders>
            <w:shd w:val="clear" w:color="auto" w:fill="auto"/>
            <w:noWrap/>
            <w:vAlign w:val="center"/>
            <w:hideMark/>
          </w:tcPr>
          <w:p w14:paraId="442E07CE"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40%</w:t>
            </w:r>
          </w:p>
        </w:tc>
        <w:tc>
          <w:tcPr>
            <w:tcW w:w="359" w:type="pct"/>
            <w:tcBorders>
              <w:top w:val="nil"/>
              <w:left w:val="nil"/>
              <w:bottom w:val="single" w:sz="4" w:space="0" w:color="auto"/>
              <w:right w:val="single" w:sz="4" w:space="0" w:color="auto"/>
            </w:tcBorders>
            <w:shd w:val="clear" w:color="auto" w:fill="auto"/>
            <w:noWrap/>
            <w:vAlign w:val="center"/>
            <w:hideMark/>
          </w:tcPr>
          <w:p w14:paraId="34EE54FC"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45%</w:t>
            </w:r>
          </w:p>
        </w:tc>
        <w:tc>
          <w:tcPr>
            <w:tcW w:w="359" w:type="pct"/>
            <w:tcBorders>
              <w:top w:val="nil"/>
              <w:left w:val="nil"/>
              <w:bottom w:val="single" w:sz="4" w:space="0" w:color="auto"/>
              <w:right w:val="single" w:sz="4" w:space="0" w:color="auto"/>
            </w:tcBorders>
            <w:shd w:val="clear" w:color="auto" w:fill="auto"/>
            <w:noWrap/>
            <w:vAlign w:val="center"/>
            <w:hideMark/>
          </w:tcPr>
          <w:p w14:paraId="363F17A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49%</w:t>
            </w:r>
          </w:p>
        </w:tc>
        <w:tc>
          <w:tcPr>
            <w:tcW w:w="359" w:type="pct"/>
            <w:tcBorders>
              <w:top w:val="nil"/>
              <w:left w:val="nil"/>
              <w:bottom w:val="single" w:sz="4" w:space="0" w:color="auto"/>
              <w:right w:val="single" w:sz="4" w:space="0" w:color="auto"/>
            </w:tcBorders>
            <w:shd w:val="clear" w:color="auto" w:fill="auto"/>
            <w:noWrap/>
            <w:vAlign w:val="center"/>
            <w:hideMark/>
          </w:tcPr>
          <w:p w14:paraId="2D7AF57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53%</w:t>
            </w:r>
          </w:p>
        </w:tc>
        <w:tc>
          <w:tcPr>
            <w:tcW w:w="359" w:type="pct"/>
            <w:tcBorders>
              <w:top w:val="nil"/>
              <w:left w:val="nil"/>
              <w:bottom w:val="single" w:sz="4" w:space="0" w:color="auto"/>
              <w:right w:val="single" w:sz="4" w:space="0" w:color="auto"/>
            </w:tcBorders>
            <w:shd w:val="clear" w:color="auto" w:fill="auto"/>
            <w:noWrap/>
            <w:vAlign w:val="center"/>
            <w:hideMark/>
          </w:tcPr>
          <w:p w14:paraId="612714D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55%</w:t>
            </w:r>
          </w:p>
        </w:tc>
      </w:tr>
      <w:tr w:rsidR="00671563" w:rsidRPr="00D93D2D" w14:paraId="04F72964"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1880078E"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Total # Xpert tests performed @ DTC</w:t>
            </w:r>
          </w:p>
        </w:tc>
        <w:tc>
          <w:tcPr>
            <w:tcW w:w="332" w:type="pct"/>
            <w:tcBorders>
              <w:top w:val="nil"/>
              <w:left w:val="nil"/>
              <w:bottom w:val="single" w:sz="4" w:space="0" w:color="auto"/>
              <w:right w:val="single" w:sz="4" w:space="0" w:color="auto"/>
            </w:tcBorders>
            <w:shd w:val="clear" w:color="auto" w:fill="auto"/>
            <w:noWrap/>
            <w:vAlign w:val="center"/>
            <w:hideMark/>
          </w:tcPr>
          <w:p w14:paraId="02AE97D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9,343,004</w:t>
            </w:r>
          </w:p>
        </w:tc>
        <w:tc>
          <w:tcPr>
            <w:tcW w:w="332" w:type="pct"/>
            <w:tcBorders>
              <w:top w:val="nil"/>
              <w:left w:val="nil"/>
              <w:bottom w:val="single" w:sz="4" w:space="0" w:color="auto"/>
              <w:right w:val="single" w:sz="4" w:space="0" w:color="auto"/>
            </w:tcBorders>
            <w:shd w:val="clear" w:color="auto" w:fill="auto"/>
            <w:noWrap/>
            <w:vAlign w:val="center"/>
            <w:hideMark/>
          </w:tcPr>
          <w:p w14:paraId="7F0326D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9,722,000</w:t>
            </w:r>
          </w:p>
        </w:tc>
        <w:tc>
          <w:tcPr>
            <w:tcW w:w="359" w:type="pct"/>
            <w:tcBorders>
              <w:top w:val="nil"/>
              <w:left w:val="nil"/>
              <w:bottom w:val="single" w:sz="4" w:space="0" w:color="auto"/>
              <w:right w:val="single" w:sz="4" w:space="0" w:color="auto"/>
            </w:tcBorders>
            <w:shd w:val="clear" w:color="auto" w:fill="auto"/>
            <w:noWrap/>
            <w:vAlign w:val="center"/>
            <w:hideMark/>
          </w:tcPr>
          <w:p w14:paraId="36F5A78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10,329,600</w:t>
            </w:r>
          </w:p>
        </w:tc>
        <w:tc>
          <w:tcPr>
            <w:tcW w:w="359" w:type="pct"/>
            <w:tcBorders>
              <w:top w:val="nil"/>
              <w:left w:val="nil"/>
              <w:bottom w:val="single" w:sz="4" w:space="0" w:color="auto"/>
              <w:right w:val="single" w:sz="4" w:space="0" w:color="auto"/>
            </w:tcBorders>
            <w:shd w:val="clear" w:color="auto" w:fill="auto"/>
            <w:noWrap/>
            <w:vAlign w:val="center"/>
            <w:hideMark/>
          </w:tcPr>
          <w:p w14:paraId="0928B10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10,996,644</w:t>
            </w:r>
          </w:p>
        </w:tc>
        <w:tc>
          <w:tcPr>
            <w:tcW w:w="359" w:type="pct"/>
            <w:tcBorders>
              <w:top w:val="nil"/>
              <w:left w:val="nil"/>
              <w:bottom w:val="single" w:sz="4" w:space="0" w:color="auto"/>
              <w:right w:val="single" w:sz="4" w:space="0" w:color="auto"/>
            </w:tcBorders>
            <w:shd w:val="clear" w:color="auto" w:fill="auto"/>
            <w:noWrap/>
            <w:vAlign w:val="center"/>
            <w:hideMark/>
          </w:tcPr>
          <w:p w14:paraId="791CEC60"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11,942,714</w:t>
            </w:r>
          </w:p>
        </w:tc>
        <w:tc>
          <w:tcPr>
            <w:tcW w:w="359" w:type="pct"/>
            <w:tcBorders>
              <w:top w:val="nil"/>
              <w:left w:val="nil"/>
              <w:bottom w:val="single" w:sz="4" w:space="0" w:color="auto"/>
              <w:right w:val="single" w:sz="4" w:space="0" w:color="auto"/>
            </w:tcBorders>
            <w:shd w:val="clear" w:color="auto" w:fill="auto"/>
            <w:noWrap/>
            <w:vAlign w:val="center"/>
            <w:hideMark/>
          </w:tcPr>
          <w:p w14:paraId="65A528F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10,791,475</w:t>
            </w:r>
          </w:p>
        </w:tc>
        <w:tc>
          <w:tcPr>
            <w:tcW w:w="359" w:type="pct"/>
            <w:tcBorders>
              <w:top w:val="nil"/>
              <w:left w:val="nil"/>
              <w:bottom w:val="single" w:sz="4" w:space="0" w:color="auto"/>
              <w:right w:val="single" w:sz="4" w:space="0" w:color="auto"/>
            </w:tcBorders>
            <w:shd w:val="clear" w:color="auto" w:fill="auto"/>
            <w:noWrap/>
            <w:vAlign w:val="center"/>
            <w:hideMark/>
          </w:tcPr>
          <w:p w14:paraId="0C2182F2"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11,662,151</w:t>
            </w:r>
          </w:p>
        </w:tc>
        <w:tc>
          <w:tcPr>
            <w:tcW w:w="359" w:type="pct"/>
            <w:tcBorders>
              <w:top w:val="nil"/>
              <w:left w:val="nil"/>
              <w:bottom w:val="single" w:sz="4" w:space="0" w:color="auto"/>
              <w:right w:val="single" w:sz="4" w:space="0" w:color="auto"/>
            </w:tcBorders>
            <w:shd w:val="clear" w:color="auto" w:fill="auto"/>
            <w:noWrap/>
            <w:vAlign w:val="center"/>
            <w:hideMark/>
          </w:tcPr>
          <w:p w14:paraId="7CA9310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11,221,244</w:t>
            </w:r>
          </w:p>
        </w:tc>
        <w:tc>
          <w:tcPr>
            <w:tcW w:w="359" w:type="pct"/>
            <w:tcBorders>
              <w:top w:val="nil"/>
              <w:left w:val="nil"/>
              <w:bottom w:val="single" w:sz="4" w:space="0" w:color="auto"/>
              <w:right w:val="single" w:sz="4" w:space="0" w:color="auto"/>
            </w:tcBorders>
            <w:shd w:val="clear" w:color="auto" w:fill="auto"/>
            <w:noWrap/>
            <w:vAlign w:val="center"/>
            <w:hideMark/>
          </w:tcPr>
          <w:p w14:paraId="01CA3BA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10,754,966</w:t>
            </w:r>
          </w:p>
        </w:tc>
        <w:tc>
          <w:tcPr>
            <w:tcW w:w="359" w:type="pct"/>
            <w:tcBorders>
              <w:top w:val="nil"/>
              <w:left w:val="nil"/>
              <w:bottom w:val="single" w:sz="4" w:space="0" w:color="auto"/>
              <w:right w:val="single" w:sz="4" w:space="0" w:color="auto"/>
            </w:tcBorders>
            <w:shd w:val="clear" w:color="auto" w:fill="auto"/>
            <w:noWrap/>
            <w:vAlign w:val="center"/>
            <w:hideMark/>
          </w:tcPr>
          <w:p w14:paraId="465F170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10,023,266</w:t>
            </w:r>
          </w:p>
        </w:tc>
        <w:tc>
          <w:tcPr>
            <w:tcW w:w="359" w:type="pct"/>
            <w:tcBorders>
              <w:top w:val="nil"/>
              <w:left w:val="nil"/>
              <w:bottom w:val="single" w:sz="4" w:space="0" w:color="auto"/>
              <w:right w:val="single" w:sz="4" w:space="0" w:color="auto"/>
            </w:tcBorders>
            <w:shd w:val="clear" w:color="auto" w:fill="auto"/>
            <w:noWrap/>
            <w:vAlign w:val="center"/>
            <w:hideMark/>
          </w:tcPr>
          <w:p w14:paraId="4902A16A"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9,742,916</w:t>
            </w:r>
          </w:p>
        </w:tc>
      </w:tr>
      <w:tr w:rsidR="00671563" w:rsidRPr="00D93D2D" w14:paraId="61B65C68"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18FB988E"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Total # Xpert tests performed @ DMC</w:t>
            </w:r>
          </w:p>
        </w:tc>
        <w:tc>
          <w:tcPr>
            <w:tcW w:w="332" w:type="pct"/>
            <w:tcBorders>
              <w:top w:val="nil"/>
              <w:left w:val="nil"/>
              <w:bottom w:val="single" w:sz="4" w:space="0" w:color="auto"/>
              <w:right w:val="single" w:sz="4" w:space="0" w:color="auto"/>
            </w:tcBorders>
            <w:shd w:val="clear" w:color="auto" w:fill="auto"/>
            <w:noWrap/>
            <w:vAlign w:val="center"/>
            <w:hideMark/>
          </w:tcPr>
          <w:p w14:paraId="07182E0C"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32" w:type="pct"/>
            <w:tcBorders>
              <w:top w:val="nil"/>
              <w:left w:val="nil"/>
              <w:bottom w:val="single" w:sz="4" w:space="0" w:color="auto"/>
              <w:right w:val="single" w:sz="4" w:space="0" w:color="auto"/>
            </w:tcBorders>
            <w:shd w:val="clear" w:color="auto" w:fill="auto"/>
            <w:noWrap/>
            <w:vAlign w:val="center"/>
            <w:hideMark/>
          </w:tcPr>
          <w:p w14:paraId="45AB272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59" w:type="pct"/>
            <w:tcBorders>
              <w:top w:val="nil"/>
              <w:left w:val="nil"/>
              <w:bottom w:val="single" w:sz="4" w:space="0" w:color="auto"/>
              <w:right w:val="single" w:sz="4" w:space="0" w:color="auto"/>
            </w:tcBorders>
            <w:shd w:val="clear" w:color="auto" w:fill="auto"/>
            <w:noWrap/>
            <w:vAlign w:val="center"/>
            <w:hideMark/>
          </w:tcPr>
          <w:p w14:paraId="5209BDC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388,400</w:t>
            </w:r>
          </w:p>
        </w:tc>
        <w:tc>
          <w:tcPr>
            <w:tcW w:w="359" w:type="pct"/>
            <w:tcBorders>
              <w:top w:val="nil"/>
              <w:left w:val="nil"/>
              <w:bottom w:val="single" w:sz="4" w:space="0" w:color="auto"/>
              <w:right w:val="single" w:sz="4" w:space="0" w:color="auto"/>
            </w:tcBorders>
            <w:shd w:val="clear" w:color="auto" w:fill="auto"/>
            <w:noWrap/>
            <w:vAlign w:val="center"/>
            <w:hideMark/>
          </w:tcPr>
          <w:p w14:paraId="5AC1BD5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1,333,356</w:t>
            </w:r>
          </w:p>
        </w:tc>
        <w:tc>
          <w:tcPr>
            <w:tcW w:w="359" w:type="pct"/>
            <w:tcBorders>
              <w:top w:val="nil"/>
              <w:left w:val="nil"/>
              <w:bottom w:val="single" w:sz="4" w:space="0" w:color="auto"/>
              <w:right w:val="single" w:sz="4" w:space="0" w:color="auto"/>
            </w:tcBorders>
            <w:shd w:val="clear" w:color="auto" w:fill="auto"/>
            <w:noWrap/>
            <w:vAlign w:val="center"/>
            <w:hideMark/>
          </w:tcPr>
          <w:p w14:paraId="55891109"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2,622,286</w:t>
            </w:r>
          </w:p>
        </w:tc>
        <w:tc>
          <w:tcPr>
            <w:tcW w:w="359" w:type="pct"/>
            <w:tcBorders>
              <w:top w:val="nil"/>
              <w:left w:val="nil"/>
              <w:bottom w:val="single" w:sz="4" w:space="0" w:color="auto"/>
              <w:right w:val="single" w:sz="4" w:space="0" w:color="auto"/>
            </w:tcBorders>
            <w:shd w:val="clear" w:color="auto" w:fill="auto"/>
            <w:noWrap/>
            <w:vAlign w:val="center"/>
            <w:hideMark/>
          </w:tcPr>
          <w:p w14:paraId="065F781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5,168,525</w:t>
            </w:r>
          </w:p>
        </w:tc>
        <w:tc>
          <w:tcPr>
            <w:tcW w:w="359" w:type="pct"/>
            <w:tcBorders>
              <w:top w:val="nil"/>
              <w:left w:val="nil"/>
              <w:bottom w:val="single" w:sz="4" w:space="0" w:color="auto"/>
              <w:right w:val="single" w:sz="4" w:space="0" w:color="auto"/>
            </w:tcBorders>
            <w:shd w:val="clear" w:color="auto" w:fill="auto"/>
            <w:noWrap/>
            <w:vAlign w:val="center"/>
            <w:hideMark/>
          </w:tcPr>
          <w:p w14:paraId="178EBA7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7,637,849</w:t>
            </w:r>
          </w:p>
        </w:tc>
        <w:tc>
          <w:tcPr>
            <w:tcW w:w="359" w:type="pct"/>
            <w:tcBorders>
              <w:top w:val="nil"/>
              <w:left w:val="nil"/>
              <w:bottom w:val="single" w:sz="4" w:space="0" w:color="auto"/>
              <w:right w:val="single" w:sz="4" w:space="0" w:color="auto"/>
            </w:tcBorders>
            <w:shd w:val="clear" w:color="auto" w:fill="auto"/>
            <w:noWrap/>
            <w:vAlign w:val="center"/>
            <w:hideMark/>
          </w:tcPr>
          <w:p w14:paraId="59940BDF"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9,168,756</w:t>
            </w:r>
          </w:p>
        </w:tc>
        <w:tc>
          <w:tcPr>
            <w:tcW w:w="359" w:type="pct"/>
            <w:tcBorders>
              <w:top w:val="nil"/>
              <w:left w:val="nil"/>
              <w:bottom w:val="single" w:sz="4" w:space="0" w:color="auto"/>
              <w:right w:val="single" w:sz="4" w:space="0" w:color="auto"/>
            </w:tcBorders>
            <w:shd w:val="clear" w:color="auto" w:fill="auto"/>
            <w:noWrap/>
            <w:vAlign w:val="center"/>
            <w:hideMark/>
          </w:tcPr>
          <w:p w14:paraId="1F983D09"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10,450,034</w:t>
            </w:r>
          </w:p>
        </w:tc>
        <w:tc>
          <w:tcPr>
            <w:tcW w:w="359" w:type="pct"/>
            <w:tcBorders>
              <w:top w:val="nil"/>
              <w:left w:val="nil"/>
              <w:bottom w:val="single" w:sz="4" w:space="0" w:color="auto"/>
              <w:right w:val="single" w:sz="4" w:space="0" w:color="auto"/>
            </w:tcBorders>
            <w:shd w:val="clear" w:color="auto" w:fill="auto"/>
            <w:noWrap/>
            <w:vAlign w:val="center"/>
            <w:hideMark/>
          </w:tcPr>
          <w:p w14:paraId="2E6A3FA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11,246,734</w:t>
            </w:r>
          </w:p>
        </w:tc>
        <w:tc>
          <w:tcPr>
            <w:tcW w:w="359" w:type="pct"/>
            <w:tcBorders>
              <w:top w:val="nil"/>
              <w:left w:val="nil"/>
              <w:bottom w:val="single" w:sz="4" w:space="0" w:color="auto"/>
              <w:right w:val="single" w:sz="4" w:space="0" w:color="auto"/>
            </w:tcBorders>
            <w:shd w:val="clear" w:color="auto" w:fill="auto"/>
            <w:noWrap/>
            <w:vAlign w:val="center"/>
            <w:hideMark/>
          </w:tcPr>
          <w:p w14:paraId="3D1820F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11,752,084</w:t>
            </w:r>
          </w:p>
        </w:tc>
      </w:tr>
      <w:tr w:rsidR="00671563" w:rsidRPr="00D93D2D" w14:paraId="746895C6"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2C03DB19"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Total # DMC w/ XP</w:t>
            </w:r>
          </w:p>
        </w:tc>
        <w:tc>
          <w:tcPr>
            <w:tcW w:w="332" w:type="pct"/>
            <w:tcBorders>
              <w:top w:val="nil"/>
              <w:left w:val="nil"/>
              <w:bottom w:val="single" w:sz="4" w:space="0" w:color="auto"/>
              <w:right w:val="single" w:sz="4" w:space="0" w:color="auto"/>
            </w:tcBorders>
            <w:shd w:val="clear" w:color="auto" w:fill="auto"/>
            <w:noWrap/>
            <w:vAlign w:val="center"/>
            <w:hideMark/>
          </w:tcPr>
          <w:p w14:paraId="2AF9155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32" w:type="pct"/>
            <w:tcBorders>
              <w:top w:val="nil"/>
              <w:left w:val="nil"/>
              <w:bottom w:val="single" w:sz="4" w:space="0" w:color="auto"/>
              <w:right w:val="single" w:sz="4" w:space="0" w:color="auto"/>
            </w:tcBorders>
            <w:shd w:val="clear" w:color="auto" w:fill="auto"/>
            <w:noWrap/>
            <w:vAlign w:val="center"/>
            <w:hideMark/>
          </w:tcPr>
          <w:p w14:paraId="30B47A7B"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59" w:type="pct"/>
            <w:tcBorders>
              <w:top w:val="nil"/>
              <w:left w:val="nil"/>
              <w:bottom w:val="single" w:sz="4" w:space="0" w:color="auto"/>
              <w:right w:val="single" w:sz="4" w:space="0" w:color="auto"/>
            </w:tcBorders>
            <w:shd w:val="clear" w:color="auto" w:fill="auto"/>
            <w:noWrap/>
            <w:vAlign w:val="center"/>
            <w:hideMark/>
          </w:tcPr>
          <w:p w14:paraId="16CB8C4A"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504</w:t>
            </w:r>
          </w:p>
        </w:tc>
        <w:tc>
          <w:tcPr>
            <w:tcW w:w="359" w:type="pct"/>
            <w:tcBorders>
              <w:top w:val="nil"/>
              <w:left w:val="nil"/>
              <w:bottom w:val="single" w:sz="4" w:space="0" w:color="auto"/>
              <w:right w:val="single" w:sz="4" w:space="0" w:color="auto"/>
            </w:tcBorders>
            <w:shd w:val="clear" w:color="auto" w:fill="auto"/>
            <w:noWrap/>
            <w:vAlign w:val="center"/>
            <w:hideMark/>
          </w:tcPr>
          <w:p w14:paraId="19D1B0E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1504</w:t>
            </w:r>
          </w:p>
        </w:tc>
        <w:tc>
          <w:tcPr>
            <w:tcW w:w="359" w:type="pct"/>
            <w:tcBorders>
              <w:top w:val="nil"/>
              <w:left w:val="nil"/>
              <w:bottom w:val="single" w:sz="4" w:space="0" w:color="auto"/>
              <w:right w:val="single" w:sz="4" w:space="0" w:color="auto"/>
            </w:tcBorders>
            <w:shd w:val="clear" w:color="auto" w:fill="auto"/>
            <w:noWrap/>
            <w:vAlign w:val="center"/>
            <w:hideMark/>
          </w:tcPr>
          <w:p w14:paraId="1C7D36DC"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2504</w:t>
            </w:r>
          </w:p>
        </w:tc>
        <w:tc>
          <w:tcPr>
            <w:tcW w:w="359" w:type="pct"/>
            <w:tcBorders>
              <w:top w:val="nil"/>
              <w:left w:val="nil"/>
              <w:bottom w:val="single" w:sz="4" w:space="0" w:color="auto"/>
              <w:right w:val="single" w:sz="4" w:space="0" w:color="auto"/>
            </w:tcBorders>
            <w:shd w:val="clear" w:color="auto" w:fill="auto"/>
            <w:noWrap/>
            <w:vAlign w:val="center"/>
            <w:hideMark/>
          </w:tcPr>
          <w:p w14:paraId="0AAE69B2"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4504</w:t>
            </w:r>
          </w:p>
        </w:tc>
        <w:tc>
          <w:tcPr>
            <w:tcW w:w="359" w:type="pct"/>
            <w:tcBorders>
              <w:top w:val="nil"/>
              <w:left w:val="nil"/>
              <w:bottom w:val="single" w:sz="4" w:space="0" w:color="auto"/>
              <w:right w:val="single" w:sz="4" w:space="0" w:color="auto"/>
            </w:tcBorders>
            <w:shd w:val="clear" w:color="auto" w:fill="auto"/>
            <w:noWrap/>
            <w:vAlign w:val="center"/>
            <w:hideMark/>
          </w:tcPr>
          <w:p w14:paraId="601987FC"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5504</w:t>
            </w:r>
          </w:p>
        </w:tc>
        <w:tc>
          <w:tcPr>
            <w:tcW w:w="359" w:type="pct"/>
            <w:tcBorders>
              <w:top w:val="nil"/>
              <w:left w:val="nil"/>
              <w:bottom w:val="single" w:sz="4" w:space="0" w:color="auto"/>
              <w:right w:val="single" w:sz="4" w:space="0" w:color="auto"/>
            </w:tcBorders>
            <w:shd w:val="clear" w:color="auto" w:fill="auto"/>
            <w:noWrap/>
            <w:vAlign w:val="center"/>
            <w:hideMark/>
          </w:tcPr>
          <w:p w14:paraId="4E82C2D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6254</w:t>
            </w:r>
          </w:p>
        </w:tc>
        <w:tc>
          <w:tcPr>
            <w:tcW w:w="359" w:type="pct"/>
            <w:tcBorders>
              <w:top w:val="nil"/>
              <w:left w:val="nil"/>
              <w:bottom w:val="single" w:sz="4" w:space="0" w:color="auto"/>
              <w:right w:val="single" w:sz="4" w:space="0" w:color="auto"/>
            </w:tcBorders>
            <w:shd w:val="clear" w:color="auto" w:fill="auto"/>
            <w:noWrap/>
            <w:vAlign w:val="center"/>
            <w:hideMark/>
          </w:tcPr>
          <w:p w14:paraId="097961F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6854</w:t>
            </w:r>
          </w:p>
        </w:tc>
        <w:tc>
          <w:tcPr>
            <w:tcW w:w="359" w:type="pct"/>
            <w:tcBorders>
              <w:top w:val="nil"/>
              <w:left w:val="nil"/>
              <w:bottom w:val="single" w:sz="4" w:space="0" w:color="auto"/>
              <w:right w:val="single" w:sz="4" w:space="0" w:color="auto"/>
            </w:tcBorders>
            <w:shd w:val="clear" w:color="auto" w:fill="auto"/>
            <w:noWrap/>
            <w:vAlign w:val="center"/>
            <w:hideMark/>
          </w:tcPr>
          <w:p w14:paraId="10B0DD0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7354</w:t>
            </w:r>
          </w:p>
        </w:tc>
        <w:tc>
          <w:tcPr>
            <w:tcW w:w="359" w:type="pct"/>
            <w:tcBorders>
              <w:top w:val="nil"/>
              <w:left w:val="nil"/>
              <w:bottom w:val="single" w:sz="4" w:space="0" w:color="auto"/>
              <w:right w:val="single" w:sz="4" w:space="0" w:color="auto"/>
            </w:tcBorders>
            <w:shd w:val="clear" w:color="auto" w:fill="auto"/>
            <w:noWrap/>
            <w:vAlign w:val="center"/>
            <w:hideMark/>
          </w:tcPr>
          <w:p w14:paraId="6C1B751C"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7604</w:t>
            </w:r>
          </w:p>
        </w:tc>
      </w:tr>
      <w:tr w:rsidR="00671563" w:rsidRPr="00D93D2D" w14:paraId="30532403"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6B46CEA1"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Annual average # of test / DTC</w:t>
            </w:r>
          </w:p>
        </w:tc>
        <w:tc>
          <w:tcPr>
            <w:tcW w:w="332" w:type="pct"/>
            <w:tcBorders>
              <w:top w:val="nil"/>
              <w:left w:val="nil"/>
              <w:bottom w:val="single" w:sz="4" w:space="0" w:color="auto"/>
              <w:right w:val="single" w:sz="4" w:space="0" w:color="auto"/>
            </w:tcBorders>
            <w:shd w:val="clear" w:color="auto" w:fill="auto"/>
            <w:noWrap/>
            <w:vAlign w:val="center"/>
            <w:hideMark/>
          </w:tcPr>
          <w:p w14:paraId="1671E084"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12,781</w:t>
            </w:r>
          </w:p>
        </w:tc>
        <w:tc>
          <w:tcPr>
            <w:tcW w:w="332" w:type="pct"/>
            <w:tcBorders>
              <w:top w:val="nil"/>
              <w:left w:val="nil"/>
              <w:bottom w:val="single" w:sz="4" w:space="0" w:color="auto"/>
              <w:right w:val="single" w:sz="4" w:space="0" w:color="auto"/>
            </w:tcBorders>
            <w:shd w:val="clear" w:color="auto" w:fill="auto"/>
            <w:noWrap/>
            <w:vAlign w:val="center"/>
            <w:hideMark/>
          </w:tcPr>
          <w:p w14:paraId="29BEDC54"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13,300</w:t>
            </w:r>
          </w:p>
        </w:tc>
        <w:tc>
          <w:tcPr>
            <w:tcW w:w="359" w:type="pct"/>
            <w:tcBorders>
              <w:top w:val="nil"/>
              <w:left w:val="nil"/>
              <w:bottom w:val="single" w:sz="4" w:space="0" w:color="auto"/>
              <w:right w:val="single" w:sz="4" w:space="0" w:color="auto"/>
            </w:tcBorders>
            <w:shd w:val="clear" w:color="auto" w:fill="auto"/>
            <w:noWrap/>
            <w:vAlign w:val="center"/>
            <w:hideMark/>
          </w:tcPr>
          <w:p w14:paraId="1A175B1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14,131</w:t>
            </w:r>
          </w:p>
        </w:tc>
        <w:tc>
          <w:tcPr>
            <w:tcW w:w="359" w:type="pct"/>
            <w:tcBorders>
              <w:top w:val="nil"/>
              <w:left w:val="nil"/>
              <w:bottom w:val="single" w:sz="4" w:space="0" w:color="auto"/>
              <w:right w:val="single" w:sz="4" w:space="0" w:color="auto"/>
            </w:tcBorders>
            <w:shd w:val="clear" w:color="auto" w:fill="auto"/>
            <w:noWrap/>
            <w:vAlign w:val="center"/>
            <w:hideMark/>
          </w:tcPr>
          <w:p w14:paraId="0D0E02EF"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15,043</w:t>
            </w:r>
          </w:p>
        </w:tc>
        <w:tc>
          <w:tcPr>
            <w:tcW w:w="359" w:type="pct"/>
            <w:tcBorders>
              <w:top w:val="nil"/>
              <w:left w:val="nil"/>
              <w:bottom w:val="single" w:sz="4" w:space="0" w:color="auto"/>
              <w:right w:val="single" w:sz="4" w:space="0" w:color="auto"/>
            </w:tcBorders>
            <w:shd w:val="clear" w:color="auto" w:fill="auto"/>
            <w:noWrap/>
            <w:vAlign w:val="center"/>
            <w:hideMark/>
          </w:tcPr>
          <w:p w14:paraId="6D93372E"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16,338</w:t>
            </w:r>
          </w:p>
        </w:tc>
        <w:tc>
          <w:tcPr>
            <w:tcW w:w="359" w:type="pct"/>
            <w:tcBorders>
              <w:top w:val="nil"/>
              <w:left w:val="nil"/>
              <w:bottom w:val="single" w:sz="4" w:space="0" w:color="auto"/>
              <w:right w:val="single" w:sz="4" w:space="0" w:color="auto"/>
            </w:tcBorders>
            <w:shd w:val="clear" w:color="auto" w:fill="auto"/>
            <w:noWrap/>
            <w:vAlign w:val="center"/>
            <w:hideMark/>
          </w:tcPr>
          <w:p w14:paraId="43B8CDEE"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14,763</w:t>
            </w:r>
          </w:p>
        </w:tc>
        <w:tc>
          <w:tcPr>
            <w:tcW w:w="359" w:type="pct"/>
            <w:tcBorders>
              <w:top w:val="nil"/>
              <w:left w:val="nil"/>
              <w:bottom w:val="single" w:sz="4" w:space="0" w:color="auto"/>
              <w:right w:val="single" w:sz="4" w:space="0" w:color="auto"/>
            </w:tcBorders>
            <w:shd w:val="clear" w:color="auto" w:fill="auto"/>
            <w:noWrap/>
            <w:vAlign w:val="center"/>
            <w:hideMark/>
          </w:tcPr>
          <w:p w14:paraId="23C104CB"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15,954</w:t>
            </w:r>
          </w:p>
        </w:tc>
        <w:tc>
          <w:tcPr>
            <w:tcW w:w="359" w:type="pct"/>
            <w:tcBorders>
              <w:top w:val="nil"/>
              <w:left w:val="nil"/>
              <w:bottom w:val="single" w:sz="4" w:space="0" w:color="auto"/>
              <w:right w:val="single" w:sz="4" w:space="0" w:color="auto"/>
            </w:tcBorders>
            <w:shd w:val="clear" w:color="auto" w:fill="auto"/>
            <w:noWrap/>
            <w:vAlign w:val="center"/>
            <w:hideMark/>
          </w:tcPr>
          <w:p w14:paraId="3EE1B7B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15,351</w:t>
            </w:r>
          </w:p>
        </w:tc>
        <w:tc>
          <w:tcPr>
            <w:tcW w:w="359" w:type="pct"/>
            <w:tcBorders>
              <w:top w:val="nil"/>
              <w:left w:val="nil"/>
              <w:bottom w:val="single" w:sz="4" w:space="0" w:color="auto"/>
              <w:right w:val="single" w:sz="4" w:space="0" w:color="auto"/>
            </w:tcBorders>
            <w:shd w:val="clear" w:color="auto" w:fill="auto"/>
            <w:noWrap/>
            <w:vAlign w:val="center"/>
            <w:hideMark/>
          </w:tcPr>
          <w:p w14:paraId="7451A46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14,713</w:t>
            </w:r>
          </w:p>
        </w:tc>
        <w:tc>
          <w:tcPr>
            <w:tcW w:w="359" w:type="pct"/>
            <w:tcBorders>
              <w:top w:val="nil"/>
              <w:left w:val="nil"/>
              <w:bottom w:val="single" w:sz="4" w:space="0" w:color="auto"/>
              <w:right w:val="single" w:sz="4" w:space="0" w:color="auto"/>
            </w:tcBorders>
            <w:shd w:val="clear" w:color="auto" w:fill="auto"/>
            <w:noWrap/>
            <w:vAlign w:val="center"/>
            <w:hideMark/>
          </w:tcPr>
          <w:p w14:paraId="7B1CAA6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13,712</w:t>
            </w:r>
          </w:p>
        </w:tc>
        <w:tc>
          <w:tcPr>
            <w:tcW w:w="359" w:type="pct"/>
            <w:tcBorders>
              <w:top w:val="nil"/>
              <w:left w:val="nil"/>
              <w:bottom w:val="single" w:sz="4" w:space="0" w:color="auto"/>
              <w:right w:val="single" w:sz="4" w:space="0" w:color="auto"/>
            </w:tcBorders>
            <w:shd w:val="clear" w:color="auto" w:fill="auto"/>
            <w:noWrap/>
            <w:vAlign w:val="center"/>
            <w:hideMark/>
          </w:tcPr>
          <w:p w14:paraId="15C1367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13,328</w:t>
            </w:r>
          </w:p>
        </w:tc>
      </w:tr>
      <w:tr w:rsidR="00671563" w:rsidRPr="00D93D2D" w14:paraId="559F6EBB"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00994416"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Daily average # of XP / DTC</w:t>
            </w:r>
          </w:p>
        </w:tc>
        <w:tc>
          <w:tcPr>
            <w:tcW w:w="332" w:type="pct"/>
            <w:tcBorders>
              <w:top w:val="nil"/>
              <w:left w:val="nil"/>
              <w:bottom w:val="single" w:sz="4" w:space="0" w:color="auto"/>
              <w:right w:val="single" w:sz="4" w:space="0" w:color="auto"/>
            </w:tcBorders>
            <w:shd w:val="clear" w:color="auto" w:fill="auto"/>
            <w:noWrap/>
            <w:vAlign w:val="center"/>
            <w:hideMark/>
          </w:tcPr>
          <w:p w14:paraId="12D5ADE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51</w:t>
            </w:r>
          </w:p>
        </w:tc>
        <w:tc>
          <w:tcPr>
            <w:tcW w:w="332" w:type="pct"/>
            <w:tcBorders>
              <w:top w:val="nil"/>
              <w:left w:val="nil"/>
              <w:bottom w:val="single" w:sz="4" w:space="0" w:color="auto"/>
              <w:right w:val="single" w:sz="4" w:space="0" w:color="auto"/>
            </w:tcBorders>
            <w:shd w:val="clear" w:color="auto" w:fill="auto"/>
            <w:noWrap/>
            <w:vAlign w:val="center"/>
            <w:hideMark/>
          </w:tcPr>
          <w:p w14:paraId="2A7E1DD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53</w:t>
            </w:r>
          </w:p>
        </w:tc>
        <w:tc>
          <w:tcPr>
            <w:tcW w:w="359" w:type="pct"/>
            <w:tcBorders>
              <w:top w:val="nil"/>
              <w:left w:val="nil"/>
              <w:bottom w:val="single" w:sz="4" w:space="0" w:color="auto"/>
              <w:right w:val="single" w:sz="4" w:space="0" w:color="auto"/>
            </w:tcBorders>
            <w:shd w:val="clear" w:color="auto" w:fill="auto"/>
            <w:noWrap/>
            <w:vAlign w:val="center"/>
            <w:hideMark/>
          </w:tcPr>
          <w:p w14:paraId="434B7DAF"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57</w:t>
            </w:r>
          </w:p>
        </w:tc>
        <w:tc>
          <w:tcPr>
            <w:tcW w:w="359" w:type="pct"/>
            <w:tcBorders>
              <w:top w:val="nil"/>
              <w:left w:val="nil"/>
              <w:bottom w:val="single" w:sz="4" w:space="0" w:color="auto"/>
              <w:right w:val="single" w:sz="4" w:space="0" w:color="auto"/>
            </w:tcBorders>
            <w:shd w:val="clear" w:color="auto" w:fill="auto"/>
            <w:noWrap/>
            <w:vAlign w:val="center"/>
            <w:hideMark/>
          </w:tcPr>
          <w:p w14:paraId="42218A1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60</w:t>
            </w:r>
          </w:p>
        </w:tc>
        <w:tc>
          <w:tcPr>
            <w:tcW w:w="359" w:type="pct"/>
            <w:tcBorders>
              <w:top w:val="nil"/>
              <w:left w:val="nil"/>
              <w:bottom w:val="single" w:sz="4" w:space="0" w:color="auto"/>
              <w:right w:val="single" w:sz="4" w:space="0" w:color="auto"/>
            </w:tcBorders>
            <w:shd w:val="clear" w:color="auto" w:fill="auto"/>
            <w:noWrap/>
            <w:vAlign w:val="center"/>
            <w:hideMark/>
          </w:tcPr>
          <w:p w14:paraId="1BBB588B"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65</w:t>
            </w:r>
          </w:p>
        </w:tc>
        <w:tc>
          <w:tcPr>
            <w:tcW w:w="359" w:type="pct"/>
            <w:tcBorders>
              <w:top w:val="nil"/>
              <w:left w:val="nil"/>
              <w:bottom w:val="single" w:sz="4" w:space="0" w:color="auto"/>
              <w:right w:val="single" w:sz="4" w:space="0" w:color="auto"/>
            </w:tcBorders>
            <w:shd w:val="clear" w:color="auto" w:fill="auto"/>
            <w:noWrap/>
            <w:vAlign w:val="center"/>
            <w:hideMark/>
          </w:tcPr>
          <w:p w14:paraId="7D408B35"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59</w:t>
            </w:r>
          </w:p>
        </w:tc>
        <w:tc>
          <w:tcPr>
            <w:tcW w:w="359" w:type="pct"/>
            <w:tcBorders>
              <w:top w:val="nil"/>
              <w:left w:val="nil"/>
              <w:bottom w:val="single" w:sz="4" w:space="0" w:color="auto"/>
              <w:right w:val="single" w:sz="4" w:space="0" w:color="auto"/>
            </w:tcBorders>
            <w:shd w:val="clear" w:color="auto" w:fill="auto"/>
            <w:noWrap/>
            <w:vAlign w:val="center"/>
            <w:hideMark/>
          </w:tcPr>
          <w:p w14:paraId="302971BB"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64</w:t>
            </w:r>
          </w:p>
        </w:tc>
        <w:tc>
          <w:tcPr>
            <w:tcW w:w="359" w:type="pct"/>
            <w:tcBorders>
              <w:top w:val="nil"/>
              <w:left w:val="nil"/>
              <w:bottom w:val="single" w:sz="4" w:space="0" w:color="auto"/>
              <w:right w:val="single" w:sz="4" w:space="0" w:color="auto"/>
            </w:tcBorders>
            <w:shd w:val="clear" w:color="auto" w:fill="auto"/>
            <w:noWrap/>
            <w:vAlign w:val="center"/>
            <w:hideMark/>
          </w:tcPr>
          <w:p w14:paraId="40FCE7FA"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61</w:t>
            </w:r>
          </w:p>
        </w:tc>
        <w:tc>
          <w:tcPr>
            <w:tcW w:w="359" w:type="pct"/>
            <w:tcBorders>
              <w:top w:val="nil"/>
              <w:left w:val="nil"/>
              <w:bottom w:val="single" w:sz="4" w:space="0" w:color="auto"/>
              <w:right w:val="single" w:sz="4" w:space="0" w:color="auto"/>
            </w:tcBorders>
            <w:shd w:val="clear" w:color="auto" w:fill="auto"/>
            <w:noWrap/>
            <w:vAlign w:val="center"/>
            <w:hideMark/>
          </w:tcPr>
          <w:p w14:paraId="415C41E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59</w:t>
            </w:r>
          </w:p>
        </w:tc>
        <w:tc>
          <w:tcPr>
            <w:tcW w:w="359" w:type="pct"/>
            <w:tcBorders>
              <w:top w:val="nil"/>
              <w:left w:val="nil"/>
              <w:bottom w:val="single" w:sz="4" w:space="0" w:color="auto"/>
              <w:right w:val="single" w:sz="4" w:space="0" w:color="auto"/>
            </w:tcBorders>
            <w:shd w:val="clear" w:color="auto" w:fill="auto"/>
            <w:noWrap/>
            <w:vAlign w:val="center"/>
            <w:hideMark/>
          </w:tcPr>
          <w:p w14:paraId="0B58295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55</w:t>
            </w:r>
          </w:p>
        </w:tc>
        <w:tc>
          <w:tcPr>
            <w:tcW w:w="359" w:type="pct"/>
            <w:tcBorders>
              <w:top w:val="nil"/>
              <w:left w:val="nil"/>
              <w:bottom w:val="single" w:sz="4" w:space="0" w:color="auto"/>
              <w:right w:val="single" w:sz="4" w:space="0" w:color="auto"/>
            </w:tcBorders>
            <w:shd w:val="clear" w:color="auto" w:fill="auto"/>
            <w:noWrap/>
            <w:vAlign w:val="center"/>
            <w:hideMark/>
          </w:tcPr>
          <w:p w14:paraId="50367E7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53</w:t>
            </w:r>
          </w:p>
        </w:tc>
      </w:tr>
      <w:tr w:rsidR="00671563" w:rsidRPr="00D93D2D" w14:paraId="13634E4C"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6067D64C"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Annual average # of test / DMC</w:t>
            </w:r>
          </w:p>
        </w:tc>
        <w:tc>
          <w:tcPr>
            <w:tcW w:w="332" w:type="pct"/>
            <w:tcBorders>
              <w:top w:val="nil"/>
              <w:left w:val="nil"/>
              <w:bottom w:val="single" w:sz="4" w:space="0" w:color="auto"/>
              <w:right w:val="single" w:sz="4" w:space="0" w:color="auto"/>
            </w:tcBorders>
            <w:shd w:val="clear" w:color="auto" w:fill="auto"/>
            <w:noWrap/>
            <w:vAlign w:val="center"/>
            <w:hideMark/>
          </w:tcPr>
          <w:p w14:paraId="0A94FDB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32" w:type="pct"/>
            <w:tcBorders>
              <w:top w:val="nil"/>
              <w:left w:val="nil"/>
              <w:bottom w:val="single" w:sz="4" w:space="0" w:color="auto"/>
              <w:right w:val="single" w:sz="4" w:space="0" w:color="auto"/>
            </w:tcBorders>
            <w:shd w:val="clear" w:color="auto" w:fill="auto"/>
            <w:noWrap/>
            <w:vAlign w:val="center"/>
            <w:hideMark/>
          </w:tcPr>
          <w:p w14:paraId="10D5789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59" w:type="pct"/>
            <w:tcBorders>
              <w:top w:val="nil"/>
              <w:left w:val="nil"/>
              <w:bottom w:val="single" w:sz="4" w:space="0" w:color="auto"/>
              <w:right w:val="single" w:sz="4" w:space="0" w:color="auto"/>
            </w:tcBorders>
            <w:shd w:val="clear" w:color="auto" w:fill="auto"/>
            <w:noWrap/>
            <w:vAlign w:val="center"/>
            <w:hideMark/>
          </w:tcPr>
          <w:p w14:paraId="687F49E2"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771</w:t>
            </w:r>
          </w:p>
        </w:tc>
        <w:tc>
          <w:tcPr>
            <w:tcW w:w="359" w:type="pct"/>
            <w:tcBorders>
              <w:top w:val="nil"/>
              <w:left w:val="nil"/>
              <w:bottom w:val="single" w:sz="4" w:space="0" w:color="auto"/>
              <w:right w:val="single" w:sz="4" w:space="0" w:color="auto"/>
            </w:tcBorders>
            <w:shd w:val="clear" w:color="auto" w:fill="auto"/>
            <w:noWrap/>
            <w:vAlign w:val="center"/>
            <w:hideMark/>
          </w:tcPr>
          <w:p w14:paraId="764262E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887</w:t>
            </w:r>
          </w:p>
        </w:tc>
        <w:tc>
          <w:tcPr>
            <w:tcW w:w="359" w:type="pct"/>
            <w:tcBorders>
              <w:top w:val="nil"/>
              <w:left w:val="nil"/>
              <w:bottom w:val="single" w:sz="4" w:space="0" w:color="auto"/>
              <w:right w:val="single" w:sz="4" w:space="0" w:color="auto"/>
            </w:tcBorders>
            <w:shd w:val="clear" w:color="auto" w:fill="auto"/>
            <w:noWrap/>
            <w:vAlign w:val="center"/>
            <w:hideMark/>
          </w:tcPr>
          <w:p w14:paraId="6BDA19A7"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1,047</w:t>
            </w:r>
          </w:p>
        </w:tc>
        <w:tc>
          <w:tcPr>
            <w:tcW w:w="359" w:type="pct"/>
            <w:tcBorders>
              <w:top w:val="nil"/>
              <w:left w:val="nil"/>
              <w:bottom w:val="single" w:sz="4" w:space="0" w:color="auto"/>
              <w:right w:val="single" w:sz="4" w:space="0" w:color="auto"/>
            </w:tcBorders>
            <w:shd w:val="clear" w:color="auto" w:fill="auto"/>
            <w:noWrap/>
            <w:vAlign w:val="center"/>
            <w:hideMark/>
          </w:tcPr>
          <w:p w14:paraId="291709B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1,148</w:t>
            </w:r>
          </w:p>
        </w:tc>
        <w:tc>
          <w:tcPr>
            <w:tcW w:w="359" w:type="pct"/>
            <w:tcBorders>
              <w:top w:val="nil"/>
              <w:left w:val="nil"/>
              <w:bottom w:val="single" w:sz="4" w:space="0" w:color="auto"/>
              <w:right w:val="single" w:sz="4" w:space="0" w:color="auto"/>
            </w:tcBorders>
            <w:shd w:val="clear" w:color="auto" w:fill="auto"/>
            <w:noWrap/>
            <w:vAlign w:val="center"/>
            <w:hideMark/>
          </w:tcPr>
          <w:p w14:paraId="73DD6B0D"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1,388</w:t>
            </w:r>
          </w:p>
        </w:tc>
        <w:tc>
          <w:tcPr>
            <w:tcW w:w="359" w:type="pct"/>
            <w:tcBorders>
              <w:top w:val="nil"/>
              <w:left w:val="nil"/>
              <w:bottom w:val="single" w:sz="4" w:space="0" w:color="auto"/>
              <w:right w:val="single" w:sz="4" w:space="0" w:color="auto"/>
            </w:tcBorders>
            <w:shd w:val="clear" w:color="auto" w:fill="auto"/>
            <w:noWrap/>
            <w:vAlign w:val="center"/>
            <w:hideMark/>
          </w:tcPr>
          <w:p w14:paraId="1060D84C"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1,466</w:t>
            </w:r>
          </w:p>
        </w:tc>
        <w:tc>
          <w:tcPr>
            <w:tcW w:w="359" w:type="pct"/>
            <w:tcBorders>
              <w:top w:val="nil"/>
              <w:left w:val="nil"/>
              <w:bottom w:val="single" w:sz="4" w:space="0" w:color="auto"/>
              <w:right w:val="single" w:sz="4" w:space="0" w:color="auto"/>
            </w:tcBorders>
            <w:shd w:val="clear" w:color="auto" w:fill="auto"/>
            <w:noWrap/>
            <w:vAlign w:val="center"/>
            <w:hideMark/>
          </w:tcPr>
          <w:p w14:paraId="6E5697C6"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1,525</w:t>
            </w:r>
          </w:p>
        </w:tc>
        <w:tc>
          <w:tcPr>
            <w:tcW w:w="359" w:type="pct"/>
            <w:tcBorders>
              <w:top w:val="nil"/>
              <w:left w:val="nil"/>
              <w:bottom w:val="single" w:sz="4" w:space="0" w:color="auto"/>
              <w:right w:val="single" w:sz="4" w:space="0" w:color="auto"/>
            </w:tcBorders>
            <w:shd w:val="clear" w:color="auto" w:fill="auto"/>
            <w:noWrap/>
            <w:vAlign w:val="center"/>
            <w:hideMark/>
          </w:tcPr>
          <w:p w14:paraId="0B0981AA"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1,529</w:t>
            </w:r>
          </w:p>
        </w:tc>
        <w:tc>
          <w:tcPr>
            <w:tcW w:w="359" w:type="pct"/>
            <w:tcBorders>
              <w:top w:val="nil"/>
              <w:left w:val="nil"/>
              <w:bottom w:val="single" w:sz="4" w:space="0" w:color="auto"/>
              <w:right w:val="single" w:sz="4" w:space="0" w:color="auto"/>
            </w:tcBorders>
            <w:shd w:val="clear" w:color="auto" w:fill="auto"/>
            <w:noWrap/>
            <w:vAlign w:val="center"/>
            <w:hideMark/>
          </w:tcPr>
          <w:p w14:paraId="06C01E9E"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1,546</w:t>
            </w:r>
          </w:p>
        </w:tc>
      </w:tr>
      <w:tr w:rsidR="00671563" w:rsidRPr="00D93D2D" w14:paraId="3C9C4C4F" w14:textId="77777777" w:rsidTr="005A6E42">
        <w:trPr>
          <w:trHeight w:val="130"/>
        </w:trPr>
        <w:tc>
          <w:tcPr>
            <w:tcW w:w="1102" w:type="pct"/>
            <w:tcBorders>
              <w:top w:val="nil"/>
              <w:left w:val="single" w:sz="4" w:space="0" w:color="auto"/>
              <w:bottom w:val="single" w:sz="4" w:space="0" w:color="auto"/>
              <w:right w:val="single" w:sz="4" w:space="0" w:color="auto"/>
            </w:tcBorders>
            <w:shd w:val="clear" w:color="000000" w:fill="EDEDED"/>
            <w:noWrap/>
            <w:hideMark/>
          </w:tcPr>
          <w:p w14:paraId="63BF643E"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Daily average # of test / DMC</w:t>
            </w:r>
          </w:p>
          <w:p w14:paraId="407585ED" w14:textId="77777777" w:rsidR="00671563" w:rsidRPr="00D93D2D" w:rsidRDefault="00671563" w:rsidP="008636F3">
            <w:pPr>
              <w:spacing w:after="0" w:line="240" w:lineRule="auto"/>
              <w:rPr>
                <w:rFonts w:eastAsia="Times New Roman" w:cstheme="minorHAnsi"/>
                <w:color w:val="000000"/>
                <w:sz w:val="12"/>
              </w:rPr>
            </w:pPr>
            <w:r w:rsidRPr="00D93D2D">
              <w:rPr>
                <w:rFonts w:eastAsia="Times New Roman" w:cstheme="minorHAnsi"/>
                <w:color w:val="000000"/>
                <w:sz w:val="12"/>
              </w:rPr>
              <w:t>(250 d/yr)</w:t>
            </w:r>
          </w:p>
        </w:tc>
        <w:tc>
          <w:tcPr>
            <w:tcW w:w="332" w:type="pct"/>
            <w:tcBorders>
              <w:top w:val="nil"/>
              <w:left w:val="nil"/>
              <w:bottom w:val="single" w:sz="4" w:space="0" w:color="auto"/>
              <w:right w:val="single" w:sz="4" w:space="0" w:color="auto"/>
            </w:tcBorders>
            <w:shd w:val="clear" w:color="auto" w:fill="auto"/>
            <w:noWrap/>
            <w:vAlign w:val="center"/>
            <w:hideMark/>
          </w:tcPr>
          <w:p w14:paraId="779FA20C"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32" w:type="pct"/>
            <w:tcBorders>
              <w:top w:val="nil"/>
              <w:left w:val="nil"/>
              <w:bottom w:val="single" w:sz="4" w:space="0" w:color="auto"/>
              <w:right w:val="single" w:sz="4" w:space="0" w:color="auto"/>
            </w:tcBorders>
            <w:shd w:val="clear" w:color="auto" w:fill="auto"/>
            <w:noWrap/>
            <w:vAlign w:val="center"/>
            <w:hideMark/>
          </w:tcPr>
          <w:p w14:paraId="4218951B"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0</w:t>
            </w:r>
          </w:p>
        </w:tc>
        <w:tc>
          <w:tcPr>
            <w:tcW w:w="359" w:type="pct"/>
            <w:tcBorders>
              <w:top w:val="nil"/>
              <w:left w:val="nil"/>
              <w:bottom w:val="single" w:sz="4" w:space="0" w:color="auto"/>
              <w:right w:val="single" w:sz="4" w:space="0" w:color="auto"/>
            </w:tcBorders>
            <w:shd w:val="clear" w:color="auto" w:fill="auto"/>
            <w:noWrap/>
            <w:vAlign w:val="center"/>
            <w:hideMark/>
          </w:tcPr>
          <w:p w14:paraId="441CF244"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3</w:t>
            </w:r>
          </w:p>
        </w:tc>
        <w:tc>
          <w:tcPr>
            <w:tcW w:w="359" w:type="pct"/>
            <w:tcBorders>
              <w:top w:val="nil"/>
              <w:left w:val="nil"/>
              <w:bottom w:val="single" w:sz="4" w:space="0" w:color="auto"/>
              <w:right w:val="single" w:sz="4" w:space="0" w:color="auto"/>
            </w:tcBorders>
            <w:shd w:val="clear" w:color="auto" w:fill="auto"/>
            <w:noWrap/>
            <w:vAlign w:val="center"/>
            <w:hideMark/>
          </w:tcPr>
          <w:p w14:paraId="25870328"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4</w:t>
            </w:r>
          </w:p>
        </w:tc>
        <w:tc>
          <w:tcPr>
            <w:tcW w:w="359" w:type="pct"/>
            <w:tcBorders>
              <w:top w:val="nil"/>
              <w:left w:val="nil"/>
              <w:bottom w:val="single" w:sz="4" w:space="0" w:color="auto"/>
              <w:right w:val="single" w:sz="4" w:space="0" w:color="auto"/>
            </w:tcBorders>
            <w:shd w:val="clear" w:color="auto" w:fill="auto"/>
            <w:noWrap/>
            <w:vAlign w:val="center"/>
            <w:hideMark/>
          </w:tcPr>
          <w:p w14:paraId="4790D0F3"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4</w:t>
            </w:r>
          </w:p>
        </w:tc>
        <w:tc>
          <w:tcPr>
            <w:tcW w:w="359" w:type="pct"/>
            <w:tcBorders>
              <w:top w:val="nil"/>
              <w:left w:val="nil"/>
              <w:bottom w:val="single" w:sz="4" w:space="0" w:color="auto"/>
              <w:right w:val="single" w:sz="4" w:space="0" w:color="auto"/>
            </w:tcBorders>
            <w:shd w:val="clear" w:color="auto" w:fill="auto"/>
            <w:noWrap/>
            <w:vAlign w:val="center"/>
            <w:hideMark/>
          </w:tcPr>
          <w:p w14:paraId="19ACD5B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5</w:t>
            </w:r>
          </w:p>
        </w:tc>
        <w:tc>
          <w:tcPr>
            <w:tcW w:w="359" w:type="pct"/>
            <w:tcBorders>
              <w:top w:val="nil"/>
              <w:left w:val="nil"/>
              <w:bottom w:val="single" w:sz="4" w:space="0" w:color="auto"/>
              <w:right w:val="single" w:sz="4" w:space="0" w:color="auto"/>
            </w:tcBorders>
            <w:shd w:val="clear" w:color="auto" w:fill="auto"/>
            <w:noWrap/>
            <w:vAlign w:val="center"/>
            <w:hideMark/>
          </w:tcPr>
          <w:p w14:paraId="168EB1DB"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w:t>
            </w:r>
          </w:p>
        </w:tc>
        <w:tc>
          <w:tcPr>
            <w:tcW w:w="359" w:type="pct"/>
            <w:tcBorders>
              <w:top w:val="nil"/>
              <w:left w:val="nil"/>
              <w:bottom w:val="single" w:sz="4" w:space="0" w:color="auto"/>
              <w:right w:val="single" w:sz="4" w:space="0" w:color="auto"/>
            </w:tcBorders>
            <w:shd w:val="clear" w:color="auto" w:fill="auto"/>
            <w:noWrap/>
            <w:vAlign w:val="center"/>
            <w:hideMark/>
          </w:tcPr>
          <w:p w14:paraId="7B49EE2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w:t>
            </w:r>
          </w:p>
        </w:tc>
        <w:tc>
          <w:tcPr>
            <w:tcW w:w="359" w:type="pct"/>
            <w:tcBorders>
              <w:top w:val="nil"/>
              <w:left w:val="nil"/>
              <w:bottom w:val="single" w:sz="4" w:space="0" w:color="auto"/>
              <w:right w:val="single" w:sz="4" w:space="0" w:color="auto"/>
            </w:tcBorders>
            <w:shd w:val="clear" w:color="auto" w:fill="auto"/>
            <w:noWrap/>
            <w:vAlign w:val="center"/>
            <w:hideMark/>
          </w:tcPr>
          <w:p w14:paraId="5E416471"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w:t>
            </w:r>
          </w:p>
        </w:tc>
        <w:tc>
          <w:tcPr>
            <w:tcW w:w="359" w:type="pct"/>
            <w:tcBorders>
              <w:top w:val="nil"/>
              <w:left w:val="nil"/>
              <w:bottom w:val="single" w:sz="4" w:space="0" w:color="auto"/>
              <w:right w:val="single" w:sz="4" w:space="0" w:color="auto"/>
            </w:tcBorders>
            <w:shd w:val="clear" w:color="auto" w:fill="auto"/>
            <w:noWrap/>
            <w:vAlign w:val="center"/>
            <w:hideMark/>
          </w:tcPr>
          <w:p w14:paraId="0DB73804"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w:t>
            </w:r>
          </w:p>
        </w:tc>
        <w:tc>
          <w:tcPr>
            <w:tcW w:w="359" w:type="pct"/>
            <w:tcBorders>
              <w:top w:val="nil"/>
              <w:left w:val="nil"/>
              <w:bottom w:val="single" w:sz="4" w:space="0" w:color="auto"/>
              <w:right w:val="single" w:sz="4" w:space="0" w:color="auto"/>
            </w:tcBorders>
            <w:shd w:val="clear" w:color="auto" w:fill="auto"/>
            <w:noWrap/>
            <w:vAlign w:val="center"/>
            <w:hideMark/>
          </w:tcPr>
          <w:p w14:paraId="48ECB9AF" w14:textId="77777777" w:rsidR="00671563" w:rsidRPr="00D93D2D" w:rsidRDefault="00671563" w:rsidP="008636F3">
            <w:pPr>
              <w:spacing w:after="0" w:line="240" w:lineRule="auto"/>
              <w:rPr>
                <w:rFonts w:eastAsia="Times New Roman" w:cstheme="minorHAnsi"/>
                <w:color w:val="000000"/>
                <w:sz w:val="10"/>
              </w:rPr>
            </w:pPr>
            <w:r w:rsidRPr="00D93D2D">
              <w:rPr>
                <w:rFonts w:eastAsia="Times New Roman" w:cstheme="minorHAnsi"/>
                <w:color w:val="000000"/>
                <w:sz w:val="10"/>
              </w:rPr>
              <w:t>6</w:t>
            </w:r>
          </w:p>
        </w:tc>
      </w:tr>
    </w:tbl>
    <w:p w14:paraId="50D41A4A" w14:textId="74015E39" w:rsidR="000F2683" w:rsidRPr="00D93D2D" w:rsidRDefault="000F2683" w:rsidP="000F2683">
      <w:pPr>
        <w:rPr>
          <w:rFonts w:cstheme="minorHAnsi"/>
        </w:rPr>
      </w:pPr>
    </w:p>
    <w:p w14:paraId="2288A7BA" w14:textId="73D5F342" w:rsidR="00084C16" w:rsidRPr="00D93D2D" w:rsidRDefault="00084C16" w:rsidP="00084C16">
      <w:pPr>
        <w:tabs>
          <w:tab w:val="left" w:pos="2430"/>
        </w:tabs>
        <w:jc w:val="both"/>
        <w:rPr>
          <w:rFonts w:cstheme="minorHAnsi"/>
        </w:rPr>
      </w:pPr>
      <w:r w:rsidRPr="00D93D2D">
        <w:rPr>
          <w:rFonts w:cstheme="minorHAnsi"/>
          <w:b/>
        </w:rPr>
        <w:t>Table S1.</w:t>
      </w:r>
      <w:r w:rsidRPr="00D93D2D">
        <w:rPr>
          <w:rFonts w:cstheme="minorHAnsi"/>
        </w:rPr>
        <w:t xml:space="preserve"> The projection of Xpert testing coverage and testing volumes based on the National Strategic Plan (NSP) for Tuberculosis Elimination 2017-2025</w:t>
      </w:r>
    </w:p>
    <w:p w14:paraId="6F975A37" w14:textId="435D7838" w:rsidR="00084C16" w:rsidRPr="00D93D2D" w:rsidRDefault="00084C16" w:rsidP="00084C16">
      <w:pPr>
        <w:tabs>
          <w:tab w:val="left" w:pos="2430"/>
        </w:tabs>
        <w:jc w:val="both"/>
        <w:rPr>
          <w:rFonts w:cstheme="minorHAnsi"/>
        </w:rPr>
      </w:pPr>
      <w:r w:rsidRPr="00D93D2D">
        <w:rPr>
          <w:rFonts w:cstheme="minorHAnsi"/>
        </w:rPr>
        <w:t>* total number of diagnostic test</w:t>
      </w:r>
      <w:r w:rsidR="008636F3" w:rsidRPr="00D93D2D">
        <w:rPr>
          <w:rFonts w:cstheme="minorHAnsi"/>
        </w:rPr>
        <w:t>s</w:t>
      </w:r>
      <w:r w:rsidRPr="00D93D2D">
        <w:rPr>
          <w:rFonts w:cstheme="minorHAnsi"/>
        </w:rPr>
        <w:t xml:space="preserve"> is estimated based on the projected total number of Xpert and smear tests performed in the 2025 NSP report</w:t>
      </w:r>
    </w:p>
    <w:p w14:paraId="13F9C03C" w14:textId="76E3BD8C" w:rsidR="00671563" w:rsidRPr="00D93D2D" w:rsidRDefault="00084C16" w:rsidP="00084C16">
      <w:pPr>
        <w:tabs>
          <w:tab w:val="left" w:pos="2430"/>
        </w:tabs>
        <w:jc w:val="both"/>
        <w:rPr>
          <w:rFonts w:cstheme="minorHAnsi"/>
        </w:rPr>
      </w:pPr>
      <w:r w:rsidRPr="00D93D2D">
        <w:rPr>
          <w:rFonts w:cstheme="minorHAnsi"/>
        </w:rPr>
        <w:t>** Xpert test coverage (%) is based on</w:t>
      </w:r>
      <w:r w:rsidR="008636F3" w:rsidRPr="00D93D2D">
        <w:rPr>
          <w:rFonts w:cstheme="minorHAnsi"/>
        </w:rPr>
        <w:t>:</w:t>
      </w:r>
      <w:r w:rsidRPr="00D93D2D">
        <w:rPr>
          <w:rFonts w:cstheme="minorHAnsi"/>
        </w:rPr>
        <w:t xml:space="preserve"> 1) prioritizing Xpert scale-up at central locations (DTCs),</w:t>
      </w:r>
      <w:r w:rsidR="008636F3" w:rsidRPr="00D93D2D">
        <w:rPr>
          <w:rFonts w:cstheme="minorHAnsi"/>
        </w:rPr>
        <w:t xml:space="preserve"> and</w:t>
      </w:r>
      <w:r w:rsidRPr="00D93D2D">
        <w:rPr>
          <w:rFonts w:cstheme="minorHAnsi"/>
        </w:rPr>
        <w:t xml:space="preserve"> 2) total number of DTCs (n=731) and DMCs (n=13,908)</w:t>
      </w:r>
    </w:p>
    <w:p w14:paraId="0E6A5365" w14:textId="71AD3515" w:rsidR="00084C16" w:rsidRPr="00D93D2D" w:rsidRDefault="00671563" w:rsidP="00A81093">
      <w:pPr>
        <w:rPr>
          <w:rFonts w:cstheme="minorHAnsi"/>
        </w:rPr>
      </w:pPr>
      <w:r w:rsidRPr="00D93D2D">
        <w:rPr>
          <w:rFonts w:cstheme="minorHAnsi"/>
        </w:rPr>
        <w:br w:type="page"/>
      </w:r>
    </w:p>
    <w:p w14:paraId="568F91D6" w14:textId="52E41B57" w:rsidR="00BA14B4" w:rsidRPr="00D93D2D" w:rsidRDefault="002F2B05" w:rsidP="00084C16">
      <w:pPr>
        <w:pStyle w:val="Heading2"/>
        <w:rPr>
          <w:rFonts w:cstheme="minorHAnsi"/>
        </w:rPr>
      </w:pPr>
      <w:bookmarkStart w:id="2" w:name="_Toc12877756"/>
      <w:r w:rsidRPr="00D93D2D">
        <w:rPr>
          <w:rFonts w:cstheme="minorHAnsi"/>
        </w:rPr>
        <w:lastRenderedPageBreak/>
        <w:t>Index</w:t>
      </w:r>
      <w:r w:rsidR="00BA14B4" w:rsidRPr="00D93D2D">
        <w:rPr>
          <w:rFonts w:cstheme="minorHAnsi"/>
        </w:rPr>
        <w:t xml:space="preserve"> per-test unit cost</w:t>
      </w:r>
      <w:r w:rsidR="00FF68EA" w:rsidRPr="00D93D2D">
        <w:rPr>
          <w:rFonts w:cstheme="minorHAnsi"/>
        </w:rPr>
        <w:t xml:space="preserve"> for laboratories</w:t>
      </w:r>
      <w:bookmarkEnd w:id="2"/>
      <w:r w:rsidR="00FF68EA" w:rsidRPr="00D93D2D">
        <w:rPr>
          <w:rFonts w:cstheme="minorHAnsi"/>
        </w:rPr>
        <w:t xml:space="preserve">  </w:t>
      </w:r>
    </w:p>
    <w:p w14:paraId="03D45DCA" w14:textId="4B09EEA9" w:rsidR="000D2FEE" w:rsidRPr="00D93D2D" w:rsidRDefault="00FF68EA" w:rsidP="00060BF2">
      <w:pPr>
        <w:tabs>
          <w:tab w:val="left" w:pos="2430"/>
        </w:tabs>
        <w:jc w:val="both"/>
        <w:rPr>
          <w:rFonts w:cstheme="minorHAnsi"/>
        </w:rPr>
      </w:pPr>
      <w:r w:rsidRPr="00D93D2D">
        <w:rPr>
          <w:rFonts w:cstheme="minorHAnsi"/>
        </w:rPr>
        <w:t>Index p</w:t>
      </w:r>
      <w:r w:rsidR="002B72E0" w:rsidRPr="00D93D2D">
        <w:rPr>
          <w:rFonts w:cstheme="minorHAnsi"/>
        </w:rPr>
        <w:t xml:space="preserve">er-test unit cost </w:t>
      </w:r>
      <w:r w:rsidRPr="00D93D2D">
        <w:rPr>
          <w:rFonts w:cstheme="minorHAnsi"/>
        </w:rPr>
        <w:t xml:space="preserve">of </w:t>
      </w:r>
      <w:r w:rsidR="00E6460D" w:rsidRPr="00D93D2D">
        <w:rPr>
          <w:rFonts w:cstheme="minorHAnsi"/>
        </w:rPr>
        <w:t xml:space="preserve">Xpert was calculated based on data derived from </w:t>
      </w:r>
      <w:r w:rsidR="002E2C50" w:rsidRPr="00D93D2D">
        <w:rPr>
          <w:rFonts w:cstheme="minorHAnsi"/>
        </w:rPr>
        <w:t xml:space="preserve">previous </w:t>
      </w:r>
      <w:r w:rsidR="00E6460D" w:rsidRPr="00D93D2D">
        <w:rPr>
          <w:rFonts w:cstheme="minorHAnsi"/>
        </w:rPr>
        <w:t>costing studies</w:t>
      </w:r>
      <w:r w:rsidR="002E2C50" w:rsidRPr="00D93D2D">
        <w:rPr>
          <w:rFonts w:cstheme="minorHAnsi"/>
        </w:rPr>
        <w:t xml:space="preserve"> </w:t>
      </w:r>
      <w:r w:rsidR="00E6460D" w:rsidRPr="00D93D2D">
        <w:rPr>
          <w:rFonts w:cstheme="minorHAnsi"/>
        </w:rPr>
        <w:t>conducted as part of the Foundation for Innovative New Diagnostics diagnostic field studies in India (all unit prices and unit cost data), Vietnam</w:t>
      </w:r>
      <w:r w:rsidR="009C79E7" w:rsidRPr="00D93D2D">
        <w:rPr>
          <w:rFonts w:cstheme="minorHAnsi"/>
        </w:rPr>
        <w:t xml:space="preserve"> and</w:t>
      </w:r>
      <w:r w:rsidR="00E6460D" w:rsidRPr="00D93D2D">
        <w:rPr>
          <w:rFonts w:cstheme="minorHAnsi"/>
        </w:rPr>
        <w:t xml:space="preserve"> Malawi,</w:t>
      </w:r>
      <w:r w:rsidR="009C79E7" w:rsidRPr="00D93D2D">
        <w:rPr>
          <w:rFonts w:cstheme="minorHAnsi"/>
        </w:rPr>
        <w:fldChar w:fldCharType="begin" w:fldLock="1"/>
      </w:r>
      <w:r w:rsidR="009A35D4">
        <w:rPr>
          <w:rFonts w:cstheme="minorHAnsi"/>
        </w:rPr>
        <w:instrText>ADDIN CSL_CITATION {"citationItems":[{"id":"ITEM-1","itemData":{"DOI":"10.35500/jghs.2019.1.e22","ISBN":"0000000263580","author":[{"dropping-particle":"","family":"Sohn","given":"Hojoon","non-dropping-particle":"","parse-names":false,"suffix":""},{"dropping-particle":"","family":"Puri","given":"Lehka","non-dropping-particle":"","parse-names":false,"suffix":""},{"dropping-particle":"","family":"Anh","given":"Ngoc","non-dropping-particle":"","parse-names":false,"suffix":""},{"dropping-particle":"","family":"Nguyen","given":"Thi","non-dropping-particle":"","parse-names":false,"suffix":""},{"dropping-particle":"Van","family":"Hoog","given":"Anja H","non-dropping-particle":"","parse-names":false,"suffix":""},{"dropping-particle":"","family":"Nguyen","given":"Van Anh Thi","non-dropping-particle":"","parse-names":false,"suffix":""},{"dropping-particle":"","family":"Nliwasa","given":"Marriott","non-dropping-particle":"","parse-names":false,"suffix":""},{"dropping-particle":"","family":"Nabeta","given":"Pamela","non-dropping-particle":"","parse-names":false,"suffix":""}],"container-title":"J Glob Health Sci.","id":"ITEM-1","issue":"1","issued":{"date-parts":[["2019"]]},"page":"1-11","title":"Cost and affordability analysis of TB-LAMP and Xpert MTB / RIF assays as routine diagnostic tests in peripheral laboratories in Malawi and Vietnam","type":"article-journal","volume":"1"},"uris":["http://www.mendeley.com/documents/?uuid=229acef2-6a04-45c1-94c4-5a88b5de0554"]}],"mendeley":{"formattedCitation":"[1]","plainTextFormattedCitation":"[1]","previouslyFormattedCitation":"[1]"},"properties":{"noteIndex":0},"schema":"https://github.com/citation-style-language/schema/raw/master/csl-citation.json"}</w:instrText>
      </w:r>
      <w:r w:rsidR="009C79E7" w:rsidRPr="00D93D2D">
        <w:rPr>
          <w:rFonts w:cstheme="minorHAnsi"/>
        </w:rPr>
        <w:fldChar w:fldCharType="separate"/>
      </w:r>
      <w:r w:rsidR="009A35D4" w:rsidRPr="009A35D4">
        <w:rPr>
          <w:rFonts w:cstheme="minorHAnsi"/>
          <w:noProof/>
        </w:rPr>
        <w:t>[1]</w:t>
      </w:r>
      <w:r w:rsidR="009C79E7" w:rsidRPr="00D93D2D">
        <w:rPr>
          <w:rFonts w:cstheme="minorHAnsi"/>
        </w:rPr>
        <w:fldChar w:fldCharType="end"/>
      </w:r>
      <w:r w:rsidR="00E6460D" w:rsidRPr="00D93D2D">
        <w:rPr>
          <w:rFonts w:cstheme="minorHAnsi"/>
        </w:rPr>
        <w:t xml:space="preserve"> and from previous </w:t>
      </w:r>
      <w:r w:rsidR="008636F3" w:rsidRPr="00D93D2D">
        <w:rPr>
          <w:rFonts w:cstheme="minorHAnsi"/>
        </w:rPr>
        <w:t>published work</w:t>
      </w:r>
      <w:r w:rsidR="00E6460D" w:rsidRPr="00D93D2D">
        <w:rPr>
          <w:rFonts w:cstheme="minorHAnsi"/>
        </w:rPr>
        <w:t xml:space="preserve"> by Vassall et al</w:t>
      </w:r>
      <w:r w:rsidR="00B72037" w:rsidRPr="00D93D2D">
        <w:rPr>
          <w:rFonts w:cstheme="minorHAnsi"/>
        </w:rPr>
        <w:fldChar w:fldCharType="begin" w:fldLock="1"/>
      </w:r>
      <w:r w:rsidR="009A35D4">
        <w:rPr>
          <w:rFonts w:cstheme="minorHAnsi"/>
        </w:rPr>
        <w:instrText>ADDIN CSL_CITATION {"citationItems":[{"id":"ITEM-1","itemData":{"ISBN":"1549-1676","PMID":"22087078","abstract":"BACKGROUND: Xpert MTB/RIF (Xpert) is a promising new rapid diagnostic technology for tuberculosis (TB) that has characteristics that suggest large-scale roll-out. However, because the test is expensive, there are concerns among TB program managers and policy makers regarding its affordability for low- and middle-income settings.\\n\\nMETHODS AND FINDINGS: We estimate the impact of the introduction of Xpert on the costs and cost-effectiveness of TB care using decision analytic modelling, comparing the introduction of Xpert to a base case of smear microscopy and clinical diagnosis in India, South Africa, and Uganda. The introduction of Xpert increases TB case finding in all three settings; from 72%-85% to 95%-99% of the cohort of individuals with suspected TB, compared to the base case. Diagnostic costs (including the costs of testing all individuals with suspected TB) also increase: from US$28-US$49 to US$133-US$146 and US$137-US$151 per TB case detected when Xpert is used \"in addition to\" and \"as a replacement of\" smear microscopy, respectively. The incremental cost effectiveness ratios (ICERs) for using Xpert \"in addition to\" smear microscopy, compared to the base case, range from US$41-$110 per disability adjusted life year (DALY) averted. Likewise the ICERS for using Xpert \"as a replacement of\" smear microscopy range from US$52-$138 per DALY averted. These ICERs are below the World Health Organization (WHO) willingness to pay threshold.\\n\\nCONCLUSIONS: Our results suggest that Xpert is a cost-effective method of TB diagnosis, compared to a base case of smear microscopy and clinical diagnosis of smear-negative TB in low- and middle-income settings where, with its ability to substantially increase case finding, it has important potential for improving TB diagnosis and control. The extent of cost-effectiveness gain to TB programmes from deploying Xpert is primarily dependent on current TB diagnostic practices. Further work is required during scale-up to validate these findings.","author":[{"dropping-particle":"","family":"Vassall","given":"Anna","non-dropping-particle":"","parse-names":false,"suffix":""},{"dropping-particle":"","family":"Kampen","given":"Sanne","non-dropping-particle":"van","parse-names":false,"suffix":""},{"dropping-particle":"","family":"Sohn","given":"Hojoon","non-dropping-particle":"","parse-names":false,"suffix":""},{"dropping-particle":"","family":"Michael","given":"Joy S.","non-dropping-particle":"","parse-names":false,"suffix":""},{"dropping-particle":"","family":"John","given":"K. R.","non-dropping-particle":"","parse-names":false,"suffix":""},{"dropping-particle":"","family":"Boon","given":"Saskia","non-dropping-particle":"den","parse-names":false,"suffix":""},{"dropping-particle":"","family":"Davis","given":"J. Lucian","non-dropping-particle":"","parse-names":false,"suffix":""},{"dropping-particle":"","family":"Whitelaw","given":"Andrew","non-dropping-particle":"","parse-names":false,"suffix":""},{"dropping-particle":"","family":"Nicol","given":"Mark P.","non-dropping-particle":"","parse-names":false,"suffix":""},{"dropping-particle":"","family":"Gler","given":"Maria Tarcela","non-dropping-particle":"","parse-names":false,"suffix":""},{"dropping-particle":"","family":"Khaliqov","given":"Anar","non-dropping-particle":"","parse-names":false,"suffix":""},{"dropping-particle":"","family":"Zamudio","given":"Carlos","non-dropping-particle":"","parse-names":false,"suffix":""},{"dropping-particle":"","family":"Perkins","given":"Mark D.","non-dropping-particle":"","parse-names":false,"suffix":""},{"dropping-particle":"","family":"Boehme","given":"Catharina C.","non-dropping-particle":"","parse-names":false,"suffix":""},{"dropping-particle":"","family":"Cobelens","given":"Frank","non-dropping-particle":"","parse-names":false,"suffix":""}],"container-title":"PLoS Med","id":"ITEM-1","issue":"11","issued":{"date-parts":[["2011"]]},"page":"e1001120","title":"Rapid diagnosis of tuberculosis with the Xpert MTB/RIF assay in high burden countries: A cost-effectiveness analysis","type":"article-journal","volume":"8"},"uris":["http://www.mendeley.com/documents/?uuid=39ff1d04-f34c-4c13-80ce-ce1e091f7b04"]},{"id":"ITEM-2","itemData":{"DOI":"10.1371/journal.pone.0214675","ISSN":"1932-6203","author":[{"dropping-particle":"","family":"Sarin","given":"Sanjay","non-dropping-particle":"","parse-names":false,"suffix":""},{"dropping-particle":"","family":"Huddart","given":"Sophie","non-dropping-particle":"","parse-names":false,"suffix":""},{"dropping-particle":"","family":"Raizada","given":"Neeraj","non-dropping-particle":"","parse-names":false,"suffix":""},{"dropping-particle":"","family":"Parija","given":"Debadutta","non-dropping-particle":"","parse-names":false,"suffix":""},{"dropping-particle":"","family":"Kalra","given":"Aakshi","non-dropping-particle":"","parse-names":false,"suffix":""},{"dropping-particle":"","family":"Rao","given":"Raghuram","non-dropping-particle":"","parse-names":false,"suffix":""},{"dropping-particle":"","family":"Salhotra","given":"Virender Singh","non-dropping-particle":"","parse-names":false,"suffix":""},{"dropping-particle":"","family":"Khaparde","given":"Sunil D.","non-dropping-particle":"","parse-names":false,"suffix":""},{"dropping-particle":"","family":"Boehme","given":"Catharina","non-dropping-particle":"","parse-names":false,"suffix":""},{"dropping-particle":"","family":"Denkinger","given":"Claudia M.","non-dropping-particle":"","parse-names":false,"suffix":""},{"dropping-particle":"","family":"Sohn","given":"Hojoon","non-dropping-particle":"","parse-names":false,"suffix":""}],"container-title":"PLOS ONE","editor":[{"dropping-particle":"","family":"Ehtesham","given":"Hasnain Seyed","non-dropping-particle":"","parse-names":false,"suffix":""}],"id":"ITEM-2","issue":"4","issued":{"date-parts":[["2019","4","1"]]},"page":"e0214675","title":"Cost and operational impact of promoting upfront GeneXpert MTB/RIF test referrals for presumptive pediatric tuberculosis patients in India","type":"article-journal","volume":"14"},"uris":["http://www.mendeley.com/documents/?uuid=b60a486c-5f27-4b65-b625-cb95de038732"]}],"mendeley":{"formattedCitation":"[2, 3]","plainTextFormattedCitation":"[2, 3]","previouslyFormattedCitation":"[2, 3]"},"properties":{"noteIndex":0},"schema":"https://github.com/citation-style-language/schema/raw/master/csl-citation.json"}</w:instrText>
      </w:r>
      <w:r w:rsidR="00B72037" w:rsidRPr="00D93D2D">
        <w:rPr>
          <w:rFonts w:cstheme="minorHAnsi"/>
        </w:rPr>
        <w:fldChar w:fldCharType="separate"/>
      </w:r>
      <w:r w:rsidR="009A35D4" w:rsidRPr="009A35D4">
        <w:rPr>
          <w:rFonts w:cstheme="minorHAnsi"/>
          <w:noProof/>
        </w:rPr>
        <w:t>[2, 3]</w:t>
      </w:r>
      <w:r w:rsidR="00B72037" w:rsidRPr="00D93D2D">
        <w:rPr>
          <w:rFonts w:cstheme="minorHAnsi"/>
        </w:rPr>
        <w:fldChar w:fldCharType="end"/>
      </w:r>
      <w:r w:rsidR="00E6460D" w:rsidRPr="00D93D2D">
        <w:rPr>
          <w:rFonts w:cstheme="minorHAnsi"/>
        </w:rPr>
        <w:t xml:space="preserve"> </w:t>
      </w:r>
      <w:r w:rsidR="00BA14B4" w:rsidRPr="00D93D2D">
        <w:rPr>
          <w:rFonts w:cstheme="minorHAnsi"/>
        </w:rPr>
        <w:t>using a bottom-up micro-costing method based on the activity based costing (</w:t>
      </w:r>
      <w:r w:rsidR="002E2C50" w:rsidRPr="00D93D2D">
        <w:rPr>
          <w:rFonts w:cstheme="minorHAnsi"/>
        </w:rPr>
        <w:t>ABC) framework</w:t>
      </w:r>
      <w:r w:rsidRPr="00D93D2D">
        <w:rPr>
          <w:rFonts w:cstheme="minorHAnsi"/>
        </w:rPr>
        <w:t xml:space="preserve">. </w:t>
      </w:r>
      <w:r w:rsidR="00E6460D" w:rsidRPr="00D93D2D">
        <w:rPr>
          <w:rFonts w:cstheme="minorHAnsi"/>
        </w:rPr>
        <w:t>Xpert per-test cost for both central</w:t>
      </w:r>
      <w:r w:rsidR="008636F3" w:rsidRPr="00D93D2D">
        <w:rPr>
          <w:rFonts w:cstheme="minorHAnsi"/>
        </w:rPr>
        <w:t>ized</w:t>
      </w:r>
      <w:r w:rsidR="00E6460D" w:rsidRPr="00D93D2D">
        <w:rPr>
          <w:rFonts w:cstheme="minorHAnsi"/>
        </w:rPr>
        <w:t xml:space="preserve"> and decentral</w:t>
      </w:r>
      <w:r w:rsidR="008636F3" w:rsidRPr="00D93D2D">
        <w:rPr>
          <w:rFonts w:cstheme="minorHAnsi"/>
        </w:rPr>
        <w:t>ized</w:t>
      </w:r>
      <w:r w:rsidR="00E6460D" w:rsidRPr="00D93D2D">
        <w:rPr>
          <w:rFonts w:cstheme="minorHAnsi"/>
        </w:rPr>
        <w:t xml:space="preserve"> Xpert include</w:t>
      </w:r>
      <w:r w:rsidRPr="00D93D2D">
        <w:rPr>
          <w:rFonts w:cstheme="minorHAnsi"/>
        </w:rPr>
        <w:t xml:space="preserve"> costs associated with u</w:t>
      </w:r>
      <w:r w:rsidR="00BA14B4" w:rsidRPr="00D93D2D">
        <w:rPr>
          <w:rFonts w:cstheme="minorHAnsi"/>
        </w:rPr>
        <w:t xml:space="preserve">nused equipment capacity based on the </w:t>
      </w:r>
      <w:r w:rsidR="00D93D2D">
        <w:rPr>
          <w:rFonts w:cstheme="minorHAnsi"/>
        </w:rPr>
        <w:t>equipment</w:t>
      </w:r>
      <w:r w:rsidR="00BA14B4" w:rsidRPr="00D93D2D">
        <w:rPr>
          <w:rFonts w:cstheme="minorHAnsi"/>
        </w:rPr>
        <w:t xml:space="preserve"> daily capacity</w:t>
      </w:r>
      <w:r w:rsidR="00D93D2D">
        <w:rPr>
          <w:rFonts w:cstheme="minorHAnsi"/>
        </w:rPr>
        <w:t xml:space="preserve"> maximum (EDC</w:t>
      </w:r>
      <w:r w:rsidR="00D93D2D" w:rsidRPr="00D93D2D">
        <w:rPr>
          <w:rFonts w:cstheme="minorHAnsi"/>
          <w:vertAlign w:val="subscript"/>
        </w:rPr>
        <w:t>max</w:t>
      </w:r>
      <w:r w:rsidR="00D93D2D">
        <w:rPr>
          <w:rFonts w:cstheme="minorHAnsi"/>
        </w:rPr>
        <w:t>)</w:t>
      </w:r>
      <w:r w:rsidR="00BA14B4" w:rsidRPr="00D93D2D">
        <w:rPr>
          <w:rFonts w:cstheme="minorHAnsi"/>
        </w:rPr>
        <w:t xml:space="preserve"> of the key laboratory equipment</w:t>
      </w:r>
      <w:r w:rsidR="00D93D2D">
        <w:rPr>
          <w:rFonts w:cstheme="minorHAnsi"/>
        </w:rPr>
        <w:t>.</w:t>
      </w:r>
      <w:r w:rsidR="005112A3">
        <w:rPr>
          <w:rFonts w:cstheme="minorHAnsi"/>
        </w:rPr>
        <w:t xml:space="preserve"> For</w:t>
      </w:r>
      <w:r w:rsidR="00BA14B4" w:rsidRPr="00D93D2D">
        <w:rPr>
          <w:rFonts w:cstheme="minorHAnsi"/>
        </w:rPr>
        <w:t xml:space="preserve"> </w:t>
      </w:r>
      <w:r w:rsidR="005112A3">
        <w:rPr>
          <w:rFonts w:cstheme="minorHAnsi"/>
        </w:rPr>
        <w:t xml:space="preserve">a four module GeneXpert IV system, we assumed </w:t>
      </w:r>
      <w:r w:rsidR="000E674A" w:rsidRPr="00D93D2D">
        <w:rPr>
          <w:rFonts w:cstheme="minorHAnsi"/>
        </w:rPr>
        <w:t>EDC</w:t>
      </w:r>
      <w:r w:rsidR="000E674A" w:rsidRPr="00D93D2D">
        <w:rPr>
          <w:rFonts w:cstheme="minorHAnsi"/>
          <w:vertAlign w:val="subscript"/>
        </w:rPr>
        <w:t>max</w:t>
      </w:r>
      <w:r w:rsidR="000E674A" w:rsidRPr="00D93D2D">
        <w:rPr>
          <w:rFonts w:cstheme="minorHAnsi"/>
        </w:rPr>
        <w:t xml:space="preserve"> </w:t>
      </w:r>
      <w:r w:rsidR="00BA14B4" w:rsidRPr="00D93D2D">
        <w:rPr>
          <w:rFonts w:cstheme="minorHAnsi"/>
        </w:rPr>
        <w:t xml:space="preserve">to </w:t>
      </w:r>
      <w:r w:rsidR="005112A3">
        <w:rPr>
          <w:rFonts w:cstheme="minorHAnsi"/>
        </w:rPr>
        <w:t xml:space="preserve">be </w:t>
      </w:r>
      <w:r w:rsidR="00BA14B4" w:rsidRPr="00D93D2D">
        <w:rPr>
          <w:rFonts w:cstheme="minorHAnsi"/>
        </w:rPr>
        <w:t>16 tests</w:t>
      </w:r>
      <w:r w:rsidR="007E1879" w:rsidRPr="00D93D2D">
        <w:rPr>
          <w:rFonts w:cstheme="minorHAnsi"/>
        </w:rPr>
        <w:t xml:space="preserve"> </w:t>
      </w:r>
      <w:r w:rsidR="005112A3">
        <w:rPr>
          <w:rFonts w:cstheme="minorHAnsi"/>
        </w:rPr>
        <w:t>for a laboratory staffed to operate</w:t>
      </w:r>
      <w:r w:rsidR="007E1879" w:rsidRPr="00D93D2D">
        <w:rPr>
          <w:rFonts w:cstheme="minorHAnsi"/>
        </w:rPr>
        <w:t xml:space="preserve"> 8</w:t>
      </w:r>
      <w:r w:rsidR="005112A3">
        <w:rPr>
          <w:rFonts w:cstheme="minorHAnsi"/>
        </w:rPr>
        <w:t xml:space="preserve"> </w:t>
      </w:r>
      <w:r w:rsidR="007E1879" w:rsidRPr="00D93D2D">
        <w:rPr>
          <w:rFonts w:cstheme="minorHAnsi"/>
        </w:rPr>
        <w:t>hour</w:t>
      </w:r>
      <w:r w:rsidR="005112A3">
        <w:rPr>
          <w:rFonts w:cstheme="minorHAnsi"/>
        </w:rPr>
        <w:t>s per day</w:t>
      </w:r>
      <w:r w:rsidR="00BA14B4" w:rsidRPr="00D93D2D">
        <w:rPr>
          <w:rFonts w:cstheme="minorHAnsi"/>
        </w:rPr>
        <w:t xml:space="preserve">. </w:t>
      </w:r>
      <w:r w:rsidR="005112A3">
        <w:rPr>
          <w:rFonts w:cstheme="minorHAnsi"/>
        </w:rPr>
        <w:t>For one GeneXpert Omni (single module), we assumed a total of four tests can be performed under the same operating condition. Therefore, a</w:t>
      </w:r>
      <w:r w:rsidR="00BA14B4" w:rsidRPr="00D93D2D">
        <w:rPr>
          <w:rFonts w:cstheme="minorHAnsi"/>
        </w:rPr>
        <w:t xml:space="preserve">ny number of tests performed </w:t>
      </w:r>
      <w:r w:rsidR="005112A3">
        <w:rPr>
          <w:rFonts w:cstheme="minorHAnsi"/>
        </w:rPr>
        <w:t xml:space="preserve">below </w:t>
      </w:r>
      <w:r w:rsidR="005112A3" w:rsidRPr="00D93D2D">
        <w:rPr>
          <w:rFonts w:cstheme="minorHAnsi"/>
        </w:rPr>
        <w:t>EDC</w:t>
      </w:r>
      <w:r w:rsidR="005112A3" w:rsidRPr="00D93D2D">
        <w:rPr>
          <w:rFonts w:cstheme="minorHAnsi"/>
          <w:vertAlign w:val="subscript"/>
        </w:rPr>
        <w:t>max</w:t>
      </w:r>
      <w:r w:rsidR="005112A3" w:rsidRPr="00D93D2D">
        <w:rPr>
          <w:rFonts w:cstheme="minorHAnsi"/>
        </w:rPr>
        <w:t xml:space="preserve"> </w:t>
      </w:r>
      <w:r w:rsidR="00BA14B4" w:rsidRPr="00D93D2D">
        <w:rPr>
          <w:rFonts w:cstheme="minorHAnsi"/>
        </w:rPr>
        <w:t xml:space="preserve"> in a given day would result in incorporation of costs associated with unused </w:t>
      </w:r>
      <w:r w:rsidR="005112A3">
        <w:rPr>
          <w:rFonts w:cstheme="minorHAnsi"/>
        </w:rPr>
        <w:t>GeneXpert system</w:t>
      </w:r>
      <w:r w:rsidR="00BA14B4" w:rsidRPr="00D93D2D">
        <w:rPr>
          <w:rFonts w:cstheme="minorHAnsi"/>
        </w:rPr>
        <w:t xml:space="preserve"> </w:t>
      </w:r>
      <w:r w:rsidR="008636F3" w:rsidRPr="00D93D2D">
        <w:rPr>
          <w:rFonts w:cstheme="minorHAnsi"/>
        </w:rPr>
        <w:t>modules</w:t>
      </w:r>
      <w:r w:rsidR="00BA14B4" w:rsidRPr="00D93D2D">
        <w:rPr>
          <w:rFonts w:cstheme="minorHAnsi"/>
        </w:rPr>
        <w:t>. For example, if a laboratory performed 10 Xpert test</w:t>
      </w:r>
      <w:r w:rsidR="008636F3" w:rsidRPr="00D93D2D">
        <w:rPr>
          <w:rFonts w:cstheme="minorHAnsi"/>
        </w:rPr>
        <w:t>s</w:t>
      </w:r>
      <w:r w:rsidR="00BA14B4" w:rsidRPr="00D93D2D">
        <w:rPr>
          <w:rFonts w:cstheme="minorHAnsi"/>
        </w:rPr>
        <w:t xml:space="preserve">, a total of 6 individual GX4 slots were unused that day. </w:t>
      </w:r>
      <w:r w:rsidR="008636F3" w:rsidRPr="00D93D2D">
        <w:rPr>
          <w:rFonts w:cstheme="minorHAnsi"/>
        </w:rPr>
        <w:t>Thus</w:t>
      </w:r>
      <w:r w:rsidR="00BA14B4" w:rsidRPr="00D93D2D">
        <w:rPr>
          <w:rFonts w:cstheme="minorHAnsi"/>
        </w:rPr>
        <w:t xml:space="preserve">, </w:t>
      </w:r>
      <w:r w:rsidR="008636F3" w:rsidRPr="00D93D2D">
        <w:rPr>
          <w:rFonts w:cstheme="minorHAnsi"/>
        </w:rPr>
        <w:t>six</w:t>
      </w:r>
      <w:r w:rsidR="00BA14B4" w:rsidRPr="00D93D2D">
        <w:rPr>
          <w:rFonts w:cstheme="minorHAnsi"/>
        </w:rPr>
        <w:t xml:space="preserve"> per-</w:t>
      </w:r>
      <w:r w:rsidR="009C79E7" w:rsidRPr="00D93D2D">
        <w:rPr>
          <w:rFonts w:cstheme="minorHAnsi"/>
        </w:rPr>
        <w:t>module</w:t>
      </w:r>
      <w:r w:rsidR="00BA14B4" w:rsidRPr="00D93D2D">
        <w:rPr>
          <w:rFonts w:cstheme="minorHAnsi"/>
        </w:rPr>
        <w:t xml:space="preserve"> cost</w:t>
      </w:r>
      <w:r w:rsidR="008636F3" w:rsidRPr="00D93D2D">
        <w:rPr>
          <w:rFonts w:cstheme="minorHAnsi"/>
        </w:rPr>
        <w:t>s</w:t>
      </w:r>
      <w:r w:rsidR="00BA14B4" w:rsidRPr="00D93D2D">
        <w:rPr>
          <w:rFonts w:cstheme="minorHAnsi"/>
        </w:rPr>
        <w:t xml:space="preserve"> would be incurred as additional cost to this day as costs associated with unused capacity.</w:t>
      </w:r>
      <w:r w:rsidR="00CA0EDD" w:rsidRPr="00D93D2D">
        <w:rPr>
          <w:rFonts w:cstheme="minorHAnsi"/>
        </w:rPr>
        <w:t xml:space="preserve"> This process was repeated for the decentralized Xpert with relevant estimated pricing</w:t>
      </w:r>
      <w:r w:rsidR="00B72037" w:rsidRPr="00D93D2D">
        <w:rPr>
          <w:rFonts w:cstheme="minorHAnsi"/>
        </w:rPr>
        <w:fldChar w:fldCharType="begin" w:fldLock="1"/>
      </w:r>
      <w:r w:rsidR="009A35D4">
        <w:rPr>
          <w:rFonts w:cstheme="minorHAnsi"/>
        </w:rPr>
        <w:instrText>ADDIN CSL_CITATION {"citationItems":[{"id":"ITEM-1","itemData":{"URL":"http://www.cepheid.com/us/genexpert-omni","accessed":{"date-parts":[["2018","2","12"]]},"id":"ITEM-1","issued":{"date-parts":[["0"]]},"title":"Cepheid | GeneXpert Omni","type":"webpage"},"uris":["http://www.mendeley.com/documents/?uuid=0b65e9a1-1b27-32de-8b5e-d430e804d2a6"]}],"mendeley":{"formattedCitation":"[4]","plainTextFormattedCitation":"[4]","previouslyFormattedCitation":"[4]"},"properties":{"noteIndex":0},"schema":"https://github.com/citation-style-language/schema/raw/master/csl-citation.json"}</w:instrText>
      </w:r>
      <w:r w:rsidR="00B72037" w:rsidRPr="00D93D2D">
        <w:rPr>
          <w:rFonts w:cstheme="minorHAnsi"/>
        </w:rPr>
        <w:fldChar w:fldCharType="separate"/>
      </w:r>
      <w:r w:rsidR="009A35D4" w:rsidRPr="009A35D4">
        <w:rPr>
          <w:rFonts w:cstheme="minorHAnsi"/>
          <w:noProof/>
        </w:rPr>
        <w:t>[4]</w:t>
      </w:r>
      <w:r w:rsidR="00B72037" w:rsidRPr="00D93D2D">
        <w:rPr>
          <w:rFonts w:cstheme="minorHAnsi"/>
        </w:rPr>
        <w:fldChar w:fldCharType="end"/>
      </w:r>
      <w:r w:rsidR="00CA0EDD" w:rsidRPr="00D93D2D">
        <w:rPr>
          <w:rFonts w:cstheme="minorHAnsi"/>
        </w:rPr>
        <w:t xml:space="preserve"> and needed capacity to meet </w:t>
      </w:r>
      <w:r w:rsidR="008636F3" w:rsidRPr="00D93D2D">
        <w:rPr>
          <w:rFonts w:cstheme="minorHAnsi"/>
        </w:rPr>
        <w:t xml:space="preserve">a </w:t>
      </w:r>
      <w:r w:rsidR="00CA0EDD" w:rsidRPr="00D93D2D">
        <w:rPr>
          <w:rFonts w:cstheme="minorHAnsi"/>
        </w:rPr>
        <w:t>90% same</w:t>
      </w:r>
      <w:r w:rsidR="008636F3" w:rsidRPr="00D93D2D">
        <w:rPr>
          <w:rFonts w:cstheme="minorHAnsi"/>
        </w:rPr>
        <w:t>-</w:t>
      </w:r>
      <w:r w:rsidR="00CA0EDD" w:rsidRPr="00D93D2D">
        <w:rPr>
          <w:rFonts w:cstheme="minorHAnsi"/>
        </w:rPr>
        <w:t>day testing requirement</w:t>
      </w:r>
      <w:r w:rsidR="004F2255" w:rsidRPr="00D93D2D">
        <w:rPr>
          <w:rFonts w:cstheme="minorHAnsi"/>
        </w:rPr>
        <w:t xml:space="preserve"> (Table </w:t>
      </w:r>
      <w:r w:rsidR="005C035F" w:rsidRPr="00D93D2D">
        <w:rPr>
          <w:rFonts w:cstheme="minorHAnsi"/>
        </w:rPr>
        <w:t>S2</w:t>
      </w:r>
      <w:r w:rsidR="004F2255" w:rsidRPr="00D93D2D">
        <w:rPr>
          <w:rFonts w:cstheme="minorHAnsi"/>
        </w:rPr>
        <w:t>)</w:t>
      </w:r>
      <w:r w:rsidR="00CA0EDD" w:rsidRPr="00D93D2D">
        <w:rPr>
          <w:rFonts w:cstheme="minorHAnsi"/>
        </w:rPr>
        <w:t xml:space="preserve">. </w:t>
      </w:r>
      <w:r w:rsidR="00AD3D25" w:rsidRPr="00D93D2D">
        <w:rPr>
          <w:rFonts w:cstheme="minorHAnsi"/>
        </w:rPr>
        <w:t>Prices of GeneXpert machines and cartridges were based on concessionary pricing</w:t>
      </w:r>
      <w:r w:rsidR="000D2FEE" w:rsidRPr="00D93D2D">
        <w:rPr>
          <w:rFonts w:cstheme="minorHAnsi"/>
        </w:rPr>
        <w:fldChar w:fldCharType="begin" w:fldLock="1"/>
      </w:r>
      <w:r w:rsidR="009A35D4">
        <w:rPr>
          <w:rFonts w:cstheme="minorHAnsi"/>
        </w:rPr>
        <w:instrText>ADDIN CSL_CITATION {"citationItems":[{"id":"ITEM-1","itemData":{"URL":"https://www.finddx.org/find-negotiated-product-pricing/","accessed":{"date-parts":[["2018","11","14"]]},"author":[{"dropping-particle":"","family":"Foundation for Innovative New Diagnsotics","given":"","non-dropping-particle":"","parse-names":false,"suffix":""}],"id":"ITEM-1","issued":{"date-parts":[["0"]]},"title":"Negotiated Prices for Diagnostic Products in LMICs","type":"webpage"},"uris":["http://www.mendeley.com/documents/?uuid=89a13122-d3e1-3b69-966b-f0a87c5b4aad"]}],"mendeley":{"formattedCitation":"[5]","plainTextFormattedCitation":"[5]","previouslyFormattedCitation":"[5]"},"properties":{"noteIndex":0},"schema":"https://github.com/citation-style-language/schema/raw/master/csl-citation.json"}</w:instrText>
      </w:r>
      <w:r w:rsidR="000D2FEE" w:rsidRPr="00D93D2D">
        <w:rPr>
          <w:rFonts w:cstheme="minorHAnsi"/>
        </w:rPr>
        <w:fldChar w:fldCharType="separate"/>
      </w:r>
      <w:r w:rsidR="009A35D4" w:rsidRPr="009A35D4">
        <w:rPr>
          <w:rFonts w:cstheme="minorHAnsi"/>
          <w:noProof/>
        </w:rPr>
        <w:t>[5]</w:t>
      </w:r>
      <w:r w:rsidR="000D2FEE" w:rsidRPr="00D93D2D">
        <w:rPr>
          <w:rFonts w:cstheme="minorHAnsi"/>
        </w:rPr>
        <w:fldChar w:fldCharType="end"/>
      </w:r>
      <w:r w:rsidR="00AD3D25" w:rsidRPr="00D93D2D">
        <w:rPr>
          <w:rFonts w:cstheme="minorHAnsi"/>
        </w:rPr>
        <w:t xml:space="preserve"> with additional 20% added to reflect costs for procurement (import taxes, shipping, and other charges) and installation.</w:t>
      </w:r>
    </w:p>
    <w:p w14:paraId="064EA10E" w14:textId="042EDABF" w:rsidR="00B01328" w:rsidRPr="009A35D4" w:rsidRDefault="00557B22" w:rsidP="00060BF2">
      <w:pPr>
        <w:tabs>
          <w:tab w:val="left" w:pos="2430"/>
        </w:tabs>
        <w:jc w:val="both"/>
        <w:rPr>
          <w:rFonts w:cstheme="minorHAnsi"/>
        </w:rPr>
      </w:pPr>
      <w:r w:rsidRPr="009A35D4">
        <w:rPr>
          <w:rFonts w:cstheme="minorHAnsi"/>
        </w:rPr>
        <w:t xml:space="preserve">We estimated a </w:t>
      </w:r>
      <w:r w:rsidR="004956B2" w:rsidRPr="009A35D4">
        <w:rPr>
          <w:rFonts w:cstheme="minorHAnsi"/>
        </w:rPr>
        <w:t>“per-slot cost”, defined as</w:t>
      </w:r>
      <w:r w:rsidR="004956B2" w:rsidRPr="009A35D4">
        <w:t xml:space="preserve"> </w:t>
      </w:r>
      <w:r w:rsidR="004956B2" w:rsidRPr="009A35D4">
        <w:rPr>
          <w:rFonts w:cstheme="minorHAnsi"/>
        </w:rPr>
        <w:t xml:space="preserve">the fixed component of the Xpert equipment cost per two-hour time slot (i.e., one module for two hours during business hours) that is necessary to perform an Xpert test and report results. </w:t>
      </w:r>
      <w:r w:rsidR="00016FB6" w:rsidRPr="009A35D4">
        <w:rPr>
          <w:rFonts w:cstheme="minorHAnsi"/>
        </w:rPr>
        <w:t>To calculate this per-slot cost, we</w:t>
      </w:r>
      <w:r w:rsidR="009C79E7" w:rsidRPr="009A35D4">
        <w:rPr>
          <w:rFonts w:cstheme="minorHAnsi"/>
        </w:rPr>
        <w:t xml:space="preserve"> assum</w:t>
      </w:r>
      <w:r w:rsidR="00016FB6" w:rsidRPr="009A35D4">
        <w:rPr>
          <w:rFonts w:cstheme="minorHAnsi"/>
        </w:rPr>
        <w:t>e</w:t>
      </w:r>
      <w:r w:rsidR="009C79E7" w:rsidRPr="009A35D4">
        <w:rPr>
          <w:rFonts w:cstheme="minorHAnsi"/>
        </w:rPr>
        <w:t xml:space="preserve"> in the base case that </w:t>
      </w:r>
      <w:r w:rsidR="00B01328" w:rsidRPr="009A35D4">
        <w:rPr>
          <w:rFonts w:cstheme="minorHAnsi"/>
        </w:rPr>
        <w:t xml:space="preserve">the useful life of a module was not linked to the frequency of using that module for Xpert testing (i.e. higher testing volume has no association with the differences in the module’s duration of useful life). We assumed a useful life of 10-15 years (10 years for peripheral level use, 15 years for centralized testing), but varied both the useful life and the linkage between useful life and module use in sensitivity analyses in Section 1.6. </w:t>
      </w:r>
    </w:p>
    <w:p w14:paraId="11E63719" w14:textId="5DF403B5" w:rsidR="000E674A" w:rsidRPr="009A35D4" w:rsidRDefault="00B01328" w:rsidP="00060BF2">
      <w:pPr>
        <w:tabs>
          <w:tab w:val="left" w:pos="2430"/>
        </w:tabs>
        <w:jc w:val="both"/>
        <w:rPr>
          <w:rFonts w:cstheme="minorHAnsi"/>
        </w:rPr>
      </w:pPr>
      <w:r w:rsidRPr="009A35D4">
        <w:rPr>
          <w:rFonts w:cstheme="minorHAnsi"/>
        </w:rPr>
        <w:t xml:space="preserve">We estimated </w:t>
      </w:r>
      <w:r w:rsidR="00557B22" w:rsidRPr="009A35D4">
        <w:rPr>
          <w:rFonts w:cstheme="minorHAnsi"/>
        </w:rPr>
        <w:t xml:space="preserve">the </w:t>
      </w:r>
      <w:r w:rsidRPr="009A35D4">
        <w:rPr>
          <w:rFonts w:cstheme="minorHAnsi"/>
        </w:rPr>
        <w:t>per-module cost as DC/EDC</w:t>
      </w:r>
      <w:r w:rsidRPr="009A35D4">
        <w:rPr>
          <w:rFonts w:cstheme="minorHAnsi"/>
          <w:vertAlign w:val="subscript"/>
        </w:rPr>
        <w:t xml:space="preserve">max </w:t>
      </w:r>
      <w:r w:rsidRPr="009A35D4">
        <w:rPr>
          <w:rFonts w:cstheme="minorHAnsi"/>
        </w:rPr>
        <w:t>where DC is daily cost of the GeneXpert equipment</w:t>
      </w:r>
      <w:r w:rsidR="00016FB6" w:rsidRPr="009A35D4">
        <w:rPr>
          <w:rFonts w:cstheme="minorHAnsi"/>
        </w:rPr>
        <w:t xml:space="preserve"> and EDC</w:t>
      </w:r>
      <w:r w:rsidR="00016FB6" w:rsidRPr="009A35D4">
        <w:rPr>
          <w:rFonts w:cstheme="minorHAnsi"/>
          <w:vertAlign w:val="subscript"/>
        </w:rPr>
        <w:t>max</w:t>
      </w:r>
      <w:r w:rsidR="00016FB6" w:rsidRPr="009A35D4">
        <w:t xml:space="preserve"> is the maximum daily capacity (i.e., four two-hour time slots per module, so 4 * number of modules)</w:t>
      </w:r>
      <w:r w:rsidR="00016FB6" w:rsidRPr="009A35D4">
        <w:rPr>
          <w:rFonts w:cstheme="minorHAnsi"/>
        </w:rPr>
        <w:t xml:space="preserve"> </w:t>
      </w:r>
      <w:r w:rsidR="005112A3" w:rsidRPr="009A35D4">
        <w:rPr>
          <w:rFonts w:cstheme="minorHAnsi"/>
        </w:rPr>
        <w:t>.</w:t>
      </w:r>
      <w:r w:rsidRPr="009A35D4">
        <w:rPr>
          <w:rFonts w:cstheme="minorHAnsi"/>
        </w:rPr>
        <w:t xml:space="preserve"> </w:t>
      </w:r>
      <w:r w:rsidR="000E674A" w:rsidRPr="009A35D4">
        <w:rPr>
          <w:rFonts w:cstheme="minorHAnsi"/>
        </w:rPr>
        <w:t xml:space="preserve">DC was calculated based on GeneXpert equipment price (P), marked </w:t>
      </w:r>
      <w:r w:rsidR="00016FB6" w:rsidRPr="009A35D4">
        <w:rPr>
          <w:rFonts w:cstheme="minorHAnsi"/>
        </w:rPr>
        <w:t xml:space="preserve">up </w:t>
      </w:r>
      <w:r w:rsidR="000E674A" w:rsidRPr="009A35D4">
        <w:rPr>
          <w:rFonts w:cstheme="minorHAnsi"/>
        </w:rPr>
        <w:t xml:space="preserve">by 20% </w:t>
      </w:r>
      <w:r w:rsidR="00016FB6" w:rsidRPr="009A35D4">
        <w:rPr>
          <w:rFonts w:cstheme="minorHAnsi"/>
        </w:rPr>
        <w:t xml:space="preserve">to reflect </w:t>
      </w:r>
      <w:r w:rsidR="000E674A" w:rsidRPr="009A35D4">
        <w:rPr>
          <w:rFonts w:cstheme="minorHAnsi"/>
        </w:rPr>
        <w:t>procurement cost</w:t>
      </w:r>
      <w:r w:rsidR="00016FB6" w:rsidRPr="009A35D4">
        <w:rPr>
          <w:rFonts w:cstheme="minorHAnsi"/>
        </w:rPr>
        <w:t>s</w:t>
      </w:r>
      <w:r w:rsidR="000E674A" w:rsidRPr="009A35D4">
        <w:rPr>
          <w:rFonts w:cstheme="minorHAnsi"/>
        </w:rPr>
        <w:t xml:space="preserve"> and annual cost of maintenance service (AMC) plan using the following two equations: </w:t>
      </w:r>
    </w:p>
    <w:p w14:paraId="18C6157B" w14:textId="77777777" w:rsidR="000E674A" w:rsidRPr="009A35D4" w:rsidRDefault="000E674A" w:rsidP="000E674A">
      <w:pPr>
        <w:pStyle w:val="ListParagraph"/>
        <w:numPr>
          <w:ilvl w:val="0"/>
          <w:numId w:val="13"/>
        </w:numPr>
        <w:tabs>
          <w:tab w:val="left" w:pos="2430"/>
        </w:tabs>
        <w:jc w:val="both"/>
        <w:rPr>
          <w:rFonts w:cstheme="minorHAnsi"/>
        </w:rPr>
      </w:pPr>
      <w:r w:rsidRPr="009A35D4">
        <w:rPr>
          <w:rFonts w:cstheme="minorHAnsi"/>
        </w:rPr>
        <w:t>DC = (P</w:t>
      </w:r>
      <w:r w:rsidRPr="009A35D4">
        <w:rPr>
          <w:rFonts w:cstheme="minorHAnsi"/>
          <w:vertAlign w:val="subscript"/>
        </w:rPr>
        <w:t>GeneXpert system</w:t>
      </w:r>
      <w:r w:rsidRPr="009A35D4">
        <w:rPr>
          <w:rFonts w:cstheme="minorHAnsi"/>
        </w:rPr>
        <w:t xml:space="preserve"> / AF) + AMC, where</w:t>
      </w:r>
    </w:p>
    <w:p w14:paraId="204FA437" w14:textId="5E291C30" w:rsidR="00B01328" w:rsidRPr="009A35D4" w:rsidRDefault="00B01328" w:rsidP="000E674A">
      <w:pPr>
        <w:pStyle w:val="ListParagraph"/>
        <w:numPr>
          <w:ilvl w:val="0"/>
          <w:numId w:val="13"/>
        </w:numPr>
        <w:tabs>
          <w:tab w:val="left" w:pos="2430"/>
        </w:tabs>
        <w:jc w:val="both"/>
        <w:rPr>
          <w:rFonts w:cstheme="minorHAnsi"/>
        </w:rPr>
      </w:pPr>
      <w:r w:rsidRPr="009A35D4">
        <w:rPr>
          <w:rFonts w:cstheme="minorHAnsi"/>
          <w:i/>
          <w:iCs/>
        </w:rPr>
        <w:t>AF = (1-DF)/r, where DF = 1/(1+r)</w:t>
      </w:r>
      <w:r w:rsidRPr="009A35D4">
        <w:rPr>
          <w:rFonts w:cstheme="minorHAnsi"/>
          <w:i/>
          <w:iCs/>
          <w:vertAlign w:val="superscript"/>
        </w:rPr>
        <w:t>n</w:t>
      </w:r>
      <w:r w:rsidRPr="009A35D4">
        <w:rPr>
          <w:rFonts w:cstheme="minorHAnsi"/>
          <w:i/>
          <w:iCs/>
        </w:rPr>
        <w:t>, n = expected</w:t>
      </w:r>
      <w:r w:rsidR="00C068F7" w:rsidRPr="009A35D4">
        <w:rPr>
          <w:rFonts w:cstheme="minorHAnsi"/>
          <w:i/>
          <w:iCs/>
        </w:rPr>
        <w:t>-</w:t>
      </w:r>
      <w:r w:rsidRPr="009A35D4">
        <w:rPr>
          <w:rFonts w:cstheme="minorHAnsi"/>
          <w:i/>
          <w:iCs/>
        </w:rPr>
        <w:t>useful life year</w:t>
      </w:r>
      <w:r w:rsidR="00C068F7" w:rsidRPr="009A35D4">
        <w:rPr>
          <w:rFonts w:cstheme="minorHAnsi"/>
          <w:i/>
          <w:iCs/>
        </w:rPr>
        <w:t>s (ELY)</w:t>
      </w:r>
      <w:r w:rsidRPr="009A35D4">
        <w:rPr>
          <w:rFonts w:cstheme="minorHAnsi"/>
          <w:i/>
          <w:iCs/>
        </w:rPr>
        <w:t xml:space="preserve"> and r = discount rate</w:t>
      </w:r>
    </w:p>
    <w:p w14:paraId="5A2C736D" w14:textId="209F2964" w:rsidR="009C79E7" w:rsidRPr="009A35D4" w:rsidRDefault="00D93D2D" w:rsidP="00060BF2">
      <w:pPr>
        <w:tabs>
          <w:tab w:val="left" w:pos="2430"/>
        </w:tabs>
        <w:jc w:val="both"/>
        <w:rPr>
          <w:rFonts w:cstheme="minorHAnsi"/>
          <w:color w:val="222222"/>
        </w:rPr>
      </w:pPr>
      <w:r w:rsidRPr="009A35D4">
        <w:rPr>
          <w:rFonts w:cstheme="minorHAnsi"/>
          <w:color w:val="222222"/>
        </w:rPr>
        <w:t xml:space="preserve">As such, </w:t>
      </w:r>
      <w:r w:rsidR="00016FB6" w:rsidRPr="009A35D4">
        <w:rPr>
          <w:rFonts w:cstheme="minorHAnsi"/>
          <w:color w:val="222222"/>
        </w:rPr>
        <w:t xml:space="preserve">a </w:t>
      </w:r>
      <w:r w:rsidRPr="009A35D4">
        <w:rPr>
          <w:rFonts w:cstheme="minorHAnsi"/>
          <w:color w:val="222222"/>
        </w:rPr>
        <w:t xml:space="preserve">GeneXpert IV system would have an </w:t>
      </w:r>
      <w:r w:rsidR="00016FB6" w:rsidRPr="009A35D4">
        <w:rPr>
          <w:rFonts w:cstheme="minorHAnsi"/>
          <w:color w:val="222222"/>
        </w:rPr>
        <w:t xml:space="preserve">estimated </w:t>
      </w:r>
      <w:r w:rsidRPr="009A35D4">
        <w:rPr>
          <w:rFonts w:cstheme="minorHAnsi"/>
          <w:color w:val="222222"/>
        </w:rPr>
        <w:t>annual cost of $4039</w:t>
      </w:r>
      <w:r w:rsidR="006804F9" w:rsidRPr="009A35D4">
        <w:rPr>
          <w:rFonts w:cstheme="minorHAnsi"/>
          <w:color w:val="222222"/>
        </w:rPr>
        <w:t>. This is calculated based on</w:t>
      </w:r>
      <w:r w:rsidR="008338D4" w:rsidRPr="009A35D4">
        <w:rPr>
          <w:rFonts w:cstheme="minorHAnsi"/>
          <w:color w:val="222222"/>
        </w:rPr>
        <w:t xml:space="preserve"> an annualized </w:t>
      </w:r>
      <w:r w:rsidR="006804F9" w:rsidRPr="009A35D4">
        <w:rPr>
          <w:rFonts w:cstheme="minorHAnsi"/>
          <w:color w:val="222222"/>
        </w:rPr>
        <w:t xml:space="preserve">total equipment procurement cost </w:t>
      </w:r>
      <w:r w:rsidR="008338D4" w:rsidRPr="009A35D4">
        <w:rPr>
          <w:rFonts w:cstheme="minorHAnsi"/>
          <w:color w:val="222222"/>
        </w:rPr>
        <w:t xml:space="preserve">of $1759 </w:t>
      </w:r>
      <w:r w:rsidR="006804F9" w:rsidRPr="009A35D4">
        <w:rPr>
          <w:rFonts w:cstheme="minorHAnsi"/>
          <w:color w:val="222222"/>
        </w:rPr>
        <w:t>(</w:t>
      </w:r>
      <w:r w:rsidR="008338D4" w:rsidRPr="009A35D4">
        <w:rPr>
          <w:rFonts w:cstheme="minorHAnsi"/>
          <w:color w:val="222222"/>
        </w:rPr>
        <w:t xml:space="preserve">$21,000 of equipment procurement price [using FIND negotiated pricing and added 20% procurement cost] </w:t>
      </w:r>
      <w:r w:rsidR="006804F9" w:rsidRPr="009A35D4">
        <w:rPr>
          <w:rFonts w:cstheme="minorHAnsi"/>
          <w:color w:val="222222"/>
        </w:rPr>
        <w:t>divided by AF (</w:t>
      </w:r>
      <w:r w:rsidR="008338D4" w:rsidRPr="009A35D4">
        <w:rPr>
          <w:rFonts w:cstheme="minorHAnsi"/>
          <w:color w:val="222222"/>
        </w:rPr>
        <w:t>11.93 calculated based on the equation #2, using discount rate of 3% and 15 ELY)</w:t>
      </w:r>
      <w:r w:rsidR="00C068F7" w:rsidRPr="009A35D4">
        <w:rPr>
          <w:rFonts w:cstheme="minorHAnsi"/>
          <w:color w:val="222222"/>
        </w:rPr>
        <w:t xml:space="preserve"> and</w:t>
      </w:r>
      <w:r w:rsidRPr="009A35D4">
        <w:rPr>
          <w:rFonts w:cstheme="minorHAnsi"/>
          <w:color w:val="222222"/>
        </w:rPr>
        <w:t xml:space="preserve"> $228</w:t>
      </w:r>
      <w:r w:rsidR="00C068F7" w:rsidRPr="009A35D4">
        <w:rPr>
          <w:rFonts w:cstheme="minorHAnsi"/>
          <w:color w:val="222222"/>
        </w:rPr>
        <w:t>0 in</w:t>
      </w:r>
      <w:r w:rsidRPr="009A35D4">
        <w:rPr>
          <w:rFonts w:cstheme="minorHAnsi"/>
          <w:color w:val="222222"/>
        </w:rPr>
        <w:t xml:space="preserve"> annual maintenance cost</w:t>
      </w:r>
      <w:r w:rsidR="00C068F7" w:rsidRPr="009A35D4">
        <w:rPr>
          <w:rFonts w:cstheme="minorHAnsi"/>
          <w:color w:val="222222"/>
        </w:rPr>
        <w:t xml:space="preserve"> (FIND negotiated 3-year service warranty contract of $6840)</w:t>
      </w:r>
      <w:r w:rsidRPr="009A35D4">
        <w:rPr>
          <w:rFonts w:cstheme="minorHAnsi"/>
          <w:color w:val="222222"/>
        </w:rPr>
        <w:t xml:space="preserve">. For </w:t>
      </w:r>
      <w:r w:rsidR="00016FB6" w:rsidRPr="009A35D4">
        <w:rPr>
          <w:rFonts w:cstheme="minorHAnsi"/>
          <w:color w:val="222222"/>
        </w:rPr>
        <w:t xml:space="preserve">a single-module </w:t>
      </w:r>
      <w:r w:rsidRPr="009A35D4">
        <w:rPr>
          <w:rFonts w:cstheme="minorHAnsi"/>
          <w:color w:val="222222"/>
        </w:rPr>
        <w:t>GeneXpert</w:t>
      </w:r>
      <w:r w:rsidR="00016FB6" w:rsidRPr="009A35D4">
        <w:rPr>
          <w:rFonts w:cstheme="minorHAnsi"/>
          <w:color w:val="222222"/>
        </w:rPr>
        <w:t xml:space="preserve"> device (Edge or Omni)</w:t>
      </w:r>
      <w:r w:rsidRPr="009A35D4">
        <w:rPr>
          <w:rFonts w:cstheme="minorHAnsi"/>
          <w:color w:val="222222"/>
        </w:rPr>
        <w:t>, the annual cost of $1157 reflects</w:t>
      </w:r>
      <w:r w:rsidR="00C068F7" w:rsidRPr="009A35D4">
        <w:rPr>
          <w:rFonts w:cstheme="minorHAnsi"/>
          <w:color w:val="222222"/>
        </w:rPr>
        <w:t xml:space="preserve"> an annualized equipment procurement cost of $407 (procurement cost of </w:t>
      </w:r>
      <w:r w:rsidRPr="009A35D4">
        <w:rPr>
          <w:rFonts w:cstheme="minorHAnsi"/>
          <w:color w:val="222222"/>
        </w:rPr>
        <w:t>$</w:t>
      </w:r>
      <w:r w:rsidR="00C068F7" w:rsidRPr="009A35D4">
        <w:rPr>
          <w:rFonts w:cstheme="minorHAnsi"/>
          <w:color w:val="222222"/>
        </w:rPr>
        <w:t xml:space="preserve">3474 – calculated based on an estimated equipment </w:t>
      </w:r>
      <w:r w:rsidRPr="009A35D4">
        <w:rPr>
          <w:rFonts w:cstheme="minorHAnsi"/>
          <w:color w:val="222222"/>
        </w:rPr>
        <w:t xml:space="preserve">price </w:t>
      </w:r>
      <w:r w:rsidR="00C068F7" w:rsidRPr="009A35D4">
        <w:rPr>
          <w:rFonts w:cstheme="minorHAnsi"/>
          <w:color w:val="222222"/>
        </w:rPr>
        <w:t>of $2895 and 20% procurement cost – divided by AF of 8.53 calculated based on 3% discount rate and 10 ELY)</w:t>
      </w:r>
      <w:r w:rsidR="00A06D55" w:rsidRPr="009A35D4">
        <w:rPr>
          <w:rFonts w:cstheme="minorHAnsi"/>
          <w:color w:val="222222"/>
        </w:rPr>
        <w:t xml:space="preserve"> and</w:t>
      </w:r>
      <w:r w:rsidRPr="009A35D4">
        <w:rPr>
          <w:rFonts w:cstheme="minorHAnsi"/>
          <w:color w:val="222222"/>
        </w:rPr>
        <w:t xml:space="preserve"> an annual maintenance cost of $750 (estimated based on 3 years warranty extension cost of a 2-module GeneXpert system, </w:t>
      </w:r>
      <w:r w:rsidR="00A06D55" w:rsidRPr="009A35D4">
        <w:rPr>
          <w:rFonts w:cstheme="minorHAnsi"/>
          <w:color w:val="222222"/>
        </w:rPr>
        <w:t xml:space="preserve">currently </w:t>
      </w:r>
      <w:r w:rsidRPr="009A35D4">
        <w:rPr>
          <w:rFonts w:cstheme="minorHAnsi"/>
          <w:color w:val="222222"/>
        </w:rPr>
        <w:t>valued at $4500).</w:t>
      </w:r>
      <w:r w:rsidR="00A06D55" w:rsidRPr="009A35D4">
        <w:rPr>
          <w:rFonts w:cstheme="minorHAnsi"/>
          <w:color w:val="222222"/>
        </w:rPr>
        <w:t xml:space="preserve"> </w:t>
      </w:r>
      <w:r w:rsidRPr="009A35D4">
        <w:rPr>
          <w:rFonts w:cstheme="minorHAnsi"/>
          <w:color w:val="222222"/>
        </w:rPr>
        <w:t xml:space="preserve"> </w:t>
      </w:r>
    </w:p>
    <w:p w14:paraId="4A205724" w14:textId="259A4789" w:rsidR="00D93D2D" w:rsidRPr="00D93D2D" w:rsidRDefault="00D93D2D" w:rsidP="00D93D2D">
      <w:pPr>
        <w:rPr>
          <w:rFonts w:cstheme="minorHAnsi"/>
          <w:color w:val="222222"/>
        </w:rPr>
      </w:pPr>
      <w:r w:rsidRPr="009A35D4">
        <w:rPr>
          <w:rFonts w:cstheme="minorHAnsi"/>
          <w:color w:val="222222"/>
        </w:rPr>
        <w:lastRenderedPageBreak/>
        <w:t xml:space="preserve">From these costs, we assessed the daily costs of owning respective systems at central vs. peripheral laboratories based on each laboratory operating 250 days per year ($4039/250 = $16.2 for GeneXpert IV and $1157/250 = $4.6 for </w:t>
      </w:r>
      <w:r w:rsidR="00016FB6" w:rsidRPr="009A35D4">
        <w:rPr>
          <w:rFonts w:cstheme="minorHAnsi"/>
          <w:color w:val="222222"/>
        </w:rPr>
        <w:t xml:space="preserve">single-module </w:t>
      </w:r>
      <w:r w:rsidRPr="009A35D4">
        <w:rPr>
          <w:rFonts w:cstheme="minorHAnsi"/>
          <w:color w:val="222222"/>
        </w:rPr>
        <w:t xml:space="preserve">GeneXpert). </w:t>
      </w:r>
      <w:r w:rsidR="00016FB6" w:rsidRPr="009A35D4">
        <w:rPr>
          <w:rFonts w:cstheme="minorHAnsi"/>
          <w:color w:val="222222"/>
        </w:rPr>
        <w:t xml:space="preserve">After dividing by </w:t>
      </w:r>
      <w:r w:rsidR="005112A3" w:rsidRPr="009A35D4">
        <w:rPr>
          <w:rFonts w:cstheme="minorHAnsi"/>
        </w:rPr>
        <w:t>EDC</w:t>
      </w:r>
      <w:r w:rsidR="005112A3" w:rsidRPr="009A35D4">
        <w:rPr>
          <w:rFonts w:cstheme="minorHAnsi"/>
          <w:vertAlign w:val="subscript"/>
        </w:rPr>
        <w:t>max</w:t>
      </w:r>
      <w:r w:rsidR="00016FB6" w:rsidRPr="009A35D4">
        <w:rPr>
          <w:rFonts w:cstheme="minorHAnsi"/>
          <w:color w:val="222222"/>
        </w:rPr>
        <w:t xml:space="preserve"> (16 tests per day using GeneXpert IV and four tests per day using single-module GeneXpert),</w:t>
      </w:r>
      <w:r w:rsidR="005112A3" w:rsidRPr="009A35D4">
        <w:rPr>
          <w:rFonts w:cstheme="minorHAnsi"/>
          <w:color w:val="222222"/>
        </w:rPr>
        <w:t xml:space="preserve"> </w:t>
      </w:r>
      <w:r w:rsidR="00016FB6" w:rsidRPr="009A35D4">
        <w:rPr>
          <w:rFonts w:cstheme="minorHAnsi"/>
          <w:color w:val="222222"/>
        </w:rPr>
        <w:t xml:space="preserve">the </w:t>
      </w:r>
      <w:r w:rsidRPr="009A35D4">
        <w:rPr>
          <w:rFonts w:cstheme="minorHAnsi"/>
          <w:color w:val="222222"/>
        </w:rPr>
        <w:t xml:space="preserve">GeneXpert IV system and </w:t>
      </w:r>
      <w:r w:rsidR="00016FB6" w:rsidRPr="009A35D4">
        <w:rPr>
          <w:rFonts w:cstheme="minorHAnsi"/>
          <w:color w:val="222222"/>
        </w:rPr>
        <w:t xml:space="preserve">single-module </w:t>
      </w:r>
      <w:r w:rsidRPr="009A35D4">
        <w:rPr>
          <w:rFonts w:cstheme="minorHAnsi"/>
          <w:color w:val="222222"/>
        </w:rPr>
        <w:t xml:space="preserve">GeneXpert would have daily costs per test slot of $1.01 </w:t>
      </w:r>
      <w:r w:rsidR="005112A3" w:rsidRPr="009A35D4">
        <w:rPr>
          <w:rFonts w:cstheme="minorHAnsi"/>
          <w:color w:val="222222"/>
        </w:rPr>
        <w:t xml:space="preserve">($16.2/16) </w:t>
      </w:r>
      <w:r w:rsidRPr="009A35D4">
        <w:rPr>
          <w:rFonts w:cstheme="minorHAnsi"/>
          <w:color w:val="222222"/>
        </w:rPr>
        <w:t>and $1.15</w:t>
      </w:r>
      <w:r w:rsidR="005112A3" w:rsidRPr="009A35D4">
        <w:rPr>
          <w:rFonts w:cstheme="minorHAnsi"/>
          <w:color w:val="222222"/>
        </w:rPr>
        <w:t xml:space="preserve"> ($4.6/4)</w:t>
      </w:r>
      <w:r w:rsidRPr="009A35D4">
        <w:rPr>
          <w:rFonts w:cstheme="minorHAnsi"/>
          <w:color w:val="222222"/>
        </w:rPr>
        <w:t xml:space="preserve"> respectively.</w:t>
      </w:r>
      <w:r w:rsidRPr="00D93D2D">
        <w:rPr>
          <w:rFonts w:cstheme="minorHAnsi"/>
          <w:color w:val="222222"/>
        </w:rPr>
        <w:t xml:space="preserve"> </w:t>
      </w:r>
    </w:p>
    <w:p w14:paraId="4B926458" w14:textId="77777777" w:rsidR="00D93D2D" w:rsidRPr="00D93D2D" w:rsidRDefault="00D93D2D" w:rsidP="00060BF2">
      <w:pPr>
        <w:tabs>
          <w:tab w:val="left" w:pos="2430"/>
        </w:tabs>
        <w:jc w:val="both"/>
        <w:rPr>
          <w:rFonts w:cstheme="minorHAnsi"/>
        </w:rPr>
      </w:pPr>
    </w:p>
    <w:p w14:paraId="2E0F5C3E" w14:textId="6C6DEBCF" w:rsidR="00671563" w:rsidRPr="00D93D2D" w:rsidRDefault="00671563" w:rsidP="00060BF2">
      <w:pPr>
        <w:tabs>
          <w:tab w:val="left" w:pos="2430"/>
        </w:tabs>
        <w:jc w:val="both"/>
        <w:rPr>
          <w:rFonts w:cstheme="minorHAnsi"/>
        </w:rPr>
      </w:pPr>
    </w:p>
    <w:tbl>
      <w:tblPr>
        <w:tblW w:w="3669"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671"/>
        <w:gridCol w:w="671"/>
        <w:gridCol w:w="671"/>
        <w:gridCol w:w="677"/>
      </w:tblGrid>
      <w:tr w:rsidR="00671563" w:rsidRPr="00D93D2D" w14:paraId="74F6CC85" w14:textId="77777777" w:rsidTr="00A81093">
        <w:trPr>
          <w:trHeight w:val="191"/>
        </w:trPr>
        <w:tc>
          <w:tcPr>
            <w:tcW w:w="979" w:type="dxa"/>
            <w:vMerge w:val="restart"/>
            <w:shd w:val="clear" w:color="auto" w:fill="BFBFBF" w:themeFill="background1" w:themeFillShade="BF"/>
            <w:vAlign w:val="center"/>
            <w:hideMark/>
          </w:tcPr>
          <w:p w14:paraId="2639169E" w14:textId="77777777" w:rsidR="00671563" w:rsidRPr="00D93D2D" w:rsidRDefault="00671563" w:rsidP="00A81093">
            <w:pPr>
              <w:spacing w:after="0" w:line="240" w:lineRule="auto"/>
              <w:jc w:val="center"/>
              <w:rPr>
                <w:rFonts w:eastAsia="Times New Roman" w:cstheme="minorHAnsi"/>
                <w:color w:val="000000"/>
                <w:sz w:val="18"/>
              </w:rPr>
            </w:pPr>
            <w:r w:rsidRPr="00D93D2D">
              <w:rPr>
                <w:rFonts w:eastAsia="Times New Roman" w:cstheme="minorHAnsi"/>
                <w:color w:val="000000"/>
                <w:sz w:val="18"/>
              </w:rPr>
              <w:t># of samples per batch processed</w:t>
            </w:r>
          </w:p>
        </w:tc>
        <w:tc>
          <w:tcPr>
            <w:tcW w:w="2690" w:type="dxa"/>
            <w:gridSpan w:val="4"/>
            <w:shd w:val="clear" w:color="auto" w:fill="BFBFBF" w:themeFill="background1" w:themeFillShade="BF"/>
            <w:noWrap/>
            <w:vAlign w:val="center"/>
            <w:hideMark/>
          </w:tcPr>
          <w:p w14:paraId="772581F0" w14:textId="32095DAF" w:rsidR="00671563" w:rsidRPr="00D93D2D" w:rsidRDefault="00671563" w:rsidP="00A81093">
            <w:pPr>
              <w:spacing w:after="0" w:line="240" w:lineRule="auto"/>
              <w:jc w:val="center"/>
              <w:rPr>
                <w:rFonts w:eastAsia="Times New Roman" w:cstheme="minorHAnsi"/>
                <w:color w:val="000000"/>
                <w:sz w:val="18"/>
              </w:rPr>
            </w:pPr>
            <w:r w:rsidRPr="00D93D2D">
              <w:rPr>
                <w:rFonts w:eastAsia="Times New Roman" w:cstheme="minorHAnsi"/>
                <w:color w:val="000000"/>
                <w:sz w:val="18"/>
              </w:rPr>
              <w:t># of Omni</w:t>
            </w:r>
            <w:r w:rsidR="008636F3" w:rsidRPr="00D93D2D">
              <w:rPr>
                <w:rFonts w:eastAsia="Times New Roman" w:cstheme="minorHAnsi"/>
                <w:color w:val="000000"/>
                <w:sz w:val="18"/>
              </w:rPr>
              <w:t>/Edge</w:t>
            </w:r>
            <w:r w:rsidRPr="00D93D2D">
              <w:rPr>
                <w:rFonts w:eastAsia="Times New Roman" w:cstheme="minorHAnsi"/>
                <w:color w:val="000000"/>
                <w:sz w:val="18"/>
              </w:rPr>
              <w:t xml:space="preserve"> modules</w:t>
            </w:r>
          </w:p>
        </w:tc>
      </w:tr>
      <w:tr w:rsidR="00671563" w:rsidRPr="00D93D2D" w14:paraId="485D92FA" w14:textId="77777777" w:rsidTr="00A81093">
        <w:trPr>
          <w:trHeight w:val="191"/>
        </w:trPr>
        <w:tc>
          <w:tcPr>
            <w:tcW w:w="979" w:type="dxa"/>
            <w:vMerge/>
            <w:vAlign w:val="center"/>
            <w:hideMark/>
          </w:tcPr>
          <w:p w14:paraId="3B10FFBB" w14:textId="77777777" w:rsidR="00671563" w:rsidRPr="00D93D2D" w:rsidRDefault="00671563" w:rsidP="00A81093">
            <w:pPr>
              <w:spacing w:after="0" w:line="240" w:lineRule="auto"/>
              <w:rPr>
                <w:rFonts w:eastAsia="Times New Roman" w:cstheme="minorHAnsi"/>
                <w:color w:val="000000"/>
                <w:sz w:val="18"/>
              </w:rPr>
            </w:pPr>
          </w:p>
        </w:tc>
        <w:tc>
          <w:tcPr>
            <w:tcW w:w="671" w:type="dxa"/>
            <w:shd w:val="clear" w:color="auto" w:fill="auto"/>
            <w:noWrap/>
            <w:vAlign w:val="center"/>
            <w:hideMark/>
          </w:tcPr>
          <w:p w14:paraId="162F74B0" w14:textId="5DBA35A7" w:rsidR="00671563" w:rsidRPr="00D93D2D" w:rsidRDefault="00671563" w:rsidP="00A81093">
            <w:pPr>
              <w:spacing w:after="0" w:line="240" w:lineRule="auto"/>
              <w:jc w:val="center"/>
              <w:rPr>
                <w:rFonts w:eastAsia="Times New Roman" w:cstheme="minorHAnsi"/>
                <w:color w:val="000000"/>
                <w:sz w:val="18"/>
              </w:rPr>
            </w:pPr>
            <w:r w:rsidRPr="00D93D2D">
              <w:rPr>
                <w:rFonts w:eastAsia="Times New Roman" w:cstheme="minorHAnsi"/>
                <w:color w:val="000000"/>
                <w:sz w:val="18"/>
              </w:rPr>
              <w:t xml:space="preserve">1 </w:t>
            </w:r>
          </w:p>
        </w:tc>
        <w:tc>
          <w:tcPr>
            <w:tcW w:w="671" w:type="dxa"/>
            <w:shd w:val="clear" w:color="auto" w:fill="auto"/>
            <w:noWrap/>
            <w:vAlign w:val="center"/>
            <w:hideMark/>
          </w:tcPr>
          <w:p w14:paraId="359C4FEA" w14:textId="4BA937E9" w:rsidR="00671563" w:rsidRPr="00D93D2D" w:rsidRDefault="00671563" w:rsidP="00A81093">
            <w:pPr>
              <w:spacing w:after="0" w:line="240" w:lineRule="auto"/>
              <w:jc w:val="center"/>
              <w:rPr>
                <w:rFonts w:eastAsia="Times New Roman" w:cstheme="minorHAnsi"/>
                <w:color w:val="000000"/>
                <w:sz w:val="18"/>
              </w:rPr>
            </w:pPr>
            <w:r w:rsidRPr="00D93D2D">
              <w:rPr>
                <w:rFonts w:eastAsia="Times New Roman" w:cstheme="minorHAnsi"/>
                <w:color w:val="000000"/>
                <w:sz w:val="18"/>
              </w:rPr>
              <w:t>2</w:t>
            </w:r>
          </w:p>
        </w:tc>
        <w:tc>
          <w:tcPr>
            <w:tcW w:w="671" w:type="dxa"/>
            <w:shd w:val="clear" w:color="auto" w:fill="auto"/>
            <w:noWrap/>
            <w:vAlign w:val="center"/>
            <w:hideMark/>
          </w:tcPr>
          <w:p w14:paraId="48B2A4E4" w14:textId="35D2C33B" w:rsidR="00671563" w:rsidRPr="00D93D2D" w:rsidRDefault="00671563" w:rsidP="00A81093">
            <w:pPr>
              <w:spacing w:after="0" w:line="240" w:lineRule="auto"/>
              <w:jc w:val="center"/>
              <w:rPr>
                <w:rFonts w:eastAsia="Times New Roman" w:cstheme="minorHAnsi"/>
                <w:color w:val="000000"/>
                <w:sz w:val="18"/>
              </w:rPr>
            </w:pPr>
            <w:r w:rsidRPr="00D93D2D">
              <w:rPr>
                <w:rFonts w:eastAsia="Times New Roman" w:cstheme="minorHAnsi"/>
                <w:color w:val="000000"/>
                <w:sz w:val="18"/>
              </w:rPr>
              <w:t xml:space="preserve">3 </w:t>
            </w:r>
          </w:p>
        </w:tc>
        <w:tc>
          <w:tcPr>
            <w:tcW w:w="677" w:type="dxa"/>
            <w:shd w:val="clear" w:color="auto" w:fill="auto"/>
            <w:noWrap/>
            <w:vAlign w:val="center"/>
            <w:hideMark/>
          </w:tcPr>
          <w:p w14:paraId="086C935A" w14:textId="71988340" w:rsidR="00671563" w:rsidRPr="00D93D2D" w:rsidRDefault="00671563" w:rsidP="00A81093">
            <w:pPr>
              <w:spacing w:after="0" w:line="240" w:lineRule="auto"/>
              <w:jc w:val="center"/>
              <w:rPr>
                <w:rFonts w:eastAsia="Times New Roman" w:cstheme="minorHAnsi"/>
                <w:color w:val="000000"/>
                <w:sz w:val="18"/>
              </w:rPr>
            </w:pPr>
            <w:r w:rsidRPr="00D93D2D">
              <w:rPr>
                <w:rFonts w:eastAsia="Times New Roman" w:cstheme="minorHAnsi"/>
                <w:color w:val="000000"/>
                <w:sz w:val="18"/>
              </w:rPr>
              <w:t>4</w:t>
            </w:r>
          </w:p>
        </w:tc>
      </w:tr>
      <w:tr w:rsidR="00671563" w:rsidRPr="00D93D2D" w14:paraId="751C82E4" w14:textId="77777777" w:rsidTr="00A81093">
        <w:trPr>
          <w:trHeight w:val="191"/>
        </w:trPr>
        <w:tc>
          <w:tcPr>
            <w:tcW w:w="979" w:type="dxa"/>
            <w:shd w:val="clear" w:color="auto" w:fill="auto"/>
            <w:noWrap/>
            <w:vAlign w:val="center"/>
            <w:hideMark/>
          </w:tcPr>
          <w:p w14:paraId="48DC4BE6"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0</w:t>
            </w:r>
          </w:p>
        </w:tc>
        <w:tc>
          <w:tcPr>
            <w:tcW w:w="671" w:type="dxa"/>
            <w:shd w:val="clear" w:color="auto" w:fill="auto"/>
            <w:noWrap/>
            <w:vAlign w:val="center"/>
            <w:hideMark/>
          </w:tcPr>
          <w:p w14:paraId="4658908B"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4.6</w:t>
            </w:r>
          </w:p>
        </w:tc>
        <w:tc>
          <w:tcPr>
            <w:tcW w:w="671" w:type="dxa"/>
            <w:shd w:val="clear" w:color="auto" w:fill="auto"/>
            <w:noWrap/>
            <w:vAlign w:val="center"/>
            <w:hideMark/>
          </w:tcPr>
          <w:p w14:paraId="4EAE041B"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9.2</w:t>
            </w:r>
          </w:p>
        </w:tc>
        <w:tc>
          <w:tcPr>
            <w:tcW w:w="671" w:type="dxa"/>
            <w:shd w:val="clear" w:color="auto" w:fill="auto"/>
            <w:noWrap/>
            <w:vAlign w:val="center"/>
            <w:hideMark/>
          </w:tcPr>
          <w:p w14:paraId="04E050F6"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13.8</w:t>
            </w:r>
          </w:p>
        </w:tc>
        <w:tc>
          <w:tcPr>
            <w:tcW w:w="677" w:type="dxa"/>
            <w:shd w:val="clear" w:color="auto" w:fill="auto"/>
            <w:noWrap/>
            <w:vAlign w:val="center"/>
            <w:hideMark/>
          </w:tcPr>
          <w:p w14:paraId="2C8E95FB"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18.4</w:t>
            </w:r>
          </w:p>
        </w:tc>
      </w:tr>
      <w:tr w:rsidR="00671563" w:rsidRPr="00D93D2D" w14:paraId="61F1E90E" w14:textId="77777777" w:rsidTr="00A81093">
        <w:trPr>
          <w:trHeight w:val="191"/>
        </w:trPr>
        <w:tc>
          <w:tcPr>
            <w:tcW w:w="979" w:type="dxa"/>
            <w:shd w:val="clear" w:color="auto" w:fill="auto"/>
            <w:noWrap/>
            <w:vAlign w:val="center"/>
            <w:hideMark/>
          </w:tcPr>
          <w:p w14:paraId="61D65452"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w:t>
            </w:r>
          </w:p>
        </w:tc>
        <w:tc>
          <w:tcPr>
            <w:tcW w:w="671" w:type="dxa"/>
            <w:shd w:val="clear" w:color="auto" w:fill="auto"/>
            <w:noWrap/>
            <w:vAlign w:val="center"/>
            <w:hideMark/>
          </w:tcPr>
          <w:p w14:paraId="766DB26A"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18.55</w:t>
            </w:r>
          </w:p>
        </w:tc>
        <w:tc>
          <w:tcPr>
            <w:tcW w:w="671" w:type="dxa"/>
            <w:shd w:val="clear" w:color="auto" w:fill="auto"/>
            <w:noWrap/>
            <w:vAlign w:val="center"/>
            <w:hideMark/>
          </w:tcPr>
          <w:p w14:paraId="69628A89"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23.15</w:t>
            </w:r>
          </w:p>
        </w:tc>
        <w:tc>
          <w:tcPr>
            <w:tcW w:w="671" w:type="dxa"/>
            <w:shd w:val="clear" w:color="auto" w:fill="auto"/>
            <w:noWrap/>
            <w:vAlign w:val="center"/>
            <w:hideMark/>
          </w:tcPr>
          <w:p w14:paraId="046997B1"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27.75</w:t>
            </w:r>
          </w:p>
        </w:tc>
        <w:tc>
          <w:tcPr>
            <w:tcW w:w="677" w:type="dxa"/>
            <w:shd w:val="clear" w:color="auto" w:fill="auto"/>
            <w:noWrap/>
            <w:vAlign w:val="center"/>
            <w:hideMark/>
          </w:tcPr>
          <w:p w14:paraId="61ED26AF"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32.35</w:t>
            </w:r>
          </w:p>
        </w:tc>
      </w:tr>
      <w:tr w:rsidR="00671563" w:rsidRPr="00D93D2D" w14:paraId="6416A285" w14:textId="77777777" w:rsidTr="00A81093">
        <w:trPr>
          <w:trHeight w:val="191"/>
        </w:trPr>
        <w:tc>
          <w:tcPr>
            <w:tcW w:w="979" w:type="dxa"/>
            <w:shd w:val="clear" w:color="auto" w:fill="auto"/>
            <w:noWrap/>
            <w:vAlign w:val="center"/>
            <w:hideMark/>
          </w:tcPr>
          <w:p w14:paraId="1886A3FE"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w:t>
            </w:r>
          </w:p>
        </w:tc>
        <w:tc>
          <w:tcPr>
            <w:tcW w:w="671" w:type="dxa"/>
            <w:shd w:val="clear" w:color="auto" w:fill="auto"/>
            <w:noWrap/>
            <w:vAlign w:val="center"/>
            <w:hideMark/>
          </w:tcPr>
          <w:p w14:paraId="004DFBF4"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15.31</w:t>
            </w:r>
          </w:p>
        </w:tc>
        <w:tc>
          <w:tcPr>
            <w:tcW w:w="671" w:type="dxa"/>
            <w:shd w:val="clear" w:color="auto" w:fill="auto"/>
            <w:noWrap/>
            <w:vAlign w:val="center"/>
            <w:hideMark/>
          </w:tcPr>
          <w:p w14:paraId="4AC7675A"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19.91</w:t>
            </w:r>
          </w:p>
        </w:tc>
        <w:tc>
          <w:tcPr>
            <w:tcW w:w="671" w:type="dxa"/>
            <w:shd w:val="clear" w:color="auto" w:fill="auto"/>
            <w:noWrap/>
            <w:vAlign w:val="center"/>
            <w:hideMark/>
          </w:tcPr>
          <w:p w14:paraId="5ED4CBE0"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24.51</w:t>
            </w:r>
          </w:p>
        </w:tc>
        <w:tc>
          <w:tcPr>
            <w:tcW w:w="677" w:type="dxa"/>
            <w:shd w:val="clear" w:color="auto" w:fill="auto"/>
            <w:noWrap/>
            <w:vAlign w:val="center"/>
            <w:hideMark/>
          </w:tcPr>
          <w:p w14:paraId="249E32FC"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29.11</w:t>
            </w:r>
          </w:p>
        </w:tc>
      </w:tr>
      <w:tr w:rsidR="00671563" w:rsidRPr="00D93D2D" w14:paraId="629AA4EB" w14:textId="77777777" w:rsidTr="00A81093">
        <w:trPr>
          <w:trHeight w:val="191"/>
        </w:trPr>
        <w:tc>
          <w:tcPr>
            <w:tcW w:w="979" w:type="dxa"/>
            <w:shd w:val="clear" w:color="auto" w:fill="auto"/>
            <w:noWrap/>
            <w:vAlign w:val="center"/>
            <w:hideMark/>
          </w:tcPr>
          <w:p w14:paraId="5365B244"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4</w:t>
            </w:r>
          </w:p>
        </w:tc>
        <w:tc>
          <w:tcPr>
            <w:tcW w:w="671" w:type="dxa"/>
            <w:shd w:val="clear" w:color="auto" w:fill="auto"/>
            <w:noWrap/>
            <w:vAlign w:val="center"/>
            <w:hideMark/>
          </w:tcPr>
          <w:p w14:paraId="7F74AE65"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13.70</w:t>
            </w:r>
          </w:p>
        </w:tc>
        <w:tc>
          <w:tcPr>
            <w:tcW w:w="671" w:type="dxa"/>
            <w:shd w:val="clear" w:color="auto" w:fill="auto"/>
            <w:noWrap/>
            <w:vAlign w:val="center"/>
            <w:hideMark/>
          </w:tcPr>
          <w:p w14:paraId="3A5354C6"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18.30</w:t>
            </w:r>
          </w:p>
        </w:tc>
        <w:tc>
          <w:tcPr>
            <w:tcW w:w="671" w:type="dxa"/>
            <w:shd w:val="clear" w:color="auto" w:fill="auto"/>
            <w:noWrap/>
            <w:vAlign w:val="center"/>
            <w:hideMark/>
          </w:tcPr>
          <w:p w14:paraId="29E801FA"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22.90</w:t>
            </w:r>
          </w:p>
        </w:tc>
        <w:tc>
          <w:tcPr>
            <w:tcW w:w="677" w:type="dxa"/>
            <w:shd w:val="clear" w:color="auto" w:fill="auto"/>
            <w:noWrap/>
            <w:vAlign w:val="center"/>
            <w:hideMark/>
          </w:tcPr>
          <w:p w14:paraId="44A0A9B0"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27.50</w:t>
            </w:r>
          </w:p>
        </w:tc>
      </w:tr>
      <w:tr w:rsidR="00671563" w:rsidRPr="00D93D2D" w14:paraId="6BF6C658" w14:textId="77777777" w:rsidTr="00A81093">
        <w:trPr>
          <w:trHeight w:val="191"/>
        </w:trPr>
        <w:tc>
          <w:tcPr>
            <w:tcW w:w="979" w:type="dxa"/>
            <w:shd w:val="clear" w:color="auto" w:fill="auto"/>
            <w:noWrap/>
            <w:vAlign w:val="center"/>
            <w:hideMark/>
          </w:tcPr>
          <w:p w14:paraId="61B5BF5C"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6</w:t>
            </w:r>
          </w:p>
        </w:tc>
        <w:tc>
          <w:tcPr>
            <w:tcW w:w="671" w:type="dxa"/>
            <w:shd w:val="clear" w:color="auto" w:fill="auto"/>
            <w:noWrap/>
            <w:vAlign w:val="center"/>
            <w:hideMark/>
          </w:tcPr>
          <w:p w14:paraId="147B0D28"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13.91</w:t>
            </w:r>
          </w:p>
        </w:tc>
        <w:tc>
          <w:tcPr>
            <w:tcW w:w="671" w:type="dxa"/>
            <w:shd w:val="clear" w:color="auto" w:fill="auto"/>
            <w:noWrap/>
            <w:vAlign w:val="center"/>
            <w:hideMark/>
          </w:tcPr>
          <w:p w14:paraId="4FB47E1D"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16.21</w:t>
            </w:r>
          </w:p>
        </w:tc>
        <w:tc>
          <w:tcPr>
            <w:tcW w:w="671" w:type="dxa"/>
            <w:shd w:val="clear" w:color="auto" w:fill="auto"/>
            <w:noWrap/>
            <w:vAlign w:val="center"/>
            <w:hideMark/>
          </w:tcPr>
          <w:p w14:paraId="5A56FC6B"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20.81</w:t>
            </w:r>
          </w:p>
        </w:tc>
        <w:tc>
          <w:tcPr>
            <w:tcW w:w="677" w:type="dxa"/>
            <w:shd w:val="clear" w:color="auto" w:fill="auto"/>
            <w:noWrap/>
            <w:vAlign w:val="center"/>
            <w:hideMark/>
          </w:tcPr>
          <w:p w14:paraId="561E8590"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25.41</w:t>
            </w:r>
          </w:p>
        </w:tc>
      </w:tr>
      <w:tr w:rsidR="00671563" w:rsidRPr="00D93D2D" w14:paraId="4F8C3D09" w14:textId="77777777" w:rsidTr="00A81093">
        <w:trPr>
          <w:trHeight w:val="191"/>
        </w:trPr>
        <w:tc>
          <w:tcPr>
            <w:tcW w:w="979" w:type="dxa"/>
            <w:shd w:val="clear" w:color="auto" w:fill="auto"/>
            <w:noWrap/>
            <w:vAlign w:val="center"/>
            <w:hideMark/>
          </w:tcPr>
          <w:p w14:paraId="7524006C"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7</w:t>
            </w:r>
          </w:p>
        </w:tc>
        <w:tc>
          <w:tcPr>
            <w:tcW w:w="671" w:type="dxa"/>
            <w:shd w:val="clear" w:color="auto" w:fill="auto"/>
            <w:noWrap/>
            <w:vAlign w:val="center"/>
            <w:hideMark/>
          </w:tcPr>
          <w:p w14:paraId="01312327"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13.93</w:t>
            </w:r>
          </w:p>
        </w:tc>
        <w:tc>
          <w:tcPr>
            <w:tcW w:w="671" w:type="dxa"/>
            <w:shd w:val="clear" w:color="auto" w:fill="auto"/>
            <w:noWrap/>
            <w:vAlign w:val="center"/>
            <w:hideMark/>
          </w:tcPr>
          <w:p w14:paraId="551E42A5"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15.08</w:t>
            </w:r>
          </w:p>
        </w:tc>
        <w:tc>
          <w:tcPr>
            <w:tcW w:w="671" w:type="dxa"/>
            <w:shd w:val="clear" w:color="auto" w:fill="auto"/>
            <w:noWrap/>
            <w:vAlign w:val="center"/>
            <w:hideMark/>
          </w:tcPr>
          <w:p w14:paraId="04EF859E"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19.68</w:t>
            </w:r>
          </w:p>
        </w:tc>
        <w:tc>
          <w:tcPr>
            <w:tcW w:w="677" w:type="dxa"/>
            <w:shd w:val="clear" w:color="auto" w:fill="auto"/>
            <w:noWrap/>
            <w:vAlign w:val="center"/>
            <w:hideMark/>
          </w:tcPr>
          <w:p w14:paraId="73E5BCE3"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24.28</w:t>
            </w:r>
          </w:p>
        </w:tc>
      </w:tr>
      <w:tr w:rsidR="00671563" w:rsidRPr="00D93D2D" w14:paraId="70127361" w14:textId="77777777" w:rsidTr="00A81093">
        <w:trPr>
          <w:trHeight w:val="191"/>
        </w:trPr>
        <w:tc>
          <w:tcPr>
            <w:tcW w:w="979" w:type="dxa"/>
            <w:shd w:val="clear" w:color="auto" w:fill="auto"/>
            <w:noWrap/>
            <w:vAlign w:val="center"/>
            <w:hideMark/>
          </w:tcPr>
          <w:p w14:paraId="520E63C0"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10</w:t>
            </w:r>
          </w:p>
        </w:tc>
        <w:tc>
          <w:tcPr>
            <w:tcW w:w="671" w:type="dxa"/>
            <w:shd w:val="clear" w:color="auto" w:fill="auto"/>
            <w:noWrap/>
            <w:vAlign w:val="center"/>
            <w:hideMark/>
          </w:tcPr>
          <w:p w14:paraId="0D15A2A8"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13.63</w:t>
            </w:r>
          </w:p>
        </w:tc>
        <w:tc>
          <w:tcPr>
            <w:tcW w:w="671" w:type="dxa"/>
            <w:shd w:val="clear" w:color="auto" w:fill="auto"/>
            <w:noWrap/>
            <w:vAlign w:val="center"/>
            <w:hideMark/>
          </w:tcPr>
          <w:p w14:paraId="120DBBB5"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18.27</w:t>
            </w:r>
          </w:p>
        </w:tc>
        <w:tc>
          <w:tcPr>
            <w:tcW w:w="671" w:type="dxa"/>
            <w:shd w:val="clear" w:color="auto" w:fill="auto"/>
            <w:noWrap/>
            <w:vAlign w:val="center"/>
            <w:hideMark/>
          </w:tcPr>
          <w:p w14:paraId="33E6DCD5"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15.93</w:t>
            </w:r>
          </w:p>
        </w:tc>
        <w:tc>
          <w:tcPr>
            <w:tcW w:w="677" w:type="dxa"/>
            <w:shd w:val="clear" w:color="auto" w:fill="auto"/>
            <w:noWrap/>
            <w:vAlign w:val="center"/>
            <w:hideMark/>
          </w:tcPr>
          <w:p w14:paraId="3AB29532"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20.53</w:t>
            </w:r>
          </w:p>
        </w:tc>
      </w:tr>
      <w:tr w:rsidR="00671563" w:rsidRPr="00D93D2D" w14:paraId="1D9008E9" w14:textId="77777777" w:rsidTr="00A81093">
        <w:trPr>
          <w:trHeight w:val="191"/>
        </w:trPr>
        <w:tc>
          <w:tcPr>
            <w:tcW w:w="979" w:type="dxa"/>
            <w:shd w:val="clear" w:color="auto" w:fill="auto"/>
            <w:noWrap/>
            <w:vAlign w:val="center"/>
            <w:hideMark/>
          </w:tcPr>
          <w:p w14:paraId="0EE156BD"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14</w:t>
            </w:r>
          </w:p>
        </w:tc>
        <w:tc>
          <w:tcPr>
            <w:tcW w:w="671" w:type="dxa"/>
            <w:shd w:val="clear" w:color="auto" w:fill="auto"/>
            <w:noWrap/>
            <w:vAlign w:val="center"/>
            <w:hideMark/>
          </w:tcPr>
          <w:p w14:paraId="75C945EE"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13.51</w:t>
            </w:r>
          </w:p>
        </w:tc>
        <w:tc>
          <w:tcPr>
            <w:tcW w:w="671" w:type="dxa"/>
            <w:shd w:val="clear" w:color="auto" w:fill="auto"/>
            <w:noWrap/>
            <w:vAlign w:val="center"/>
            <w:hideMark/>
          </w:tcPr>
          <w:p w14:paraId="458CC148"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17.34</w:t>
            </w:r>
          </w:p>
        </w:tc>
        <w:tc>
          <w:tcPr>
            <w:tcW w:w="671" w:type="dxa"/>
            <w:shd w:val="clear" w:color="auto" w:fill="auto"/>
            <w:noWrap/>
            <w:vAlign w:val="center"/>
            <w:hideMark/>
          </w:tcPr>
          <w:p w14:paraId="43DFD0E1"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22.79</w:t>
            </w:r>
          </w:p>
        </w:tc>
        <w:tc>
          <w:tcPr>
            <w:tcW w:w="677" w:type="dxa"/>
            <w:shd w:val="clear" w:color="auto" w:fill="auto"/>
            <w:noWrap/>
            <w:vAlign w:val="center"/>
            <w:hideMark/>
          </w:tcPr>
          <w:p w14:paraId="7C5D2CE3"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15.93</w:t>
            </w:r>
          </w:p>
        </w:tc>
      </w:tr>
      <w:tr w:rsidR="00671563" w:rsidRPr="00D93D2D" w14:paraId="5795DCD8" w14:textId="77777777" w:rsidTr="00A81093">
        <w:trPr>
          <w:trHeight w:val="191"/>
        </w:trPr>
        <w:tc>
          <w:tcPr>
            <w:tcW w:w="979" w:type="dxa"/>
            <w:shd w:val="clear" w:color="auto" w:fill="auto"/>
            <w:noWrap/>
            <w:vAlign w:val="center"/>
            <w:hideMark/>
          </w:tcPr>
          <w:p w14:paraId="39B2A3A5"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16</w:t>
            </w:r>
          </w:p>
        </w:tc>
        <w:tc>
          <w:tcPr>
            <w:tcW w:w="671" w:type="dxa"/>
            <w:shd w:val="clear" w:color="auto" w:fill="auto"/>
            <w:noWrap/>
            <w:vAlign w:val="center"/>
            <w:hideMark/>
          </w:tcPr>
          <w:p w14:paraId="153CB1FB"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13.33</w:t>
            </w:r>
          </w:p>
        </w:tc>
        <w:tc>
          <w:tcPr>
            <w:tcW w:w="671" w:type="dxa"/>
            <w:shd w:val="clear" w:color="auto" w:fill="auto"/>
            <w:noWrap/>
            <w:vAlign w:val="center"/>
            <w:hideMark/>
          </w:tcPr>
          <w:p w14:paraId="5484B722"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16.76</w:t>
            </w:r>
          </w:p>
        </w:tc>
        <w:tc>
          <w:tcPr>
            <w:tcW w:w="671" w:type="dxa"/>
            <w:shd w:val="clear" w:color="auto" w:fill="auto"/>
            <w:noWrap/>
            <w:vAlign w:val="center"/>
            <w:hideMark/>
          </w:tcPr>
          <w:p w14:paraId="0272821A"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20.99</w:t>
            </w:r>
          </w:p>
        </w:tc>
        <w:tc>
          <w:tcPr>
            <w:tcW w:w="677" w:type="dxa"/>
            <w:shd w:val="clear" w:color="auto" w:fill="auto"/>
            <w:noWrap/>
            <w:vAlign w:val="center"/>
            <w:hideMark/>
          </w:tcPr>
          <w:p w14:paraId="7DF5BE63" w14:textId="77777777" w:rsidR="00671563" w:rsidRPr="00D93D2D" w:rsidRDefault="00671563" w:rsidP="00A81093">
            <w:pPr>
              <w:spacing w:after="0" w:line="240" w:lineRule="auto"/>
              <w:jc w:val="right"/>
              <w:rPr>
                <w:rFonts w:eastAsia="Times New Roman" w:cstheme="minorHAnsi"/>
                <w:color w:val="000000"/>
                <w:sz w:val="18"/>
              </w:rPr>
            </w:pPr>
            <w:r w:rsidRPr="00D93D2D">
              <w:rPr>
                <w:rFonts w:eastAsia="Times New Roman" w:cstheme="minorHAnsi"/>
                <w:color w:val="000000"/>
                <w:sz w:val="18"/>
              </w:rPr>
              <w:t>13.33</w:t>
            </w:r>
          </w:p>
        </w:tc>
      </w:tr>
    </w:tbl>
    <w:p w14:paraId="2F0A8338" w14:textId="4FFC67C6" w:rsidR="00630974" w:rsidRPr="00D93D2D" w:rsidRDefault="005112A3" w:rsidP="00060BF2">
      <w:pPr>
        <w:tabs>
          <w:tab w:val="left" w:pos="2430"/>
        </w:tabs>
        <w:jc w:val="both"/>
        <w:rPr>
          <w:rFonts w:cstheme="minorHAnsi"/>
          <w:b/>
          <w:sz w:val="20"/>
        </w:rPr>
      </w:pPr>
      <w:r w:rsidRPr="00D93D2D">
        <w:rPr>
          <w:rFonts w:cstheme="minorHAnsi"/>
          <w:b/>
          <w:noProof/>
          <w:sz w:val="20"/>
          <w:lang w:eastAsia="en-US"/>
        </w:rPr>
        <mc:AlternateContent>
          <mc:Choice Requires="wps">
            <w:drawing>
              <wp:anchor distT="0" distB="0" distL="114300" distR="114300" simplePos="0" relativeHeight="251659264" behindDoc="1" locked="0" layoutInCell="1" allowOverlap="1" wp14:anchorId="73BC39A6" wp14:editId="508F62BF">
                <wp:simplePos x="0" y="0"/>
                <wp:positionH relativeFrom="column">
                  <wp:posOffset>2730500</wp:posOffset>
                </wp:positionH>
                <wp:positionV relativeFrom="paragraph">
                  <wp:posOffset>-1930643</wp:posOffset>
                </wp:positionV>
                <wp:extent cx="3148330" cy="3093058"/>
                <wp:effectExtent l="0" t="0" r="0" b="0"/>
                <wp:wrapNone/>
                <wp:docPr id="1" name="Text Box 1"/>
                <wp:cNvGraphicFramePr/>
                <a:graphic xmlns:a="http://schemas.openxmlformats.org/drawingml/2006/main">
                  <a:graphicData uri="http://schemas.microsoft.com/office/word/2010/wordprocessingShape">
                    <wps:wsp>
                      <wps:cNvSpPr txBox="1"/>
                      <wps:spPr>
                        <a:xfrm>
                          <a:off x="0" y="0"/>
                          <a:ext cx="3148330" cy="3093058"/>
                        </a:xfrm>
                        <a:prstGeom prst="rect">
                          <a:avLst/>
                        </a:prstGeom>
                        <a:solidFill>
                          <a:schemeClr val="lt1"/>
                        </a:solidFill>
                        <a:ln w="6350">
                          <a:noFill/>
                        </a:ln>
                      </wps:spPr>
                      <wps:txbx>
                        <w:txbxContent>
                          <w:tbl>
                            <w:tblPr>
                              <w:tblW w:w="3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965"/>
                              <w:gridCol w:w="967"/>
                            </w:tblGrid>
                            <w:tr w:rsidR="00EB0541" w:rsidRPr="00630974" w14:paraId="3B7A4FEF" w14:textId="77777777" w:rsidTr="005A6E42">
                              <w:trPr>
                                <w:trHeight w:val="225"/>
                              </w:trPr>
                              <w:tc>
                                <w:tcPr>
                                  <w:tcW w:w="849" w:type="dxa"/>
                                  <w:vMerge w:val="restart"/>
                                  <w:shd w:val="clear" w:color="auto" w:fill="BFBFBF" w:themeFill="background1" w:themeFillShade="BF"/>
                                  <w:vAlign w:val="center"/>
                                  <w:hideMark/>
                                </w:tcPr>
                                <w:p w14:paraId="3CCCE8EB" w14:textId="77777777" w:rsidR="00EB0541" w:rsidRPr="005A6E42" w:rsidRDefault="00EB0541" w:rsidP="00630974">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 of samples per batch processed</w:t>
                                  </w:r>
                                </w:p>
                              </w:tc>
                              <w:tc>
                                <w:tcPr>
                                  <w:tcW w:w="2715" w:type="dxa"/>
                                  <w:gridSpan w:val="3"/>
                                  <w:shd w:val="clear" w:color="auto" w:fill="BFBFBF" w:themeFill="background1" w:themeFillShade="BF"/>
                                  <w:noWrap/>
                                  <w:vAlign w:val="center"/>
                                  <w:hideMark/>
                                </w:tcPr>
                                <w:p w14:paraId="1C106188" w14:textId="77777777" w:rsidR="00EB0541" w:rsidRPr="005A6E42" w:rsidRDefault="00EB0541" w:rsidP="00630974">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 of GX4 modules</w:t>
                                  </w:r>
                                </w:p>
                              </w:tc>
                            </w:tr>
                            <w:tr w:rsidR="00EB0541" w:rsidRPr="00630974" w14:paraId="70F4EFA9" w14:textId="77777777" w:rsidTr="005A6E42">
                              <w:trPr>
                                <w:trHeight w:val="225"/>
                              </w:trPr>
                              <w:tc>
                                <w:tcPr>
                                  <w:tcW w:w="849" w:type="dxa"/>
                                  <w:vMerge/>
                                  <w:vAlign w:val="center"/>
                                  <w:hideMark/>
                                </w:tcPr>
                                <w:p w14:paraId="5E596022" w14:textId="77777777" w:rsidR="00EB0541" w:rsidRPr="005A6E42" w:rsidRDefault="00EB0541" w:rsidP="005A6E42">
                                  <w:pPr>
                                    <w:spacing w:after="0" w:line="240" w:lineRule="auto"/>
                                    <w:jc w:val="center"/>
                                    <w:rPr>
                                      <w:rFonts w:ascii="Calibri" w:eastAsia="Times New Roman" w:hAnsi="Calibri" w:cs="Calibri"/>
                                      <w:color w:val="000000"/>
                                      <w:sz w:val="18"/>
                                    </w:rPr>
                                  </w:pPr>
                                </w:p>
                              </w:tc>
                              <w:tc>
                                <w:tcPr>
                                  <w:tcW w:w="783" w:type="dxa"/>
                                  <w:shd w:val="clear" w:color="auto" w:fill="auto"/>
                                  <w:noWrap/>
                                  <w:vAlign w:val="center"/>
                                  <w:hideMark/>
                                </w:tcPr>
                                <w:p w14:paraId="25C9F02A" w14:textId="77777777" w:rsidR="00EB0541" w:rsidRPr="005A6E42" w:rsidRDefault="00EB0541" w:rsidP="005A6E42">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1 GX4</w:t>
                                  </w:r>
                                </w:p>
                              </w:tc>
                              <w:tc>
                                <w:tcPr>
                                  <w:tcW w:w="965" w:type="dxa"/>
                                  <w:shd w:val="clear" w:color="auto" w:fill="auto"/>
                                  <w:noWrap/>
                                  <w:vAlign w:val="center"/>
                                  <w:hideMark/>
                                </w:tcPr>
                                <w:p w14:paraId="4F0F3FBE" w14:textId="77777777" w:rsidR="00EB0541" w:rsidRPr="005A6E42" w:rsidRDefault="00EB0541" w:rsidP="005A6E42">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2 GX4</w:t>
                                  </w:r>
                                </w:p>
                              </w:tc>
                              <w:tc>
                                <w:tcPr>
                                  <w:tcW w:w="966" w:type="dxa"/>
                                  <w:shd w:val="clear" w:color="auto" w:fill="auto"/>
                                  <w:noWrap/>
                                  <w:vAlign w:val="center"/>
                                  <w:hideMark/>
                                </w:tcPr>
                                <w:p w14:paraId="170D369D" w14:textId="77777777" w:rsidR="00EB0541" w:rsidRPr="005A6E42" w:rsidRDefault="00EB0541" w:rsidP="005A6E42">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3 GX4</w:t>
                                  </w:r>
                                </w:p>
                              </w:tc>
                            </w:tr>
                            <w:tr w:rsidR="00EB0541" w:rsidRPr="00630974" w14:paraId="0016F657" w14:textId="77777777" w:rsidTr="005A6E42">
                              <w:trPr>
                                <w:trHeight w:val="225"/>
                              </w:trPr>
                              <w:tc>
                                <w:tcPr>
                                  <w:tcW w:w="849" w:type="dxa"/>
                                  <w:shd w:val="clear" w:color="auto" w:fill="auto"/>
                                  <w:noWrap/>
                                  <w:vAlign w:val="center"/>
                                  <w:hideMark/>
                                </w:tcPr>
                                <w:p w14:paraId="7F9B234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0</w:t>
                                  </w:r>
                                </w:p>
                              </w:tc>
                              <w:tc>
                                <w:tcPr>
                                  <w:tcW w:w="783" w:type="dxa"/>
                                  <w:shd w:val="clear" w:color="auto" w:fill="auto"/>
                                  <w:noWrap/>
                                  <w:vAlign w:val="center"/>
                                  <w:hideMark/>
                                </w:tcPr>
                                <w:p w14:paraId="7DA61304"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16.14</w:t>
                                  </w:r>
                                </w:p>
                              </w:tc>
                              <w:tc>
                                <w:tcPr>
                                  <w:tcW w:w="965" w:type="dxa"/>
                                  <w:shd w:val="clear" w:color="auto" w:fill="auto"/>
                                  <w:noWrap/>
                                  <w:vAlign w:val="center"/>
                                  <w:hideMark/>
                                </w:tcPr>
                                <w:p w14:paraId="67347CC2"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32.29</w:t>
                                  </w:r>
                                </w:p>
                              </w:tc>
                              <w:tc>
                                <w:tcPr>
                                  <w:tcW w:w="966" w:type="dxa"/>
                                  <w:shd w:val="clear" w:color="auto" w:fill="auto"/>
                                  <w:noWrap/>
                                  <w:vAlign w:val="center"/>
                                  <w:hideMark/>
                                </w:tcPr>
                                <w:p w14:paraId="63A30580"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48.43</w:t>
                                  </w:r>
                                </w:p>
                              </w:tc>
                            </w:tr>
                            <w:tr w:rsidR="00EB0541" w:rsidRPr="00630974" w14:paraId="7E785DF1" w14:textId="77777777" w:rsidTr="005A6E42">
                              <w:trPr>
                                <w:trHeight w:val="225"/>
                              </w:trPr>
                              <w:tc>
                                <w:tcPr>
                                  <w:tcW w:w="849" w:type="dxa"/>
                                  <w:shd w:val="clear" w:color="auto" w:fill="auto"/>
                                  <w:noWrap/>
                                  <w:vAlign w:val="center"/>
                                  <w:hideMark/>
                                </w:tcPr>
                                <w:p w14:paraId="0BF51E3B"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w:t>
                                  </w:r>
                                </w:p>
                              </w:tc>
                              <w:tc>
                                <w:tcPr>
                                  <w:tcW w:w="783" w:type="dxa"/>
                                  <w:shd w:val="clear" w:color="auto" w:fill="auto"/>
                                  <w:noWrap/>
                                  <w:vAlign w:val="center"/>
                                  <w:hideMark/>
                                </w:tcPr>
                                <w:p w14:paraId="559580D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32.14</w:t>
                                  </w:r>
                                </w:p>
                              </w:tc>
                              <w:tc>
                                <w:tcPr>
                                  <w:tcW w:w="965" w:type="dxa"/>
                                  <w:shd w:val="clear" w:color="auto" w:fill="auto"/>
                                  <w:noWrap/>
                                  <w:vAlign w:val="center"/>
                                  <w:hideMark/>
                                </w:tcPr>
                                <w:p w14:paraId="637DBE6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63.42</w:t>
                                  </w:r>
                                </w:p>
                              </w:tc>
                              <w:tc>
                                <w:tcPr>
                                  <w:tcW w:w="966" w:type="dxa"/>
                                  <w:shd w:val="clear" w:color="auto" w:fill="auto"/>
                                  <w:noWrap/>
                                  <w:vAlign w:val="center"/>
                                  <w:hideMark/>
                                </w:tcPr>
                                <w:p w14:paraId="69FF33F0"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110.84</w:t>
                                  </w:r>
                                </w:p>
                              </w:tc>
                            </w:tr>
                            <w:tr w:rsidR="00EB0541" w:rsidRPr="00630974" w14:paraId="4A078D4C" w14:textId="77777777" w:rsidTr="005A6E42">
                              <w:trPr>
                                <w:trHeight w:val="225"/>
                              </w:trPr>
                              <w:tc>
                                <w:tcPr>
                                  <w:tcW w:w="849" w:type="dxa"/>
                                  <w:shd w:val="clear" w:color="auto" w:fill="auto"/>
                                  <w:noWrap/>
                                  <w:vAlign w:val="center"/>
                                  <w:hideMark/>
                                </w:tcPr>
                                <w:p w14:paraId="6AB8EBF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2</w:t>
                                  </w:r>
                                </w:p>
                              </w:tc>
                              <w:tc>
                                <w:tcPr>
                                  <w:tcW w:w="783" w:type="dxa"/>
                                  <w:shd w:val="clear" w:color="auto" w:fill="auto"/>
                                  <w:noWrap/>
                                  <w:vAlign w:val="center"/>
                                  <w:hideMark/>
                                </w:tcPr>
                                <w:p w14:paraId="534282CE"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22.12</w:t>
                                  </w:r>
                                </w:p>
                              </w:tc>
                              <w:tc>
                                <w:tcPr>
                                  <w:tcW w:w="965" w:type="dxa"/>
                                  <w:shd w:val="clear" w:color="auto" w:fill="auto"/>
                                  <w:noWrap/>
                                  <w:vAlign w:val="center"/>
                                  <w:hideMark/>
                                </w:tcPr>
                                <w:p w14:paraId="39A10BA0"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52.39</w:t>
                                  </w:r>
                                </w:p>
                              </w:tc>
                              <w:tc>
                                <w:tcPr>
                                  <w:tcW w:w="966" w:type="dxa"/>
                                  <w:shd w:val="clear" w:color="auto" w:fill="auto"/>
                                  <w:noWrap/>
                                  <w:vAlign w:val="center"/>
                                  <w:hideMark/>
                                </w:tcPr>
                                <w:p w14:paraId="7247DD74"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98.80</w:t>
                                  </w:r>
                                </w:p>
                              </w:tc>
                            </w:tr>
                            <w:tr w:rsidR="00EB0541" w:rsidRPr="00630974" w14:paraId="7B2FF699" w14:textId="77777777" w:rsidTr="005A6E42">
                              <w:trPr>
                                <w:trHeight w:val="225"/>
                              </w:trPr>
                              <w:tc>
                                <w:tcPr>
                                  <w:tcW w:w="849" w:type="dxa"/>
                                  <w:shd w:val="clear" w:color="auto" w:fill="auto"/>
                                  <w:noWrap/>
                                  <w:vAlign w:val="center"/>
                                  <w:hideMark/>
                                </w:tcPr>
                                <w:p w14:paraId="1EC474A7"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w:t>
                                  </w:r>
                                </w:p>
                              </w:tc>
                              <w:tc>
                                <w:tcPr>
                                  <w:tcW w:w="783" w:type="dxa"/>
                                  <w:shd w:val="clear" w:color="auto" w:fill="auto"/>
                                  <w:noWrap/>
                                  <w:vAlign w:val="center"/>
                                  <w:hideMark/>
                                </w:tcPr>
                                <w:p w14:paraId="71BBEE8D"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17.10</w:t>
                                  </w:r>
                                </w:p>
                              </w:tc>
                              <w:tc>
                                <w:tcPr>
                                  <w:tcW w:w="965" w:type="dxa"/>
                                  <w:shd w:val="clear" w:color="auto" w:fill="auto"/>
                                  <w:noWrap/>
                                  <w:vAlign w:val="center"/>
                                  <w:hideMark/>
                                </w:tcPr>
                                <w:p w14:paraId="51BB86CA"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45.35</w:t>
                                  </w:r>
                                </w:p>
                              </w:tc>
                              <w:tc>
                                <w:tcPr>
                                  <w:tcW w:w="966" w:type="dxa"/>
                                  <w:shd w:val="clear" w:color="auto" w:fill="auto"/>
                                  <w:noWrap/>
                                  <w:vAlign w:val="center"/>
                                  <w:hideMark/>
                                </w:tcPr>
                                <w:p w14:paraId="222EDF0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89.75</w:t>
                                  </w:r>
                                </w:p>
                              </w:tc>
                            </w:tr>
                            <w:tr w:rsidR="00EB0541" w:rsidRPr="00630974" w14:paraId="72A0A189" w14:textId="77777777" w:rsidTr="005A6E42">
                              <w:trPr>
                                <w:trHeight w:val="225"/>
                              </w:trPr>
                              <w:tc>
                                <w:tcPr>
                                  <w:tcW w:w="849" w:type="dxa"/>
                                  <w:shd w:val="clear" w:color="auto" w:fill="auto"/>
                                  <w:noWrap/>
                                  <w:vAlign w:val="center"/>
                                  <w:hideMark/>
                                </w:tcPr>
                                <w:p w14:paraId="7A14359A"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6</w:t>
                                  </w:r>
                                </w:p>
                              </w:tc>
                              <w:tc>
                                <w:tcPr>
                                  <w:tcW w:w="783" w:type="dxa"/>
                                  <w:shd w:val="clear" w:color="auto" w:fill="auto"/>
                                  <w:noWrap/>
                                  <w:vAlign w:val="center"/>
                                  <w:hideMark/>
                                </w:tcPr>
                                <w:p w14:paraId="7459560B"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15.78</w:t>
                                  </w:r>
                                </w:p>
                              </w:tc>
                              <w:tc>
                                <w:tcPr>
                                  <w:tcW w:w="965" w:type="dxa"/>
                                  <w:shd w:val="clear" w:color="auto" w:fill="auto"/>
                                  <w:noWrap/>
                                  <w:vAlign w:val="center"/>
                                  <w:hideMark/>
                                </w:tcPr>
                                <w:p w14:paraId="2246E300"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42.02</w:t>
                                  </w:r>
                                </w:p>
                              </w:tc>
                              <w:tc>
                                <w:tcPr>
                                  <w:tcW w:w="966" w:type="dxa"/>
                                  <w:shd w:val="clear" w:color="auto" w:fill="auto"/>
                                  <w:noWrap/>
                                  <w:vAlign w:val="center"/>
                                  <w:hideMark/>
                                </w:tcPr>
                                <w:p w14:paraId="147F4C59"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84.39</w:t>
                                  </w:r>
                                </w:p>
                              </w:tc>
                            </w:tr>
                            <w:tr w:rsidR="00EB0541" w:rsidRPr="00630974" w14:paraId="1C12E42E" w14:textId="77777777" w:rsidTr="005A6E42">
                              <w:trPr>
                                <w:trHeight w:val="225"/>
                              </w:trPr>
                              <w:tc>
                                <w:tcPr>
                                  <w:tcW w:w="849" w:type="dxa"/>
                                  <w:shd w:val="clear" w:color="auto" w:fill="auto"/>
                                  <w:noWrap/>
                                  <w:vAlign w:val="center"/>
                                  <w:hideMark/>
                                </w:tcPr>
                                <w:p w14:paraId="1761EF3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7</w:t>
                                  </w:r>
                                </w:p>
                              </w:tc>
                              <w:tc>
                                <w:tcPr>
                                  <w:tcW w:w="783" w:type="dxa"/>
                                  <w:shd w:val="clear" w:color="auto" w:fill="auto"/>
                                  <w:noWrap/>
                                  <w:vAlign w:val="center"/>
                                  <w:hideMark/>
                                </w:tcPr>
                                <w:p w14:paraId="2323FBB6"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15.57</w:t>
                                  </w:r>
                                </w:p>
                              </w:tc>
                              <w:tc>
                                <w:tcPr>
                                  <w:tcW w:w="965" w:type="dxa"/>
                                  <w:shd w:val="clear" w:color="auto" w:fill="auto"/>
                                  <w:noWrap/>
                                  <w:vAlign w:val="center"/>
                                  <w:hideMark/>
                                </w:tcPr>
                                <w:p w14:paraId="367C34F5"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40.79</w:t>
                                  </w:r>
                                </w:p>
                              </w:tc>
                              <w:tc>
                                <w:tcPr>
                                  <w:tcW w:w="966" w:type="dxa"/>
                                  <w:shd w:val="clear" w:color="auto" w:fill="auto"/>
                                  <w:noWrap/>
                                  <w:vAlign w:val="center"/>
                                  <w:hideMark/>
                                </w:tcPr>
                                <w:p w14:paraId="56086B8D"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82.16</w:t>
                                  </w:r>
                                </w:p>
                              </w:tc>
                            </w:tr>
                            <w:tr w:rsidR="00EB0541" w:rsidRPr="00630974" w14:paraId="27C3BE0F" w14:textId="77777777" w:rsidTr="005A6E42">
                              <w:trPr>
                                <w:trHeight w:val="225"/>
                              </w:trPr>
                              <w:tc>
                                <w:tcPr>
                                  <w:tcW w:w="849" w:type="dxa"/>
                                  <w:shd w:val="clear" w:color="auto" w:fill="auto"/>
                                  <w:noWrap/>
                                  <w:vAlign w:val="center"/>
                                  <w:hideMark/>
                                </w:tcPr>
                                <w:p w14:paraId="1BC87807"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10</w:t>
                                  </w:r>
                                </w:p>
                              </w:tc>
                              <w:tc>
                                <w:tcPr>
                                  <w:tcW w:w="783" w:type="dxa"/>
                                  <w:shd w:val="clear" w:color="auto" w:fill="auto"/>
                                  <w:noWrap/>
                                  <w:vAlign w:val="center"/>
                                  <w:hideMark/>
                                </w:tcPr>
                                <w:p w14:paraId="74B16AA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14.51</w:t>
                                  </w:r>
                                </w:p>
                              </w:tc>
                              <w:tc>
                                <w:tcPr>
                                  <w:tcW w:w="965" w:type="dxa"/>
                                  <w:shd w:val="clear" w:color="auto" w:fill="auto"/>
                                  <w:noWrap/>
                                  <w:vAlign w:val="center"/>
                                  <w:hideMark/>
                                </w:tcPr>
                                <w:p w14:paraId="55564949"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36.71</w:t>
                                  </w:r>
                                </w:p>
                              </w:tc>
                              <w:tc>
                                <w:tcPr>
                                  <w:tcW w:w="966" w:type="dxa"/>
                                  <w:shd w:val="clear" w:color="auto" w:fill="auto"/>
                                  <w:noWrap/>
                                  <w:vAlign w:val="center"/>
                                  <w:hideMark/>
                                </w:tcPr>
                                <w:p w14:paraId="6A4658A6"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75.05</w:t>
                                  </w:r>
                                </w:p>
                              </w:tc>
                            </w:tr>
                            <w:tr w:rsidR="00EB0541" w:rsidRPr="00630974" w14:paraId="56049B62" w14:textId="77777777" w:rsidTr="005A6E42">
                              <w:trPr>
                                <w:trHeight w:val="225"/>
                              </w:trPr>
                              <w:tc>
                                <w:tcPr>
                                  <w:tcW w:w="849" w:type="dxa"/>
                                  <w:shd w:val="clear" w:color="auto" w:fill="auto"/>
                                  <w:noWrap/>
                                  <w:vAlign w:val="center"/>
                                  <w:hideMark/>
                                </w:tcPr>
                                <w:p w14:paraId="1B5F128E"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14</w:t>
                                  </w:r>
                                </w:p>
                              </w:tc>
                              <w:tc>
                                <w:tcPr>
                                  <w:tcW w:w="783" w:type="dxa"/>
                                  <w:shd w:val="clear" w:color="auto" w:fill="auto"/>
                                  <w:noWrap/>
                                  <w:vAlign w:val="center"/>
                                  <w:hideMark/>
                                </w:tcPr>
                                <w:p w14:paraId="2957818B"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13.97</w:t>
                                  </w:r>
                                </w:p>
                              </w:tc>
                              <w:tc>
                                <w:tcPr>
                                  <w:tcW w:w="965" w:type="dxa"/>
                                  <w:shd w:val="clear" w:color="auto" w:fill="auto"/>
                                  <w:noWrap/>
                                  <w:vAlign w:val="center"/>
                                  <w:hideMark/>
                                </w:tcPr>
                                <w:p w14:paraId="1D116E91"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32.13</w:t>
                                  </w:r>
                                </w:p>
                              </w:tc>
                              <w:tc>
                                <w:tcPr>
                                  <w:tcW w:w="966" w:type="dxa"/>
                                  <w:shd w:val="clear" w:color="auto" w:fill="auto"/>
                                  <w:noWrap/>
                                  <w:vAlign w:val="center"/>
                                  <w:hideMark/>
                                </w:tcPr>
                                <w:p w14:paraId="40CB6593"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66.44</w:t>
                                  </w:r>
                                </w:p>
                              </w:tc>
                            </w:tr>
                            <w:tr w:rsidR="00EB0541" w:rsidRPr="00630974" w14:paraId="7FDCC2FC" w14:textId="77777777" w:rsidTr="005A6E42">
                              <w:trPr>
                                <w:trHeight w:val="225"/>
                              </w:trPr>
                              <w:tc>
                                <w:tcPr>
                                  <w:tcW w:w="849" w:type="dxa"/>
                                  <w:shd w:val="clear" w:color="auto" w:fill="auto"/>
                                  <w:noWrap/>
                                  <w:vAlign w:val="center"/>
                                  <w:hideMark/>
                                </w:tcPr>
                                <w:p w14:paraId="09C9D66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16</w:t>
                                  </w:r>
                                </w:p>
                              </w:tc>
                              <w:tc>
                                <w:tcPr>
                                  <w:tcW w:w="783" w:type="dxa"/>
                                  <w:shd w:val="clear" w:color="auto" w:fill="auto"/>
                                  <w:noWrap/>
                                  <w:vAlign w:val="center"/>
                                  <w:hideMark/>
                                </w:tcPr>
                                <w:p w14:paraId="1F339C37"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5" w:type="dxa"/>
                                  <w:shd w:val="clear" w:color="auto" w:fill="auto"/>
                                  <w:noWrap/>
                                  <w:vAlign w:val="center"/>
                                  <w:hideMark/>
                                </w:tcPr>
                                <w:p w14:paraId="19FCBF8D"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29.88</w:t>
                                  </w:r>
                                </w:p>
                              </w:tc>
                              <w:tc>
                                <w:tcPr>
                                  <w:tcW w:w="966" w:type="dxa"/>
                                  <w:shd w:val="clear" w:color="auto" w:fill="auto"/>
                                  <w:noWrap/>
                                  <w:vAlign w:val="center"/>
                                  <w:hideMark/>
                                </w:tcPr>
                                <w:p w14:paraId="104D4856"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62.17</w:t>
                                  </w:r>
                                </w:p>
                              </w:tc>
                            </w:tr>
                            <w:tr w:rsidR="00EB0541" w:rsidRPr="00630974" w14:paraId="23E9B730" w14:textId="77777777" w:rsidTr="005A6E42">
                              <w:trPr>
                                <w:trHeight w:val="225"/>
                              </w:trPr>
                              <w:tc>
                                <w:tcPr>
                                  <w:tcW w:w="3565" w:type="dxa"/>
                                  <w:gridSpan w:val="4"/>
                                  <w:shd w:val="clear" w:color="auto" w:fill="auto"/>
                                  <w:noWrap/>
                                  <w:vAlign w:val="center"/>
                                </w:tcPr>
                                <w:p w14:paraId="53314325" w14:textId="77777777" w:rsidR="00EB0541" w:rsidRPr="005A6E42" w:rsidRDefault="00EB0541" w:rsidP="00630974">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w:t>
                                  </w:r>
                                </w:p>
                              </w:tc>
                            </w:tr>
                            <w:tr w:rsidR="00EB0541" w:rsidRPr="00630974" w14:paraId="48CA5E06" w14:textId="77777777" w:rsidTr="005A6E42">
                              <w:trPr>
                                <w:trHeight w:val="225"/>
                              </w:trPr>
                              <w:tc>
                                <w:tcPr>
                                  <w:tcW w:w="849" w:type="dxa"/>
                                  <w:shd w:val="clear" w:color="auto" w:fill="auto"/>
                                  <w:noWrap/>
                                  <w:vAlign w:val="center"/>
                                  <w:hideMark/>
                                </w:tcPr>
                                <w:p w14:paraId="5825709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32</w:t>
                                  </w:r>
                                </w:p>
                              </w:tc>
                              <w:tc>
                                <w:tcPr>
                                  <w:tcW w:w="783" w:type="dxa"/>
                                  <w:shd w:val="clear" w:color="auto" w:fill="auto"/>
                                  <w:noWrap/>
                                  <w:vAlign w:val="center"/>
                                  <w:hideMark/>
                                </w:tcPr>
                                <w:p w14:paraId="2F5E68D7"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5" w:type="dxa"/>
                                  <w:shd w:val="clear" w:color="auto" w:fill="auto"/>
                                  <w:noWrap/>
                                  <w:vAlign w:val="center"/>
                                  <w:hideMark/>
                                </w:tcPr>
                                <w:p w14:paraId="53E8DB38"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6" w:type="dxa"/>
                                  <w:shd w:val="clear" w:color="auto" w:fill="auto"/>
                                  <w:noWrap/>
                                  <w:vAlign w:val="center"/>
                                  <w:hideMark/>
                                </w:tcPr>
                                <w:p w14:paraId="272EC864"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29.88</w:t>
                                  </w:r>
                                </w:p>
                              </w:tc>
                            </w:tr>
                            <w:tr w:rsidR="00EB0541" w:rsidRPr="00630974" w14:paraId="290CE88B" w14:textId="77777777" w:rsidTr="005A6E42">
                              <w:trPr>
                                <w:trHeight w:val="225"/>
                              </w:trPr>
                              <w:tc>
                                <w:tcPr>
                                  <w:tcW w:w="3565" w:type="dxa"/>
                                  <w:gridSpan w:val="4"/>
                                  <w:shd w:val="clear" w:color="auto" w:fill="auto"/>
                                  <w:noWrap/>
                                  <w:vAlign w:val="center"/>
                                </w:tcPr>
                                <w:p w14:paraId="1685E0C7" w14:textId="77777777" w:rsidR="00EB0541" w:rsidRPr="005A6E42" w:rsidRDefault="00EB0541" w:rsidP="00630974">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w:t>
                                  </w:r>
                                </w:p>
                              </w:tc>
                            </w:tr>
                            <w:tr w:rsidR="00EB0541" w:rsidRPr="00630974" w14:paraId="5B43D7B4" w14:textId="77777777" w:rsidTr="005A6E42">
                              <w:trPr>
                                <w:trHeight w:val="225"/>
                              </w:trPr>
                              <w:tc>
                                <w:tcPr>
                                  <w:tcW w:w="849" w:type="dxa"/>
                                  <w:shd w:val="clear" w:color="auto" w:fill="auto"/>
                                  <w:noWrap/>
                                  <w:vAlign w:val="center"/>
                                  <w:hideMark/>
                                </w:tcPr>
                                <w:p w14:paraId="6F41E373"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48</w:t>
                                  </w:r>
                                </w:p>
                              </w:tc>
                              <w:tc>
                                <w:tcPr>
                                  <w:tcW w:w="783" w:type="dxa"/>
                                  <w:shd w:val="clear" w:color="auto" w:fill="auto"/>
                                  <w:noWrap/>
                                  <w:vAlign w:val="center"/>
                                  <w:hideMark/>
                                </w:tcPr>
                                <w:p w14:paraId="4DBFB381"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5" w:type="dxa"/>
                                  <w:shd w:val="clear" w:color="auto" w:fill="auto"/>
                                  <w:noWrap/>
                                  <w:vAlign w:val="center"/>
                                  <w:hideMark/>
                                </w:tcPr>
                                <w:p w14:paraId="4E563819"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6" w:type="dxa"/>
                                  <w:shd w:val="clear" w:color="auto" w:fill="auto"/>
                                  <w:noWrap/>
                                  <w:vAlign w:val="center"/>
                                  <w:hideMark/>
                                </w:tcPr>
                                <w:p w14:paraId="5CB307E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r>
                          </w:tbl>
                          <w:p w14:paraId="54B6EE9A" w14:textId="77777777" w:rsidR="00EB0541" w:rsidRDefault="00EB0541" w:rsidP="006715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C39A6" id="_x0000_t202" coordsize="21600,21600" o:spt="202" path="m,l,21600r21600,l21600,xe">
                <v:stroke joinstyle="miter"/>
                <v:path gradientshapeok="t" o:connecttype="rect"/>
              </v:shapetype>
              <v:shape id="Text Box 1" o:spid="_x0000_s1026" type="#_x0000_t202" style="position:absolute;left:0;text-align:left;margin-left:215pt;margin-top:-152pt;width:247.9pt;height:24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uQQIAAHoEAAAOAAAAZHJzL2Uyb0RvYy54bWysVMGO2jAQvVfqP1i+lwQCWzYirCgrqkpo&#10;dyWo9mwcGyI5Htc2JPTrO3YCS7c9Vb2Y8czL88y8GWYPba3ISVhXgS7ocJBSIjSHstL7gn7frj5N&#10;KXGe6ZIp0KKgZ+How/zjh1ljcjGCA6hSWIIk2uWNKejBe5MnieMHUTM3ACM0BiXYmnm82n1SWtYg&#10;e62SUZreJQ3Y0ljgwjn0PnZBOo/8Ugrun6V0whNVUMzNx9PGcxfOZD5j+d4yc6h4nwb7hyxqVml8&#10;9Er1yDwjR1v9QVVX3IID6Qcc6gSkrLiINWA1w/RdNZsDMyLWgs1x5tom9/9o+dPpxZKqRO0o0axG&#10;ibai9eQLtGQYutMYlyNoYxDmW3QHZO936AxFt9LW4RfLIRjHPp+vvQ1kHJ3ZcDzNMgxxjGXpfZZO&#10;poEnefvcWOe/CqhJMApqUbzYU3ZaO99BL5DwmgNVlatKqXgJAyOWypITQ6mVj0ki+W8opUlT0Lts&#10;kkZiDeHzjllpzCUU2xUVLN/u2r7SHZRnbICFboCc4asKk1wz51+YxYnBwnAL/DMeUgE+Ar1FyQHs&#10;z7/5Ax6FxCglDU5gQd2PI7OCEvVNo8T3w/E4jGy8jCefR3ixt5HdbUQf6yVg5SgjZhfNgPfqYkoL&#10;9SsuyyK8iiGmOb5dUH8xl77bC1w2LhaLCMIhNcyv9cbwQB06HSTYtq/Mml4njxI/wWVWWf5Org4b&#10;vtSwOHqQVdQyNLjrat93HPA4Df0yhg26vUfU21/G/BcAAAD//wMAUEsDBBQABgAIAAAAIQAR8Fdt&#10;4wAAAAwBAAAPAAAAZHJzL2Rvd25yZXYueG1sTI9NT8MwDIbvSPyHyEhc0JZs3WCUphNCwCRurHyI&#10;W9aYtqJxqiZry7/HnOBmy49eP2+2nVwrBuxD40nDYq5AIJXeNlRpeCkeZhsQIRqypvWEGr4xwDY/&#10;PclMav1IzzjsYyU4hEJqNNQxdqmUoazRmTD3HRLfPn3vTOS1r6TtzcjhrpVLpS6lMw3xh9p0eFdj&#10;+bU/Og0fF9X7U5geX8dknXT3u6G4erOF1udn0+0NiIhT/IPhV5/VIWengz+SDaLVsEoUd4kaZola&#10;8cTI9XLNbQ7MbpIFyDyT/0vkPwAAAP//AwBQSwECLQAUAAYACAAAACEAtoM4kv4AAADhAQAAEwAA&#10;AAAAAAAAAAAAAAAAAAAAW0NvbnRlbnRfVHlwZXNdLnhtbFBLAQItABQABgAIAAAAIQA4/SH/1gAA&#10;AJQBAAALAAAAAAAAAAAAAAAAAC8BAABfcmVscy8ucmVsc1BLAQItABQABgAIAAAAIQC/xtsuQQIA&#10;AHoEAAAOAAAAAAAAAAAAAAAAAC4CAABkcnMvZTJvRG9jLnhtbFBLAQItABQABgAIAAAAIQAR8Fdt&#10;4wAAAAwBAAAPAAAAAAAAAAAAAAAAAJsEAABkcnMvZG93bnJldi54bWxQSwUGAAAAAAQABADzAAAA&#10;qwUAAAAA&#10;" fillcolor="white [3201]" stroked="f" strokeweight=".5pt">
                <v:textbox>
                  <w:txbxContent>
                    <w:tbl>
                      <w:tblPr>
                        <w:tblW w:w="3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965"/>
                        <w:gridCol w:w="967"/>
                      </w:tblGrid>
                      <w:tr w:rsidR="00EB0541" w:rsidRPr="00630974" w14:paraId="3B7A4FEF" w14:textId="77777777" w:rsidTr="005A6E42">
                        <w:trPr>
                          <w:trHeight w:val="225"/>
                        </w:trPr>
                        <w:tc>
                          <w:tcPr>
                            <w:tcW w:w="849" w:type="dxa"/>
                            <w:vMerge w:val="restart"/>
                            <w:shd w:val="clear" w:color="auto" w:fill="BFBFBF" w:themeFill="background1" w:themeFillShade="BF"/>
                            <w:vAlign w:val="center"/>
                            <w:hideMark/>
                          </w:tcPr>
                          <w:p w14:paraId="3CCCE8EB" w14:textId="77777777" w:rsidR="00EB0541" w:rsidRPr="005A6E42" w:rsidRDefault="00EB0541" w:rsidP="00630974">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 of samples per batch processed</w:t>
                            </w:r>
                          </w:p>
                        </w:tc>
                        <w:tc>
                          <w:tcPr>
                            <w:tcW w:w="2715" w:type="dxa"/>
                            <w:gridSpan w:val="3"/>
                            <w:shd w:val="clear" w:color="auto" w:fill="BFBFBF" w:themeFill="background1" w:themeFillShade="BF"/>
                            <w:noWrap/>
                            <w:vAlign w:val="center"/>
                            <w:hideMark/>
                          </w:tcPr>
                          <w:p w14:paraId="1C106188" w14:textId="77777777" w:rsidR="00EB0541" w:rsidRPr="005A6E42" w:rsidRDefault="00EB0541" w:rsidP="00630974">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 of GX4 modules</w:t>
                            </w:r>
                          </w:p>
                        </w:tc>
                      </w:tr>
                      <w:tr w:rsidR="00EB0541" w:rsidRPr="00630974" w14:paraId="70F4EFA9" w14:textId="77777777" w:rsidTr="005A6E42">
                        <w:trPr>
                          <w:trHeight w:val="225"/>
                        </w:trPr>
                        <w:tc>
                          <w:tcPr>
                            <w:tcW w:w="849" w:type="dxa"/>
                            <w:vMerge/>
                            <w:vAlign w:val="center"/>
                            <w:hideMark/>
                          </w:tcPr>
                          <w:p w14:paraId="5E596022" w14:textId="77777777" w:rsidR="00EB0541" w:rsidRPr="005A6E42" w:rsidRDefault="00EB0541" w:rsidP="005A6E42">
                            <w:pPr>
                              <w:spacing w:after="0" w:line="240" w:lineRule="auto"/>
                              <w:jc w:val="center"/>
                              <w:rPr>
                                <w:rFonts w:ascii="Calibri" w:eastAsia="Times New Roman" w:hAnsi="Calibri" w:cs="Calibri"/>
                                <w:color w:val="000000"/>
                                <w:sz w:val="18"/>
                              </w:rPr>
                            </w:pPr>
                          </w:p>
                        </w:tc>
                        <w:tc>
                          <w:tcPr>
                            <w:tcW w:w="783" w:type="dxa"/>
                            <w:shd w:val="clear" w:color="auto" w:fill="auto"/>
                            <w:noWrap/>
                            <w:vAlign w:val="center"/>
                            <w:hideMark/>
                          </w:tcPr>
                          <w:p w14:paraId="25C9F02A" w14:textId="77777777" w:rsidR="00EB0541" w:rsidRPr="005A6E42" w:rsidRDefault="00EB0541" w:rsidP="005A6E42">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1 GX4</w:t>
                            </w:r>
                          </w:p>
                        </w:tc>
                        <w:tc>
                          <w:tcPr>
                            <w:tcW w:w="965" w:type="dxa"/>
                            <w:shd w:val="clear" w:color="auto" w:fill="auto"/>
                            <w:noWrap/>
                            <w:vAlign w:val="center"/>
                            <w:hideMark/>
                          </w:tcPr>
                          <w:p w14:paraId="4F0F3FBE" w14:textId="77777777" w:rsidR="00EB0541" w:rsidRPr="005A6E42" w:rsidRDefault="00EB0541" w:rsidP="005A6E42">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2 GX4</w:t>
                            </w:r>
                          </w:p>
                        </w:tc>
                        <w:tc>
                          <w:tcPr>
                            <w:tcW w:w="966" w:type="dxa"/>
                            <w:shd w:val="clear" w:color="auto" w:fill="auto"/>
                            <w:noWrap/>
                            <w:vAlign w:val="center"/>
                            <w:hideMark/>
                          </w:tcPr>
                          <w:p w14:paraId="170D369D" w14:textId="77777777" w:rsidR="00EB0541" w:rsidRPr="005A6E42" w:rsidRDefault="00EB0541" w:rsidP="005A6E42">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3 GX4</w:t>
                            </w:r>
                          </w:p>
                        </w:tc>
                      </w:tr>
                      <w:tr w:rsidR="00EB0541" w:rsidRPr="00630974" w14:paraId="0016F657" w14:textId="77777777" w:rsidTr="005A6E42">
                        <w:trPr>
                          <w:trHeight w:val="225"/>
                        </w:trPr>
                        <w:tc>
                          <w:tcPr>
                            <w:tcW w:w="849" w:type="dxa"/>
                            <w:shd w:val="clear" w:color="auto" w:fill="auto"/>
                            <w:noWrap/>
                            <w:vAlign w:val="center"/>
                            <w:hideMark/>
                          </w:tcPr>
                          <w:p w14:paraId="7F9B234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0</w:t>
                            </w:r>
                          </w:p>
                        </w:tc>
                        <w:tc>
                          <w:tcPr>
                            <w:tcW w:w="783" w:type="dxa"/>
                            <w:shd w:val="clear" w:color="auto" w:fill="auto"/>
                            <w:noWrap/>
                            <w:vAlign w:val="center"/>
                            <w:hideMark/>
                          </w:tcPr>
                          <w:p w14:paraId="7DA61304"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16.14</w:t>
                            </w:r>
                          </w:p>
                        </w:tc>
                        <w:tc>
                          <w:tcPr>
                            <w:tcW w:w="965" w:type="dxa"/>
                            <w:shd w:val="clear" w:color="auto" w:fill="auto"/>
                            <w:noWrap/>
                            <w:vAlign w:val="center"/>
                            <w:hideMark/>
                          </w:tcPr>
                          <w:p w14:paraId="67347CC2"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32.29</w:t>
                            </w:r>
                          </w:p>
                        </w:tc>
                        <w:tc>
                          <w:tcPr>
                            <w:tcW w:w="966" w:type="dxa"/>
                            <w:shd w:val="clear" w:color="auto" w:fill="auto"/>
                            <w:noWrap/>
                            <w:vAlign w:val="center"/>
                            <w:hideMark/>
                          </w:tcPr>
                          <w:p w14:paraId="63A30580"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48.43</w:t>
                            </w:r>
                          </w:p>
                        </w:tc>
                      </w:tr>
                      <w:tr w:rsidR="00EB0541" w:rsidRPr="00630974" w14:paraId="7E785DF1" w14:textId="77777777" w:rsidTr="005A6E42">
                        <w:trPr>
                          <w:trHeight w:val="225"/>
                        </w:trPr>
                        <w:tc>
                          <w:tcPr>
                            <w:tcW w:w="849" w:type="dxa"/>
                            <w:shd w:val="clear" w:color="auto" w:fill="auto"/>
                            <w:noWrap/>
                            <w:vAlign w:val="center"/>
                            <w:hideMark/>
                          </w:tcPr>
                          <w:p w14:paraId="0BF51E3B"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w:t>
                            </w:r>
                          </w:p>
                        </w:tc>
                        <w:tc>
                          <w:tcPr>
                            <w:tcW w:w="783" w:type="dxa"/>
                            <w:shd w:val="clear" w:color="auto" w:fill="auto"/>
                            <w:noWrap/>
                            <w:vAlign w:val="center"/>
                            <w:hideMark/>
                          </w:tcPr>
                          <w:p w14:paraId="559580D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32.14</w:t>
                            </w:r>
                          </w:p>
                        </w:tc>
                        <w:tc>
                          <w:tcPr>
                            <w:tcW w:w="965" w:type="dxa"/>
                            <w:shd w:val="clear" w:color="auto" w:fill="auto"/>
                            <w:noWrap/>
                            <w:vAlign w:val="center"/>
                            <w:hideMark/>
                          </w:tcPr>
                          <w:p w14:paraId="637DBE6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63.42</w:t>
                            </w:r>
                          </w:p>
                        </w:tc>
                        <w:tc>
                          <w:tcPr>
                            <w:tcW w:w="966" w:type="dxa"/>
                            <w:shd w:val="clear" w:color="auto" w:fill="auto"/>
                            <w:noWrap/>
                            <w:vAlign w:val="center"/>
                            <w:hideMark/>
                          </w:tcPr>
                          <w:p w14:paraId="69FF33F0"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110.84</w:t>
                            </w:r>
                          </w:p>
                        </w:tc>
                      </w:tr>
                      <w:tr w:rsidR="00EB0541" w:rsidRPr="00630974" w14:paraId="4A078D4C" w14:textId="77777777" w:rsidTr="005A6E42">
                        <w:trPr>
                          <w:trHeight w:val="225"/>
                        </w:trPr>
                        <w:tc>
                          <w:tcPr>
                            <w:tcW w:w="849" w:type="dxa"/>
                            <w:shd w:val="clear" w:color="auto" w:fill="auto"/>
                            <w:noWrap/>
                            <w:vAlign w:val="center"/>
                            <w:hideMark/>
                          </w:tcPr>
                          <w:p w14:paraId="6AB8EBF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2</w:t>
                            </w:r>
                          </w:p>
                        </w:tc>
                        <w:tc>
                          <w:tcPr>
                            <w:tcW w:w="783" w:type="dxa"/>
                            <w:shd w:val="clear" w:color="auto" w:fill="auto"/>
                            <w:noWrap/>
                            <w:vAlign w:val="center"/>
                            <w:hideMark/>
                          </w:tcPr>
                          <w:p w14:paraId="534282CE"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22.12</w:t>
                            </w:r>
                          </w:p>
                        </w:tc>
                        <w:tc>
                          <w:tcPr>
                            <w:tcW w:w="965" w:type="dxa"/>
                            <w:shd w:val="clear" w:color="auto" w:fill="auto"/>
                            <w:noWrap/>
                            <w:vAlign w:val="center"/>
                            <w:hideMark/>
                          </w:tcPr>
                          <w:p w14:paraId="39A10BA0"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52.39</w:t>
                            </w:r>
                          </w:p>
                        </w:tc>
                        <w:tc>
                          <w:tcPr>
                            <w:tcW w:w="966" w:type="dxa"/>
                            <w:shd w:val="clear" w:color="auto" w:fill="auto"/>
                            <w:noWrap/>
                            <w:vAlign w:val="center"/>
                            <w:hideMark/>
                          </w:tcPr>
                          <w:p w14:paraId="7247DD74"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98.80</w:t>
                            </w:r>
                          </w:p>
                        </w:tc>
                      </w:tr>
                      <w:tr w:rsidR="00EB0541" w:rsidRPr="00630974" w14:paraId="7B2FF699" w14:textId="77777777" w:rsidTr="005A6E42">
                        <w:trPr>
                          <w:trHeight w:val="225"/>
                        </w:trPr>
                        <w:tc>
                          <w:tcPr>
                            <w:tcW w:w="849" w:type="dxa"/>
                            <w:shd w:val="clear" w:color="auto" w:fill="auto"/>
                            <w:noWrap/>
                            <w:vAlign w:val="center"/>
                            <w:hideMark/>
                          </w:tcPr>
                          <w:p w14:paraId="1EC474A7"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w:t>
                            </w:r>
                          </w:p>
                        </w:tc>
                        <w:tc>
                          <w:tcPr>
                            <w:tcW w:w="783" w:type="dxa"/>
                            <w:shd w:val="clear" w:color="auto" w:fill="auto"/>
                            <w:noWrap/>
                            <w:vAlign w:val="center"/>
                            <w:hideMark/>
                          </w:tcPr>
                          <w:p w14:paraId="71BBEE8D"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17.10</w:t>
                            </w:r>
                          </w:p>
                        </w:tc>
                        <w:tc>
                          <w:tcPr>
                            <w:tcW w:w="965" w:type="dxa"/>
                            <w:shd w:val="clear" w:color="auto" w:fill="auto"/>
                            <w:noWrap/>
                            <w:vAlign w:val="center"/>
                            <w:hideMark/>
                          </w:tcPr>
                          <w:p w14:paraId="51BB86CA"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45.35</w:t>
                            </w:r>
                          </w:p>
                        </w:tc>
                        <w:tc>
                          <w:tcPr>
                            <w:tcW w:w="966" w:type="dxa"/>
                            <w:shd w:val="clear" w:color="auto" w:fill="auto"/>
                            <w:noWrap/>
                            <w:vAlign w:val="center"/>
                            <w:hideMark/>
                          </w:tcPr>
                          <w:p w14:paraId="222EDF0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89.75</w:t>
                            </w:r>
                          </w:p>
                        </w:tc>
                      </w:tr>
                      <w:tr w:rsidR="00EB0541" w:rsidRPr="00630974" w14:paraId="72A0A189" w14:textId="77777777" w:rsidTr="005A6E42">
                        <w:trPr>
                          <w:trHeight w:val="225"/>
                        </w:trPr>
                        <w:tc>
                          <w:tcPr>
                            <w:tcW w:w="849" w:type="dxa"/>
                            <w:shd w:val="clear" w:color="auto" w:fill="auto"/>
                            <w:noWrap/>
                            <w:vAlign w:val="center"/>
                            <w:hideMark/>
                          </w:tcPr>
                          <w:p w14:paraId="7A14359A"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6</w:t>
                            </w:r>
                          </w:p>
                        </w:tc>
                        <w:tc>
                          <w:tcPr>
                            <w:tcW w:w="783" w:type="dxa"/>
                            <w:shd w:val="clear" w:color="auto" w:fill="auto"/>
                            <w:noWrap/>
                            <w:vAlign w:val="center"/>
                            <w:hideMark/>
                          </w:tcPr>
                          <w:p w14:paraId="7459560B"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15.78</w:t>
                            </w:r>
                          </w:p>
                        </w:tc>
                        <w:tc>
                          <w:tcPr>
                            <w:tcW w:w="965" w:type="dxa"/>
                            <w:shd w:val="clear" w:color="auto" w:fill="auto"/>
                            <w:noWrap/>
                            <w:vAlign w:val="center"/>
                            <w:hideMark/>
                          </w:tcPr>
                          <w:p w14:paraId="2246E300"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42.02</w:t>
                            </w:r>
                          </w:p>
                        </w:tc>
                        <w:tc>
                          <w:tcPr>
                            <w:tcW w:w="966" w:type="dxa"/>
                            <w:shd w:val="clear" w:color="auto" w:fill="auto"/>
                            <w:noWrap/>
                            <w:vAlign w:val="center"/>
                            <w:hideMark/>
                          </w:tcPr>
                          <w:p w14:paraId="147F4C59"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84.39</w:t>
                            </w:r>
                          </w:p>
                        </w:tc>
                      </w:tr>
                      <w:tr w:rsidR="00EB0541" w:rsidRPr="00630974" w14:paraId="1C12E42E" w14:textId="77777777" w:rsidTr="005A6E42">
                        <w:trPr>
                          <w:trHeight w:val="225"/>
                        </w:trPr>
                        <w:tc>
                          <w:tcPr>
                            <w:tcW w:w="849" w:type="dxa"/>
                            <w:shd w:val="clear" w:color="auto" w:fill="auto"/>
                            <w:noWrap/>
                            <w:vAlign w:val="center"/>
                            <w:hideMark/>
                          </w:tcPr>
                          <w:p w14:paraId="1761EF3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7</w:t>
                            </w:r>
                          </w:p>
                        </w:tc>
                        <w:tc>
                          <w:tcPr>
                            <w:tcW w:w="783" w:type="dxa"/>
                            <w:shd w:val="clear" w:color="auto" w:fill="auto"/>
                            <w:noWrap/>
                            <w:vAlign w:val="center"/>
                            <w:hideMark/>
                          </w:tcPr>
                          <w:p w14:paraId="2323FBB6"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15.57</w:t>
                            </w:r>
                          </w:p>
                        </w:tc>
                        <w:tc>
                          <w:tcPr>
                            <w:tcW w:w="965" w:type="dxa"/>
                            <w:shd w:val="clear" w:color="auto" w:fill="auto"/>
                            <w:noWrap/>
                            <w:vAlign w:val="center"/>
                            <w:hideMark/>
                          </w:tcPr>
                          <w:p w14:paraId="367C34F5"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40.79</w:t>
                            </w:r>
                          </w:p>
                        </w:tc>
                        <w:tc>
                          <w:tcPr>
                            <w:tcW w:w="966" w:type="dxa"/>
                            <w:shd w:val="clear" w:color="auto" w:fill="auto"/>
                            <w:noWrap/>
                            <w:vAlign w:val="center"/>
                            <w:hideMark/>
                          </w:tcPr>
                          <w:p w14:paraId="56086B8D"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82.16</w:t>
                            </w:r>
                          </w:p>
                        </w:tc>
                      </w:tr>
                      <w:tr w:rsidR="00EB0541" w:rsidRPr="00630974" w14:paraId="27C3BE0F" w14:textId="77777777" w:rsidTr="005A6E42">
                        <w:trPr>
                          <w:trHeight w:val="225"/>
                        </w:trPr>
                        <w:tc>
                          <w:tcPr>
                            <w:tcW w:w="849" w:type="dxa"/>
                            <w:shd w:val="clear" w:color="auto" w:fill="auto"/>
                            <w:noWrap/>
                            <w:vAlign w:val="center"/>
                            <w:hideMark/>
                          </w:tcPr>
                          <w:p w14:paraId="1BC87807"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10</w:t>
                            </w:r>
                          </w:p>
                        </w:tc>
                        <w:tc>
                          <w:tcPr>
                            <w:tcW w:w="783" w:type="dxa"/>
                            <w:shd w:val="clear" w:color="auto" w:fill="auto"/>
                            <w:noWrap/>
                            <w:vAlign w:val="center"/>
                            <w:hideMark/>
                          </w:tcPr>
                          <w:p w14:paraId="74B16AA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14.51</w:t>
                            </w:r>
                          </w:p>
                        </w:tc>
                        <w:tc>
                          <w:tcPr>
                            <w:tcW w:w="965" w:type="dxa"/>
                            <w:shd w:val="clear" w:color="auto" w:fill="auto"/>
                            <w:noWrap/>
                            <w:vAlign w:val="center"/>
                            <w:hideMark/>
                          </w:tcPr>
                          <w:p w14:paraId="55564949"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36.71</w:t>
                            </w:r>
                          </w:p>
                        </w:tc>
                        <w:tc>
                          <w:tcPr>
                            <w:tcW w:w="966" w:type="dxa"/>
                            <w:shd w:val="clear" w:color="auto" w:fill="auto"/>
                            <w:noWrap/>
                            <w:vAlign w:val="center"/>
                            <w:hideMark/>
                          </w:tcPr>
                          <w:p w14:paraId="6A4658A6"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75.05</w:t>
                            </w:r>
                          </w:p>
                        </w:tc>
                      </w:tr>
                      <w:tr w:rsidR="00EB0541" w:rsidRPr="00630974" w14:paraId="56049B62" w14:textId="77777777" w:rsidTr="005A6E42">
                        <w:trPr>
                          <w:trHeight w:val="225"/>
                        </w:trPr>
                        <w:tc>
                          <w:tcPr>
                            <w:tcW w:w="849" w:type="dxa"/>
                            <w:shd w:val="clear" w:color="auto" w:fill="auto"/>
                            <w:noWrap/>
                            <w:vAlign w:val="center"/>
                            <w:hideMark/>
                          </w:tcPr>
                          <w:p w14:paraId="1B5F128E"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14</w:t>
                            </w:r>
                          </w:p>
                        </w:tc>
                        <w:tc>
                          <w:tcPr>
                            <w:tcW w:w="783" w:type="dxa"/>
                            <w:shd w:val="clear" w:color="auto" w:fill="auto"/>
                            <w:noWrap/>
                            <w:vAlign w:val="center"/>
                            <w:hideMark/>
                          </w:tcPr>
                          <w:p w14:paraId="2957818B"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13.97</w:t>
                            </w:r>
                          </w:p>
                        </w:tc>
                        <w:tc>
                          <w:tcPr>
                            <w:tcW w:w="965" w:type="dxa"/>
                            <w:shd w:val="clear" w:color="auto" w:fill="auto"/>
                            <w:noWrap/>
                            <w:vAlign w:val="center"/>
                            <w:hideMark/>
                          </w:tcPr>
                          <w:p w14:paraId="1D116E91"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32.13</w:t>
                            </w:r>
                          </w:p>
                        </w:tc>
                        <w:tc>
                          <w:tcPr>
                            <w:tcW w:w="966" w:type="dxa"/>
                            <w:shd w:val="clear" w:color="auto" w:fill="auto"/>
                            <w:noWrap/>
                            <w:vAlign w:val="center"/>
                            <w:hideMark/>
                          </w:tcPr>
                          <w:p w14:paraId="40CB6593"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66.44</w:t>
                            </w:r>
                          </w:p>
                        </w:tc>
                      </w:tr>
                      <w:tr w:rsidR="00EB0541" w:rsidRPr="00630974" w14:paraId="7FDCC2FC" w14:textId="77777777" w:rsidTr="005A6E42">
                        <w:trPr>
                          <w:trHeight w:val="225"/>
                        </w:trPr>
                        <w:tc>
                          <w:tcPr>
                            <w:tcW w:w="849" w:type="dxa"/>
                            <w:shd w:val="clear" w:color="auto" w:fill="auto"/>
                            <w:noWrap/>
                            <w:vAlign w:val="center"/>
                            <w:hideMark/>
                          </w:tcPr>
                          <w:p w14:paraId="09C9D66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16</w:t>
                            </w:r>
                          </w:p>
                        </w:tc>
                        <w:tc>
                          <w:tcPr>
                            <w:tcW w:w="783" w:type="dxa"/>
                            <w:shd w:val="clear" w:color="auto" w:fill="auto"/>
                            <w:noWrap/>
                            <w:vAlign w:val="center"/>
                            <w:hideMark/>
                          </w:tcPr>
                          <w:p w14:paraId="1F339C37"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5" w:type="dxa"/>
                            <w:shd w:val="clear" w:color="auto" w:fill="auto"/>
                            <w:noWrap/>
                            <w:vAlign w:val="center"/>
                            <w:hideMark/>
                          </w:tcPr>
                          <w:p w14:paraId="19FCBF8D"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29.88</w:t>
                            </w:r>
                          </w:p>
                        </w:tc>
                        <w:tc>
                          <w:tcPr>
                            <w:tcW w:w="966" w:type="dxa"/>
                            <w:shd w:val="clear" w:color="auto" w:fill="auto"/>
                            <w:noWrap/>
                            <w:vAlign w:val="center"/>
                            <w:hideMark/>
                          </w:tcPr>
                          <w:p w14:paraId="104D4856"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62.17</w:t>
                            </w:r>
                          </w:p>
                        </w:tc>
                      </w:tr>
                      <w:tr w:rsidR="00EB0541" w:rsidRPr="00630974" w14:paraId="23E9B730" w14:textId="77777777" w:rsidTr="005A6E42">
                        <w:trPr>
                          <w:trHeight w:val="225"/>
                        </w:trPr>
                        <w:tc>
                          <w:tcPr>
                            <w:tcW w:w="3565" w:type="dxa"/>
                            <w:gridSpan w:val="4"/>
                            <w:shd w:val="clear" w:color="auto" w:fill="auto"/>
                            <w:noWrap/>
                            <w:vAlign w:val="center"/>
                          </w:tcPr>
                          <w:p w14:paraId="53314325" w14:textId="77777777" w:rsidR="00EB0541" w:rsidRPr="005A6E42" w:rsidRDefault="00EB0541" w:rsidP="00630974">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w:t>
                            </w:r>
                          </w:p>
                        </w:tc>
                      </w:tr>
                      <w:tr w:rsidR="00EB0541" w:rsidRPr="00630974" w14:paraId="48CA5E06" w14:textId="77777777" w:rsidTr="005A6E42">
                        <w:trPr>
                          <w:trHeight w:val="225"/>
                        </w:trPr>
                        <w:tc>
                          <w:tcPr>
                            <w:tcW w:w="849" w:type="dxa"/>
                            <w:shd w:val="clear" w:color="auto" w:fill="auto"/>
                            <w:noWrap/>
                            <w:vAlign w:val="center"/>
                            <w:hideMark/>
                          </w:tcPr>
                          <w:p w14:paraId="5825709F"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32</w:t>
                            </w:r>
                          </w:p>
                        </w:tc>
                        <w:tc>
                          <w:tcPr>
                            <w:tcW w:w="783" w:type="dxa"/>
                            <w:shd w:val="clear" w:color="auto" w:fill="auto"/>
                            <w:noWrap/>
                            <w:vAlign w:val="center"/>
                            <w:hideMark/>
                          </w:tcPr>
                          <w:p w14:paraId="2F5E68D7"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5" w:type="dxa"/>
                            <w:shd w:val="clear" w:color="auto" w:fill="auto"/>
                            <w:noWrap/>
                            <w:vAlign w:val="center"/>
                            <w:hideMark/>
                          </w:tcPr>
                          <w:p w14:paraId="53E8DB38"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6" w:type="dxa"/>
                            <w:shd w:val="clear" w:color="auto" w:fill="auto"/>
                            <w:noWrap/>
                            <w:vAlign w:val="center"/>
                            <w:hideMark/>
                          </w:tcPr>
                          <w:p w14:paraId="272EC864"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29.88</w:t>
                            </w:r>
                          </w:p>
                        </w:tc>
                      </w:tr>
                      <w:tr w:rsidR="00EB0541" w:rsidRPr="00630974" w14:paraId="290CE88B" w14:textId="77777777" w:rsidTr="005A6E42">
                        <w:trPr>
                          <w:trHeight w:val="225"/>
                        </w:trPr>
                        <w:tc>
                          <w:tcPr>
                            <w:tcW w:w="3565" w:type="dxa"/>
                            <w:gridSpan w:val="4"/>
                            <w:shd w:val="clear" w:color="auto" w:fill="auto"/>
                            <w:noWrap/>
                            <w:vAlign w:val="center"/>
                          </w:tcPr>
                          <w:p w14:paraId="1685E0C7" w14:textId="77777777" w:rsidR="00EB0541" w:rsidRPr="005A6E42" w:rsidRDefault="00EB0541" w:rsidP="00630974">
                            <w:pPr>
                              <w:spacing w:after="0" w:line="240" w:lineRule="auto"/>
                              <w:jc w:val="center"/>
                              <w:rPr>
                                <w:rFonts w:ascii="Calibri" w:eastAsia="Times New Roman" w:hAnsi="Calibri" w:cs="Calibri"/>
                                <w:color w:val="000000"/>
                                <w:sz w:val="18"/>
                              </w:rPr>
                            </w:pPr>
                            <w:r w:rsidRPr="005A6E42">
                              <w:rPr>
                                <w:rFonts w:ascii="Calibri" w:eastAsia="Times New Roman" w:hAnsi="Calibri" w:cs="Calibri"/>
                                <w:color w:val="000000"/>
                                <w:sz w:val="18"/>
                              </w:rPr>
                              <w:t>…</w:t>
                            </w:r>
                          </w:p>
                        </w:tc>
                      </w:tr>
                      <w:tr w:rsidR="00EB0541" w:rsidRPr="00630974" w14:paraId="5B43D7B4" w14:textId="77777777" w:rsidTr="005A6E42">
                        <w:trPr>
                          <w:trHeight w:val="225"/>
                        </w:trPr>
                        <w:tc>
                          <w:tcPr>
                            <w:tcW w:w="849" w:type="dxa"/>
                            <w:shd w:val="clear" w:color="auto" w:fill="auto"/>
                            <w:noWrap/>
                            <w:vAlign w:val="center"/>
                            <w:hideMark/>
                          </w:tcPr>
                          <w:p w14:paraId="6F41E373"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48</w:t>
                            </w:r>
                          </w:p>
                        </w:tc>
                        <w:tc>
                          <w:tcPr>
                            <w:tcW w:w="783" w:type="dxa"/>
                            <w:shd w:val="clear" w:color="auto" w:fill="auto"/>
                            <w:noWrap/>
                            <w:vAlign w:val="center"/>
                            <w:hideMark/>
                          </w:tcPr>
                          <w:p w14:paraId="4DBFB381"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5" w:type="dxa"/>
                            <w:shd w:val="clear" w:color="auto" w:fill="auto"/>
                            <w:noWrap/>
                            <w:vAlign w:val="center"/>
                            <w:hideMark/>
                          </w:tcPr>
                          <w:p w14:paraId="4E563819"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c>
                          <w:tcPr>
                            <w:tcW w:w="966" w:type="dxa"/>
                            <w:shd w:val="clear" w:color="auto" w:fill="auto"/>
                            <w:noWrap/>
                            <w:vAlign w:val="center"/>
                            <w:hideMark/>
                          </w:tcPr>
                          <w:p w14:paraId="5CB307EC" w14:textId="77777777" w:rsidR="00EB0541" w:rsidRPr="005A6E42" w:rsidRDefault="00EB0541" w:rsidP="00630974">
                            <w:pPr>
                              <w:spacing w:after="0" w:line="240" w:lineRule="auto"/>
                              <w:jc w:val="right"/>
                              <w:rPr>
                                <w:rFonts w:ascii="Calibri" w:eastAsia="Times New Roman" w:hAnsi="Calibri" w:cs="Calibri"/>
                                <w:color w:val="000000"/>
                                <w:sz w:val="18"/>
                              </w:rPr>
                            </w:pPr>
                            <w:r w:rsidRPr="005A6E42">
                              <w:rPr>
                                <w:rFonts w:ascii="Calibri" w:eastAsia="Times New Roman" w:hAnsi="Calibri" w:cs="Calibri"/>
                                <w:color w:val="000000"/>
                                <w:sz w:val="18"/>
                              </w:rPr>
                              <w:t>13.74</w:t>
                            </w:r>
                          </w:p>
                        </w:tc>
                      </w:tr>
                    </w:tbl>
                    <w:p w14:paraId="54B6EE9A" w14:textId="77777777" w:rsidR="00EB0541" w:rsidRDefault="00EB0541" w:rsidP="00671563"/>
                  </w:txbxContent>
                </v:textbox>
              </v:shape>
            </w:pict>
          </mc:Fallback>
        </mc:AlternateContent>
      </w:r>
    </w:p>
    <w:p w14:paraId="250081C9" w14:textId="77777777" w:rsidR="00671563" w:rsidRPr="00D93D2D" w:rsidRDefault="00671563" w:rsidP="00671563">
      <w:pPr>
        <w:tabs>
          <w:tab w:val="left" w:pos="2430"/>
        </w:tabs>
        <w:spacing w:after="0"/>
        <w:jc w:val="both"/>
        <w:rPr>
          <w:rFonts w:cstheme="minorHAnsi"/>
          <w:b/>
          <w:sz w:val="20"/>
        </w:rPr>
      </w:pPr>
    </w:p>
    <w:p w14:paraId="0578B364" w14:textId="77777777" w:rsidR="00671563" w:rsidRPr="00D93D2D" w:rsidRDefault="00671563" w:rsidP="00671563">
      <w:pPr>
        <w:tabs>
          <w:tab w:val="left" w:pos="2430"/>
        </w:tabs>
        <w:spacing w:after="0"/>
        <w:jc w:val="both"/>
        <w:rPr>
          <w:rFonts w:cstheme="minorHAnsi"/>
          <w:b/>
          <w:sz w:val="20"/>
        </w:rPr>
      </w:pPr>
    </w:p>
    <w:p w14:paraId="06CEFB1D" w14:textId="77777777" w:rsidR="00671563" w:rsidRPr="00D93D2D" w:rsidRDefault="00671563" w:rsidP="00671563">
      <w:pPr>
        <w:tabs>
          <w:tab w:val="left" w:pos="2430"/>
        </w:tabs>
        <w:spacing w:after="0"/>
        <w:jc w:val="both"/>
        <w:rPr>
          <w:rFonts w:cstheme="minorHAnsi"/>
          <w:b/>
          <w:sz w:val="20"/>
        </w:rPr>
      </w:pPr>
    </w:p>
    <w:p w14:paraId="2612980C" w14:textId="2150049C" w:rsidR="00671563" w:rsidRPr="00D93D2D" w:rsidRDefault="00671563" w:rsidP="00671563">
      <w:pPr>
        <w:tabs>
          <w:tab w:val="left" w:pos="2430"/>
        </w:tabs>
        <w:spacing w:after="0"/>
        <w:jc w:val="both"/>
        <w:rPr>
          <w:rFonts w:cstheme="minorHAnsi"/>
        </w:rPr>
      </w:pPr>
      <w:r w:rsidRPr="00D93D2D">
        <w:rPr>
          <w:rFonts w:cstheme="minorHAnsi"/>
          <w:b/>
        </w:rPr>
        <w:t>Table S2.</w:t>
      </w:r>
      <w:r w:rsidRPr="00D93D2D">
        <w:rPr>
          <w:rFonts w:cstheme="minorHAnsi"/>
        </w:rPr>
        <w:t xml:space="preserve"> Index per-test unit cost of Xpert by varied workloads and used of GeneXpert platform (Omni</w:t>
      </w:r>
      <w:r w:rsidR="008636F3" w:rsidRPr="00D93D2D">
        <w:rPr>
          <w:rFonts w:cstheme="minorHAnsi"/>
        </w:rPr>
        <w:t>/Edge</w:t>
      </w:r>
      <w:r w:rsidRPr="00D93D2D">
        <w:rPr>
          <w:rFonts w:cstheme="minorHAnsi"/>
        </w:rPr>
        <w:t xml:space="preserve"> vs. GX4)</w:t>
      </w:r>
    </w:p>
    <w:p w14:paraId="5C9E78C8" w14:textId="468C6C71" w:rsidR="00E9532B" w:rsidRPr="00D93D2D" w:rsidRDefault="00E9532B" w:rsidP="00671563">
      <w:pPr>
        <w:tabs>
          <w:tab w:val="left" w:pos="2430"/>
        </w:tabs>
        <w:spacing w:after="0"/>
        <w:jc w:val="both"/>
        <w:rPr>
          <w:rFonts w:cstheme="minorHAnsi"/>
        </w:rPr>
      </w:pPr>
    </w:p>
    <w:p w14:paraId="14291873" w14:textId="77777777" w:rsidR="00E9532B" w:rsidRPr="00D93D2D" w:rsidRDefault="00E9532B" w:rsidP="00671563">
      <w:pPr>
        <w:tabs>
          <w:tab w:val="left" w:pos="2430"/>
        </w:tabs>
        <w:spacing w:after="0"/>
        <w:jc w:val="both"/>
        <w:rPr>
          <w:rFonts w:cstheme="minorHAnsi"/>
        </w:rPr>
      </w:pPr>
    </w:p>
    <w:p w14:paraId="0EE72539" w14:textId="34E1355A" w:rsidR="00E9532B" w:rsidRPr="00D93D2D" w:rsidRDefault="00E9532B" w:rsidP="00671563">
      <w:pPr>
        <w:tabs>
          <w:tab w:val="left" w:pos="2430"/>
        </w:tabs>
        <w:spacing w:after="0"/>
        <w:jc w:val="both"/>
        <w:rPr>
          <w:rFonts w:cstheme="minorHAnsi"/>
        </w:rPr>
      </w:pPr>
    </w:p>
    <w:p w14:paraId="49B6C462" w14:textId="1F1367C9" w:rsidR="00671563" w:rsidRPr="00D93D2D" w:rsidRDefault="00671563">
      <w:pPr>
        <w:rPr>
          <w:rFonts w:cstheme="minorHAnsi"/>
          <w:b/>
          <w:sz w:val="20"/>
        </w:rPr>
      </w:pPr>
      <w:r w:rsidRPr="00D93D2D">
        <w:rPr>
          <w:rFonts w:cstheme="minorHAnsi"/>
          <w:b/>
          <w:sz w:val="20"/>
        </w:rPr>
        <w:br w:type="page"/>
      </w:r>
    </w:p>
    <w:p w14:paraId="05B8579D" w14:textId="580C8498" w:rsidR="00FD3A2B" w:rsidRPr="00D93D2D" w:rsidRDefault="0073571F" w:rsidP="00084C16">
      <w:pPr>
        <w:pStyle w:val="Heading2"/>
        <w:rPr>
          <w:rFonts w:cstheme="minorHAnsi"/>
        </w:rPr>
      </w:pPr>
      <w:bookmarkStart w:id="3" w:name="_Toc12877757"/>
      <w:r w:rsidRPr="00D93D2D">
        <w:rPr>
          <w:rFonts w:cstheme="minorHAnsi"/>
        </w:rPr>
        <w:lastRenderedPageBreak/>
        <w:t xml:space="preserve">Distribution of </w:t>
      </w:r>
      <w:r w:rsidR="00FD3A2B" w:rsidRPr="00D93D2D">
        <w:rPr>
          <w:rFonts w:cstheme="minorHAnsi"/>
        </w:rPr>
        <w:t xml:space="preserve">daily test volume </w:t>
      </w:r>
      <w:r w:rsidRPr="00D93D2D">
        <w:rPr>
          <w:rFonts w:cstheme="minorHAnsi"/>
        </w:rPr>
        <w:t xml:space="preserve">and calculating </w:t>
      </w:r>
      <w:r w:rsidR="00FD3A2B" w:rsidRPr="00D93D2D">
        <w:rPr>
          <w:rFonts w:cstheme="minorHAnsi"/>
        </w:rPr>
        <w:t>mean per-test cost</w:t>
      </w:r>
      <w:bookmarkEnd w:id="3"/>
      <w:r w:rsidR="00FD3A2B" w:rsidRPr="00D93D2D">
        <w:rPr>
          <w:rFonts w:cstheme="minorHAnsi"/>
        </w:rPr>
        <w:t xml:space="preserve"> </w:t>
      </w:r>
    </w:p>
    <w:p w14:paraId="73E6FA77" w14:textId="20ECAB6E" w:rsidR="00913ABC" w:rsidRPr="00D93D2D" w:rsidRDefault="00FD3A2B" w:rsidP="00060BF2">
      <w:pPr>
        <w:tabs>
          <w:tab w:val="left" w:pos="2430"/>
        </w:tabs>
        <w:jc w:val="both"/>
        <w:rPr>
          <w:rFonts w:cstheme="minorHAnsi"/>
        </w:rPr>
        <w:sectPr w:rsidR="00913ABC" w:rsidRPr="00D93D2D" w:rsidSect="009A3C9B">
          <w:footerReference w:type="default" r:id="rId8"/>
          <w:footnotePr>
            <w:numFmt w:val="chicago"/>
          </w:footnotePr>
          <w:pgSz w:w="12240" w:h="15840"/>
          <w:pgMar w:top="1440" w:right="1440" w:bottom="1440" w:left="1440" w:header="720" w:footer="720" w:gutter="0"/>
          <w:cols w:space="720"/>
          <w:docGrid w:linePitch="360"/>
        </w:sectPr>
      </w:pPr>
      <w:r w:rsidRPr="00D93D2D">
        <w:rPr>
          <w:rFonts w:cstheme="minorHAnsi"/>
        </w:rPr>
        <w:t>To assess annual average per-test cost based on dynamic daily test volumes at DTC and DMC laboratories, w</w:t>
      </w:r>
      <w:r w:rsidR="00FF68EA" w:rsidRPr="00D93D2D">
        <w:rPr>
          <w:rFonts w:cstheme="minorHAnsi"/>
        </w:rPr>
        <w:t>e generated a s</w:t>
      </w:r>
      <w:r w:rsidR="00CA0EDD" w:rsidRPr="00D93D2D">
        <w:rPr>
          <w:rFonts w:cstheme="minorHAnsi"/>
        </w:rPr>
        <w:t>et of 250 unique random numbers</w:t>
      </w:r>
      <w:r w:rsidR="00BC68C5" w:rsidRPr="00D93D2D">
        <w:rPr>
          <w:rFonts w:cstheme="minorHAnsi"/>
        </w:rPr>
        <w:t xml:space="preserve"> (representing 1 year of laboratory operations)</w:t>
      </w:r>
      <w:r w:rsidR="00CA0EDD" w:rsidRPr="00D93D2D">
        <w:rPr>
          <w:rFonts w:cstheme="minorHAnsi"/>
        </w:rPr>
        <w:t xml:space="preserve"> for each laboratory representing average daily workload (</w:t>
      </w:r>
      <w:r w:rsidR="00BC68C5" w:rsidRPr="00D93D2D">
        <w:rPr>
          <w:rFonts w:cstheme="minorHAnsi"/>
        </w:rPr>
        <w:t xml:space="preserve">λ = </w:t>
      </w:r>
      <w:r w:rsidR="00CA0EDD" w:rsidRPr="00D93D2D">
        <w:rPr>
          <w:rFonts w:cstheme="minorHAnsi"/>
        </w:rPr>
        <w:t xml:space="preserve">lambda) using </w:t>
      </w:r>
      <w:r w:rsidR="00BE6C6C" w:rsidRPr="00D93D2D">
        <w:rPr>
          <w:rFonts w:cstheme="minorHAnsi"/>
        </w:rPr>
        <w:t>a</w:t>
      </w:r>
      <w:r w:rsidR="00CA0EDD" w:rsidRPr="00D93D2D">
        <w:rPr>
          <w:rFonts w:cstheme="minorHAnsi"/>
        </w:rPr>
        <w:t xml:space="preserve"> Poisson distribution. </w:t>
      </w:r>
      <w:r w:rsidR="00BC68C5" w:rsidRPr="00D93D2D">
        <w:rPr>
          <w:rFonts w:cstheme="minorHAnsi"/>
        </w:rPr>
        <w:t>In our modeling work, we evaluated scenarios of λ ranging between 0.1 to 10 for DMC and between 10 and 70 for DTC where each λ scenario represent</w:t>
      </w:r>
      <w:r w:rsidR="00BE6C6C" w:rsidRPr="00D93D2D">
        <w:rPr>
          <w:rFonts w:cstheme="minorHAnsi"/>
        </w:rPr>
        <w:t>s</w:t>
      </w:r>
      <w:r w:rsidR="00BC68C5" w:rsidRPr="00D93D2D">
        <w:rPr>
          <w:rFonts w:cstheme="minorHAnsi"/>
        </w:rPr>
        <w:t xml:space="preserve"> a unique laboratory. </w:t>
      </w:r>
      <w:r w:rsidR="00716E67" w:rsidRPr="00D93D2D">
        <w:rPr>
          <w:rFonts w:cstheme="minorHAnsi"/>
        </w:rPr>
        <w:t xml:space="preserve">Based on the distribution of the daily workloads, we then calculated </w:t>
      </w:r>
      <w:r w:rsidR="00BE6C6C" w:rsidRPr="00D93D2D">
        <w:rPr>
          <w:rFonts w:cstheme="minorHAnsi"/>
        </w:rPr>
        <w:t xml:space="preserve">the </w:t>
      </w:r>
      <w:r w:rsidR="00716E67" w:rsidRPr="00D93D2D">
        <w:rPr>
          <w:rFonts w:cstheme="minorHAnsi"/>
        </w:rPr>
        <w:t>number of GeneXpert platform (Omni</w:t>
      </w:r>
      <w:r w:rsidR="00BE6C6C" w:rsidRPr="00D93D2D">
        <w:rPr>
          <w:rFonts w:cstheme="minorHAnsi"/>
        </w:rPr>
        <w:t>/Edge</w:t>
      </w:r>
      <w:r w:rsidR="00716E67" w:rsidRPr="00D93D2D">
        <w:rPr>
          <w:rFonts w:cstheme="minorHAnsi"/>
        </w:rPr>
        <w:t xml:space="preserve"> or GX4) modules required to ensure 90% same-day (</w:t>
      </w:r>
      <w:r w:rsidR="00BE6C6C" w:rsidRPr="00D93D2D">
        <w:rPr>
          <w:rFonts w:cstheme="minorHAnsi"/>
        </w:rPr>
        <w:t>decentralized</w:t>
      </w:r>
      <w:r w:rsidR="00716E67" w:rsidRPr="00D93D2D">
        <w:rPr>
          <w:rFonts w:cstheme="minorHAnsi"/>
        </w:rPr>
        <w:t>) and two-day (</w:t>
      </w:r>
      <w:r w:rsidR="00BE6C6C" w:rsidRPr="00D93D2D">
        <w:rPr>
          <w:rFonts w:cstheme="minorHAnsi"/>
        </w:rPr>
        <w:t>centralized</w:t>
      </w:r>
      <w:r w:rsidR="00716E67" w:rsidRPr="00D93D2D">
        <w:rPr>
          <w:rFonts w:cstheme="minorHAnsi"/>
        </w:rPr>
        <w:t xml:space="preserve">) turn-around. </w:t>
      </w:r>
      <w:r w:rsidR="00BC68C5" w:rsidRPr="00D93D2D">
        <w:rPr>
          <w:rFonts w:cstheme="minorHAnsi"/>
        </w:rPr>
        <w:t>Then, f</w:t>
      </w:r>
      <w:r w:rsidR="00716E67" w:rsidRPr="00D93D2D">
        <w:rPr>
          <w:rFonts w:cstheme="minorHAnsi"/>
        </w:rPr>
        <w:t xml:space="preserve">or each random number (representing number of patient samples tested for a given day), </w:t>
      </w:r>
      <w:r w:rsidRPr="00D93D2D">
        <w:rPr>
          <w:rFonts w:cstheme="minorHAnsi"/>
        </w:rPr>
        <w:t xml:space="preserve">we assigned </w:t>
      </w:r>
      <w:r w:rsidR="00BE6C6C" w:rsidRPr="00D93D2D">
        <w:rPr>
          <w:rFonts w:cstheme="minorHAnsi"/>
        </w:rPr>
        <w:t>the corresponding</w:t>
      </w:r>
      <w:r w:rsidR="00716E67" w:rsidRPr="00D93D2D">
        <w:rPr>
          <w:rFonts w:cstheme="minorHAnsi"/>
        </w:rPr>
        <w:t xml:space="preserve"> </w:t>
      </w:r>
      <w:r w:rsidR="00CA0EDD" w:rsidRPr="00D93D2D">
        <w:rPr>
          <w:rFonts w:cstheme="minorHAnsi"/>
        </w:rPr>
        <w:t xml:space="preserve">index per-test cost </w:t>
      </w:r>
      <w:r w:rsidR="00716E67" w:rsidRPr="00D93D2D">
        <w:rPr>
          <w:rFonts w:cstheme="minorHAnsi"/>
        </w:rPr>
        <w:t xml:space="preserve">of Xpert </w:t>
      </w:r>
      <w:r w:rsidR="00BC68C5" w:rsidRPr="00D93D2D">
        <w:rPr>
          <w:rFonts w:cstheme="minorHAnsi"/>
        </w:rPr>
        <w:t xml:space="preserve">referenced from Table </w:t>
      </w:r>
      <w:r w:rsidR="009143E9" w:rsidRPr="00D93D2D">
        <w:rPr>
          <w:rFonts w:cstheme="minorHAnsi"/>
        </w:rPr>
        <w:t>S</w:t>
      </w:r>
      <w:r w:rsidR="00BC68C5" w:rsidRPr="00D93D2D">
        <w:rPr>
          <w:rFonts w:cstheme="minorHAnsi"/>
        </w:rPr>
        <w:t xml:space="preserve">1 </w:t>
      </w:r>
      <w:r w:rsidR="00CA0EDD" w:rsidRPr="00D93D2D">
        <w:rPr>
          <w:rFonts w:cstheme="minorHAnsi"/>
        </w:rPr>
        <w:t xml:space="preserve">(for example, if a random number generated was 4, we assigned index </w:t>
      </w:r>
      <w:r w:rsidR="00BE6C6C" w:rsidRPr="00D93D2D">
        <w:rPr>
          <w:rFonts w:cstheme="minorHAnsi"/>
        </w:rPr>
        <w:t xml:space="preserve">a </w:t>
      </w:r>
      <w:r w:rsidR="00CA0EDD" w:rsidRPr="00D93D2D">
        <w:rPr>
          <w:rFonts w:cstheme="minorHAnsi"/>
        </w:rPr>
        <w:t>per-test unit cost that represe</w:t>
      </w:r>
      <w:r w:rsidR="00716E67" w:rsidRPr="00D93D2D">
        <w:rPr>
          <w:rFonts w:cstheme="minorHAnsi"/>
        </w:rPr>
        <w:t xml:space="preserve">nted </w:t>
      </w:r>
      <w:r w:rsidR="00BE6C6C" w:rsidRPr="00D93D2D">
        <w:rPr>
          <w:rFonts w:cstheme="minorHAnsi"/>
        </w:rPr>
        <w:t>a mean</w:t>
      </w:r>
      <w:r w:rsidR="00716E67" w:rsidRPr="00D93D2D">
        <w:rPr>
          <w:rFonts w:cstheme="minorHAnsi"/>
        </w:rPr>
        <w:t xml:space="preserve"> workload of 4 test</w:t>
      </w:r>
      <w:r w:rsidR="00BE6C6C" w:rsidRPr="00D93D2D">
        <w:rPr>
          <w:rFonts w:cstheme="minorHAnsi"/>
        </w:rPr>
        <w:t>s</w:t>
      </w:r>
      <w:r w:rsidR="00BC68C5" w:rsidRPr="00D93D2D">
        <w:rPr>
          <w:rFonts w:cstheme="minorHAnsi"/>
        </w:rPr>
        <w:t xml:space="preserve"> for</w:t>
      </w:r>
      <w:r w:rsidR="00BE6C6C" w:rsidRPr="00D93D2D">
        <w:rPr>
          <w:rFonts w:cstheme="minorHAnsi"/>
        </w:rPr>
        <w:t xml:space="preserve"> decentralized or centralized testing in that simulated facility</w:t>
      </w:r>
      <w:r w:rsidR="00CA0EDD" w:rsidRPr="00D93D2D">
        <w:rPr>
          <w:rFonts w:cstheme="minorHAnsi"/>
        </w:rPr>
        <w:t xml:space="preserve">). </w:t>
      </w:r>
      <w:r w:rsidR="004754A5" w:rsidRPr="00D93D2D">
        <w:rPr>
          <w:rFonts w:cstheme="minorHAnsi"/>
        </w:rPr>
        <w:t xml:space="preserve">Average per-test cost for each laboratory was calculated based on the total cost </w:t>
      </w:r>
      <w:r w:rsidR="00BC68C5" w:rsidRPr="00D93D2D">
        <w:rPr>
          <w:rFonts w:cstheme="minorHAnsi"/>
        </w:rPr>
        <w:t>(inclusive of annual external quality control – EQA with 3 panel testing and shipping cost of the panels)</w:t>
      </w:r>
      <w:r w:rsidR="00BC68C5" w:rsidRPr="00D93D2D">
        <w:rPr>
          <w:rStyle w:val="FootnoteReference"/>
          <w:rFonts w:cstheme="minorHAnsi"/>
          <w:sz w:val="20"/>
        </w:rPr>
        <w:footnoteReference w:id="1"/>
      </w:r>
      <w:r w:rsidR="00BC68C5" w:rsidRPr="00D93D2D">
        <w:rPr>
          <w:rFonts w:cstheme="minorHAnsi"/>
        </w:rPr>
        <w:t xml:space="preserve"> </w:t>
      </w:r>
      <w:r w:rsidR="004754A5" w:rsidRPr="00D93D2D">
        <w:rPr>
          <w:rFonts w:cstheme="minorHAnsi"/>
        </w:rPr>
        <w:t>divided by the total number of test</w:t>
      </w:r>
      <w:r w:rsidR="00BE6C6C" w:rsidRPr="00D93D2D">
        <w:rPr>
          <w:rFonts w:cstheme="minorHAnsi"/>
        </w:rPr>
        <w:t>s</w:t>
      </w:r>
      <w:r w:rsidR="004754A5" w:rsidRPr="00D93D2D">
        <w:rPr>
          <w:rFonts w:cstheme="minorHAnsi"/>
        </w:rPr>
        <w:t xml:space="preserve"> performed in the set of 250 inde</w:t>
      </w:r>
      <w:r w:rsidR="00AD1D98" w:rsidRPr="00D93D2D">
        <w:rPr>
          <w:rFonts w:cstheme="minorHAnsi"/>
        </w:rPr>
        <w:t xml:space="preserve">pendent per-test cost estimates. Full results are shown in Table </w:t>
      </w:r>
      <w:r w:rsidR="009143E9" w:rsidRPr="00D93D2D">
        <w:rPr>
          <w:rFonts w:cstheme="minorHAnsi"/>
        </w:rPr>
        <w:t>S</w:t>
      </w:r>
      <w:r w:rsidR="001E22FE" w:rsidRPr="00D93D2D">
        <w:rPr>
          <w:rFonts w:cstheme="minorHAnsi"/>
        </w:rPr>
        <w:t>3</w:t>
      </w:r>
      <w:r w:rsidR="00AD30E4" w:rsidRPr="00D93D2D">
        <w:rPr>
          <w:rFonts w:cstheme="minorHAnsi"/>
        </w:rPr>
        <w:t xml:space="preserve"> and </w:t>
      </w:r>
      <w:r w:rsidR="009143E9" w:rsidRPr="00D93D2D">
        <w:rPr>
          <w:rFonts w:cstheme="minorHAnsi"/>
        </w:rPr>
        <w:t>S</w:t>
      </w:r>
      <w:r w:rsidR="001E22FE" w:rsidRPr="00D93D2D">
        <w:rPr>
          <w:rFonts w:cstheme="minorHAnsi"/>
        </w:rPr>
        <w:t>4</w:t>
      </w:r>
      <w:r w:rsidR="00AD1D98" w:rsidRPr="00D93D2D">
        <w:rPr>
          <w:rFonts w:cstheme="minorHAnsi"/>
        </w:rPr>
        <w:t xml:space="preserve">. </w:t>
      </w:r>
    </w:p>
    <w:tbl>
      <w:tblPr>
        <w:tblW w:w="12300" w:type="dxa"/>
        <w:tblLook w:val="04A0" w:firstRow="1" w:lastRow="0" w:firstColumn="1" w:lastColumn="0" w:noHBand="0" w:noVBand="1"/>
      </w:tblPr>
      <w:tblGrid>
        <w:gridCol w:w="2048"/>
        <w:gridCol w:w="739"/>
        <w:gridCol w:w="662"/>
        <w:gridCol w:w="682"/>
        <w:gridCol w:w="682"/>
        <w:gridCol w:w="682"/>
        <w:gridCol w:w="682"/>
        <w:gridCol w:w="682"/>
        <w:gridCol w:w="743"/>
        <w:gridCol w:w="743"/>
        <w:gridCol w:w="743"/>
        <w:gridCol w:w="743"/>
        <w:gridCol w:w="743"/>
        <w:gridCol w:w="743"/>
        <w:gridCol w:w="743"/>
        <w:gridCol w:w="743"/>
      </w:tblGrid>
      <w:tr w:rsidR="00CC66B7" w:rsidRPr="00D93D2D" w14:paraId="2D5F7FFB" w14:textId="77777777" w:rsidTr="00CC66B7">
        <w:trPr>
          <w:trHeight w:val="249"/>
        </w:trPr>
        <w:tc>
          <w:tcPr>
            <w:tcW w:w="2048" w:type="dxa"/>
            <w:vMerge w:val="restart"/>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4B46852" w14:textId="77777777" w:rsidR="00CC66B7" w:rsidRPr="00D93D2D" w:rsidRDefault="00CC66B7" w:rsidP="00CC66B7">
            <w:pPr>
              <w:spacing w:after="0" w:line="240" w:lineRule="auto"/>
              <w:jc w:val="center"/>
              <w:rPr>
                <w:rFonts w:eastAsia="Times New Roman" w:cstheme="minorHAnsi"/>
                <w:b/>
                <w:bCs/>
                <w:color w:val="000000"/>
                <w:sz w:val="16"/>
              </w:rPr>
            </w:pPr>
            <w:r w:rsidRPr="00D93D2D">
              <w:rPr>
                <w:rFonts w:eastAsia="Times New Roman" w:cstheme="minorHAnsi"/>
                <w:b/>
                <w:bCs/>
                <w:color w:val="000000"/>
                <w:sz w:val="16"/>
              </w:rPr>
              <w:lastRenderedPageBreak/>
              <w:t>Indicators</w:t>
            </w:r>
          </w:p>
        </w:tc>
        <w:tc>
          <w:tcPr>
            <w:tcW w:w="739" w:type="dxa"/>
            <w:tcBorders>
              <w:top w:val="single" w:sz="4" w:space="0" w:color="auto"/>
              <w:left w:val="nil"/>
              <w:bottom w:val="single" w:sz="4" w:space="0" w:color="auto"/>
              <w:right w:val="single" w:sz="4" w:space="0" w:color="auto"/>
            </w:tcBorders>
            <w:shd w:val="clear" w:color="000000" w:fill="C9C9C9"/>
            <w:noWrap/>
            <w:vAlign w:val="center"/>
            <w:hideMark/>
          </w:tcPr>
          <w:p w14:paraId="5812E5DC"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0.1</w:t>
            </w:r>
          </w:p>
        </w:tc>
        <w:tc>
          <w:tcPr>
            <w:tcW w:w="637" w:type="dxa"/>
            <w:tcBorders>
              <w:top w:val="single" w:sz="4" w:space="0" w:color="auto"/>
              <w:left w:val="nil"/>
              <w:bottom w:val="single" w:sz="4" w:space="0" w:color="auto"/>
              <w:right w:val="single" w:sz="4" w:space="0" w:color="auto"/>
            </w:tcBorders>
            <w:shd w:val="clear" w:color="000000" w:fill="C9C9C9"/>
            <w:noWrap/>
            <w:vAlign w:val="center"/>
            <w:hideMark/>
          </w:tcPr>
          <w:p w14:paraId="6808FB1E"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0.2</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3B9691B4"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0.3</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1A607E22"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0.5</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02D3ACBB"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0.7</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0D963543"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1</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56860F14"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2</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6FFD4489"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3</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623B268A"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4</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12427632"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5</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1ABD0B85"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6</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616FBF5C"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7</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170D28A8"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8</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6EDD6EA6"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9</w:t>
            </w:r>
          </w:p>
        </w:tc>
        <w:tc>
          <w:tcPr>
            <w:tcW w:w="682" w:type="dxa"/>
            <w:tcBorders>
              <w:top w:val="single" w:sz="4" w:space="0" w:color="auto"/>
              <w:left w:val="nil"/>
              <w:bottom w:val="single" w:sz="4" w:space="0" w:color="auto"/>
              <w:right w:val="single" w:sz="4" w:space="0" w:color="auto"/>
            </w:tcBorders>
            <w:shd w:val="clear" w:color="000000" w:fill="C9C9C9"/>
            <w:noWrap/>
            <w:vAlign w:val="center"/>
            <w:hideMark/>
          </w:tcPr>
          <w:p w14:paraId="3FEACA4B"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λ 10</w:t>
            </w:r>
          </w:p>
        </w:tc>
      </w:tr>
      <w:tr w:rsidR="00CC66B7" w:rsidRPr="00D93D2D" w14:paraId="54329BAF" w14:textId="77777777" w:rsidTr="00CC66B7">
        <w:trPr>
          <w:trHeight w:val="251"/>
        </w:trPr>
        <w:tc>
          <w:tcPr>
            <w:tcW w:w="2048" w:type="dxa"/>
            <w:vMerge/>
            <w:tcBorders>
              <w:top w:val="single" w:sz="4" w:space="0" w:color="auto"/>
              <w:left w:val="single" w:sz="4" w:space="0" w:color="auto"/>
              <w:bottom w:val="single" w:sz="4" w:space="0" w:color="auto"/>
              <w:right w:val="single" w:sz="4" w:space="0" w:color="auto"/>
            </w:tcBorders>
            <w:vAlign w:val="center"/>
            <w:hideMark/>
          </w:tcPr>
          <w:p w14:paraId="43BD86C4" w14:textId="77777777" w:rsidR="00CC66B7" w:rsidRPr="00D93D2D" w:rsidRDefault="00CC66B7" w:rsidP="00CC66B7">
            <w:pPr>
              <w:spacing w:after="0" w:line="240" w:lineRule="auto"/>
              <w:rPr>
                <w:rFonts w:eastAsia="Times New Roman" w:cstheme="minorHAnsi"/>
                <w:b/>
                <w:bCs/>
                <w:color w:val="000000"/>
                <w:sz w:val="16"/>
              </w:rPr>
            </w:pPr>
          </w:p>
        </w:tc>
        <w:tc>
          <w:tcPr>
            <w:tcW w:w="10252" w:type="dxa"/>
            <w:gridSpan w:val="15"/>
            <w:tcBorders>
              <w:top w:val="single" w:sz="4" w:space="0" w:color="auto"/>
              <w:left w:val="nil"/>
              <w:bottom w:val="single" w:sz="4" w:space="0" w:color="auto"/>
              <w:right w:val="single" w:sz="4" w:space="0" w:color="auto"/>
            </w:tcBorders>
            <w:shd w:val="clear" w:color="000000" w:fill="DBDBDB"/>
            <w:noWrap/>
            <w:vAlign w:val="center"/>
            <w:hideMark/>
          </w:tcPr>
          <w:p w14:paraId="58E7EB16" w14:textId="77777777" w:rsidR="00CC66B7" w:rsidRPr="00D93D2D" w:rsidRDefault="00CC66B7" w:rsidP="00CC66B7">
            <w:pPr>
              <w:spacing w:after="0" w:line="240" w:lineRule="auto"/>
              <w:jc w:val="center"/>
              <w:rPr>
                <w:rFonts w:eastAsia="Times New Roman" w:cstheme="minorHAnsi"/>
                <w:i/>
                <w:iCs/>
                <w:color w:val="000000"/>
                <w:sz w:val="16"/>
              </w:rPr>
            </w:pPr>
            <w:r w:rsidRPr="00D93D2D">
              <w:rPr>
                <w:rFonts w:eastAsia="Times New Roman" w:cstheme="minorHAnsi"/>
                <w:i/>
                <w:iCs/>
                <w:color w:val="000000"/>
                <w:sz w:val="16"/>
              </w:rPr>
              <w:t>Test volume statistics</w:t>
            </w:r>
          </w:p>
        </w:tc>
      </w:tr>
      <w:tr w:rsidR="00CC66B7" w:rsidRPr="00D93D2D" w14:paraId="531065DD"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348B699B"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Average # Samples / Day</w:t>
            </w:r>
          </w:p>
        </w:tc>
        <w:tc>
          <w:tcPr>
            <w:tcW w:w="739" w:type="dxa"/>
            <w:tcBorders>
              <w:top w:val="nil"/>
              <w:left w:val="nil"/>
              <w:bottom w:val="single" w:sz="4" w:space="0" w:color="auto"/>
              <w:right w:val="single" w:sz="4" w:space="0" w:color="auto"/>
            </w:tcBorders>
            <w:shd w:val="clear" w:color="auto" w:fill="auto"/>
            <w:noWrap/>
            <w:vAlign w:val="center"/>
            <w:hideMark/>
          </w:tcPr>
          <w:p w14:paraId="635F41C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0.1</w:t>
            </w:r>
          </w:p>
        </w:tc>
        <w:tc>
          <w:tcPr>
            <w:tcW w:w="637" w:type="dxa"/>
            <w:tcBorders>
              <w:top w:val="nil"/>
              <w:left w:val="nil"/>
              <w:bottom w:val="single" w:sz="4" w:space="0" w:color="auto"/>
              <w:right w:val="single" w:sz="4" w:space="0" w:color="auto"/>
            </w:tcBorders>
            <w:shd w:val="clear" w:color="auto" w:fill="auto"/>
            <w:noWrap/>
            <w:vAlign w:val="center"/>
            <w:hideMark/>
          </w:tcPr>
          <w:p w14:paraId="586AC99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0.2</w:t>
            </w:r>
          </w:p>
        </w:tc>
        <w:tc>
          <w:tcPr>
            <w:tcW w:w="682" w:type="dxa"/>
            <w:tcBorders>
              <w:top w:val="nil"/>
              <w:left w:val="nil"/>
              <w:bottom w:val="single" w:sz="4" w:space="0" w:color="auto"/>
              <w:right w:val="single" w:sz="4" w:space="0" w:color="auto"/>
            </w:tcBorders>
            <w:shd w:val="clear" w:color="auto" w:fill="auto"/>
            <w:noWrap/>
            <w:vAlign w:val="center"/>
            <w:hideMark/>
          </w:tcPr>
          <w:p w14:paraId="13C50B2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0.3</w:t>
            </w:r>
          </w:p>
        </w:tc>
        <w:tc>
          <w:tcPr>
            <w:tcW w:w="682" w:type="dxa"/>
            <w:tcBorders>
              <w:top w:val="nil"/>
              <w:left w:val="nil"/>
              <w:bottom w:val="single" w:sz="4" w:space="0" w:color="auto"/>
              <w:right w:val="single" w:sz="4" w:space="0" w:color="auto"/>
            </w:tcBorders>
            <w:shd w:val="clear" w:color="auto" w:fill="auto"/>
            <w:noWrap/>
            <w:vAlign w:val="center"/>
            <w:hideMark/>
          </w:tcPr>
          <w:p w14:paraId="094910A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0.5</w:t>
            </w:r>
          </w:p>
        </w:tc>
        <w:tc>
          <w:tcPr>
            <w:tcW w:w="682" w:type="dxa"/>
            <w:tcBorders>
              <w:top w:val="nil"/>
              <w:left w:val="nil"/>
              <w:bottom w:val="single" w:sz="4" w:space="0" w:color="auto"/>
              <w:right w:val="single" w:sz="4" w:space="0" w:color="auto"/>
            </w:tcBorders>
            <w:shd w:val="clear" w:color="auto" w:fill="auto"/>
            <w:noWrap/>
            <w:vAlign w:val="center"/>
            <w:hideMark/>
          </w:tcPr>
          <w:p w14:paraId="5311002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0.7</w:t>
            </w:r>
          </w:p>
        </w:tc>
        <w:tc>
          <w:tcPr>
            <w:tcW w:w="682" w:type="dxa"/>
            <w:tcBorders>
              <w:top w:val="nil"/>
              <w:left w:val="nil"/>
              <w:bottom w:val="single" w:sz="4" w:space="0" w:color="auto"/>
              <w:right w:val="single" w:sz="4" w:space="0" w:color="auto"/>
            </w:tcBorders>
            <w:shd w:val="clear" w:color="auto" w:fill="auto"/>
            <w:noWrap/>
            <w:vAlign w:val="center"/>
            <w:hideMark/>
          </w:tcPr>
          <w:p w14:paraId="4E3FD36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w:t>
            </w:r>
          </w:p>
        </w:tc>
        <w:tc>
          <w:tcPr>
            <w:tcW w:w="682" w:type="dxa"/>
            <w:tcBorders>
              <w:top w:val="nil"/>
              <w:left w:val="nil"/>
              <w:bottom w:val="single" w:sz="4" w:space="0" w:color="auto"/>
              <w:right w:val="single" w:sz="4" w:space="0" w:color="auto"/>
            </w:tcBorders>
            <w:shd w:val="clear" w:color="auto" w:fill="auto"/>
            <w:noWrap/>
            <w:vAlign w:val="center"/>
            <w:hideMark/>
          </w:tcPr>
          <w:p w14:paraId="019ECEB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1.9</w:t>
            </w:r>
          </w:p>
        </w:tc>
        <w:tc>
          <w:tcPr>
            <w:tcW w:w="682" w:type="dxa"/>
            <w:tcBorders>
              <w:top w:val="nil"/>
              <w:left w:val="nil"/>
              <w:bottom w:val="single" w:sz="4" w:space="0" w:color="auto"/>
              <w:right w:val="single" w:sz="4" w:space="0" w:color="auto"/>
            </w:tcBorders>
            <w:shd w:val="clear" w:color="auto" w:fill="auto"/>
            <w:noWrap/>
            <w:vAlign w:val="center"/>
            <w:hideMark/>
          </w:tcPr>
          <w:p w14:paraId="446D45A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682" w:type="dxa"/>
            <w:tcBorders>
              <w:top w:val="nil"/>
              <w:left w:val="nil"/>
              <w:bottom w:val="single" w:sz="4" w:space="0" w:color="auto"/>
              <w:right w:val="single" w:sz="4" w:space="0" w:color="auto"/>
            </w:tcBorders>
            <w:shd w:val="clear" w:color="auto" w:fill="auto"/>
            <w:noWrap/>
            <w:vAlign w:val="center"/>
            <w:hideMark/>
          </w:tcPr>
          <w:p w14:paraId="2F17001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3.9</w:t>
            </w:r>
          </w:p>
        </w:tc>
        <w:tc>
          <w:tcPr>
            <w:tcW w:w="682" w:type="dxa"/>
            <w:tcBorders>
              <w:top w:val="nil"/>
              <w:left w:val="nil"/>
              <w:bottom w:val="single" w:sz="4" w:space="0" w:color="auto"/>
              <w:right w:val="single" w:sz="4" w:space="0" w:color="auto"/>
            </w:tcBorders>
            <w:shd w:val="clear" w:color="auto" w:fill="auto"/>
            <w:noWrap/>
            <w:vAlign w:val="center"/>
            <w:hideMark/>
          </w:tcPr>
          <w:p w14:paraId="206AB25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5.1</w:t>
            </w:r>
          </w:p>
        </w:tc>
        <w:tc>
          <w:tcPr>
            <w:tcW w:w="682" w:type="dxa"/>
            <w:tcBorders>
              <w:top w:val="nil"/>
              <w:left w:val="nil"/>
              <w:bottom w:val="single" w:sz="4" w:space="0" w:color="auto"/>
              <w:right w:val="single" w:sz="4" w:space="0" w:color="auto"/>
            </w:tcBorders>
            <w:shd w:val="clear" w:color="auto" w:fill="auto"/>
            <w:noWrap/>
            <w:vAlign w:val="center"/>
            <w:hideMark/>
          </w:tcPr>
          <w:p w14:paraId="3849955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5.8</w:t>
            </w:r>
          </w:p>
        </w:tc>
        <w:tc>
          <w:tcPr>
            <w:tcW w:w="682" w:type="dxa"/>
            <w:tcBorders>
              <w:top w:val="nil"/>
              <w:left w:val="nil"/>
              <w:bottom w:val="single" w:sz="4" w:space="0" w:color="auto"/>
              <w:right w:val="single" w:sz="4" w:space="0" w:color="auto"/>
            </w:tcBorders>
            <w:shd w:val="clear" w:color="auto" w:fill="auto"/>
            <w:noWrap/>
            <w:vAlign w:val="center"/>
            <w:hideMark/>
          </w:tcPr>
          <w:p w14:paraId="79F3189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w:t>
            </w:r>
          </w:p>
        </w:tc>
        <w:tc>
          <w:tcPr>
            <w:tcW w:w="682" w:type="dxa"/>
            <w:tcBorders>
              <w:top w:val="nil"/>
              <w:left w:val="nil"/>
              <w:bottom w:val="single" w:sz="4" w:space="0" w:color="auto"/>
              <w:right w:val="single" w:sz="4" w:space="0" w:color="auto"/>
            </w:tcBorders>
            <w:shd w:val="clear" w:color="auto" w:fill="auto"/>
            <w:noWrap/>
            <w:vAlign w:val="center"/>
            <w:hideMark/>
          </w:tcPr>
          <w:p w14:paraId="7E03984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7.9</w:t>
            </w:r>
          </w:p>
        </w:tc>
        <w:tc>
          <w:tcPr>
            <w:tcW w:w="682" w:type="dxa"/>
            <w:tcBorders>
              <w:top w:val="nil"/>
              <w:left w:val="nil"/>
              <w:bottom w:val="single" w:sz="4" w:space="0" w:color="auto"/>
              <w:right w:val="single" w:sz="4" w:space="0" w:color="auto"/>
            </w:tcBorders>
            <w:shd w:val="clear" w:color="auto" w:fill="auto"/>
            <w:noWrap/>
            <w:vAlign w:val="center"/>
            <w:hideMark/>
          </w:tcPr>
          <w:p w14:paraId="6AF6790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8.9</w:t>
            </w:r>
          </w:p>
        </w:tc>
        <w:tc>
          <w:tcPr>
            <w:tcW w:w="682" w:type="dxa"/>
            <w:tcBorders>
              <w:top w:val="nil"/>
              <w:left w:val="nil"/>
              <w:bottom w:val="single" w:sz="4" w:space="0" w:color="auto"/>
              <w:right w:val="single" w:sz="4" w:space="0" w:color="auto"/>
            </w:tcBorders>
            <w:shd w:val="clear" w:color="auto" w:fill="auto"/>
            <w:noWrap/>
            <w:vAlign w:val="center"/>
            <w:hideMark/>
          </w:tcPr>
          <w:p w14:paraId="0C8E885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10.2</w:t>
            </w:r>
          </w:p>
        </w:tc>
      </w:tr>
      <w:tr w:rsidR="00CC66B7" w:rsidRPr="00D93D2D" w14:paraId="030E552D"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3720B257" w14:textId="77777777" w:rsidR="00CC66B7" w:rsidRPr="00D93D2D" w:rsidRDefault="00CC66B7" w:rsidP="00CC66B7">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Highest daily workload</w:t>
            </w:r>
          </w:p>
        </w:tc>
        <w:tc>
          <w:tcPr>
            <w:tcW w:w="739" w:type="dxa"/>
            <w:tcBorders>
              <w:top w:val="nil"/>
              <w:left w:val="nil"/>
              <w:bottom w:val="single" w:sz="4" w:space="0" w:color="auto"/>
              <w:right w:val="single" w:sz="4" w:space="0" w:color="auto"/>
            </w:tcBorders>
            <w:shd w:val="clear" w:color="auto" w:fill="auto"/>
            <w:noWrap/>
            <w:vAlign w:val="center"/>
            <w:hideMark/>
          </w:tcPr>
          <w:p w14:paraId="7C66926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37" w:type="dxa"/>
            <w:tcBorders>
              <w:top w:val="nil"/>
              <w:left w:val="nil"/>
              <w:bottom w:val="single" w:sz="4" w:space="0" w:color="auto"/>
              <w:right w:val="single" w:sz="4" w:space="0" w:color="auto"/>
            </w:tcBorders>
            <w:shd w:val="clear" w:color="auto" w:fill="auto"/>
            <w:noWrap/>
            <w:vAlign w:val="center"/>
            <w:hideMark/>
          </w:tcPr>
          <w:p w14:paraId="060AD78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68FC122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2951BC3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3FAE2D1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682" w:type="dxa"/>
            <w:tcBorders>
              <w:top w:val="nil"/>
              <w:left w:val="nil"/>
              <w:bottom w:val="single" w:sz="4" w:space="0" w:color="auto"/>
              <w:right w:val="single" w:sz="4" w:space="0" w:color="auto"/>
            </w:tcBorders>
            <w:shd w:val="clear" w:color="auto" w:fill="auto"/>
            <w:noWrap/>
            <w:vAlign w:val="center"/>
            <w:hideMark/>
          </w:tcPr>
          <w:p w14:paraId="1805DF5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w:t>
            </w:r>
          </w:p>
        </w:tc>
        <w:tc>
          <w:tcPr>
            <w:tcW w:w="682" w:type="dxa"/>
            <w:tcBorders>
              <w:top w:val="nil"/>
              <w:left w:val="nil"/>
              <w:bottom w:val="single" w:sz="4" w:space="0" w:color="auto"/>
              <w:right w:val="single" w:sz="4" w:space="0" w:color="auto"/>
            </w:tcBorders>
            <w:shd w:val="clear" w:color="auto" w:fill="auto"/>
            <w:noWrap/>
            <w:vAlign w:val="center"/>
            <w:hideMark/>
          </w:tcPr>
          <w:p w14:paraId="3457029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w:t>
            </w:r>
          </w:p>
        </w:tc>
        <w:tc>
          <w:tcPr>
            <w:tcW w:w="682" w:type="dxa"/>
            <w:tcBorders>
              <w:top w:val="nil"/>
              <w:left w:val="nil"/>
              <w:bottom w:val="single" w:sz="4" w:space="0" w:color="auto"/>
              <w:right w:val="single" w:sz="4" w:space="0" w:color="auto"/>
            </w:tcBorders>
            <w:shd w:val="clear" w:color="auto" w:fill="auto"/>
            <w:noWrap/>
            <w:vAlign w:val="center"/>
            <w:hideMark/>
          </w:tcPr>
          <w:p w14:paraId="090A8AB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w:t>
            </w:r>
          </w:p>
        </w:tc>
        <w:tc>
          <w:tcPr>
            <w:tcW w:w="682" w:type="dxa"/>
            <w:tcBorders>
              <w:top w:val="nil"/>
              <w:left w:val="nil"/>
              <w:bottom w:val="single" w:sz="4" w:space="0" w:color="auto"/>
              <w:right w:val="single" w:sz="4" w:space="0" w:color="auto"/>
            </w:tcBorders>
            <w:shd w:val="clear" w:color="auto" w:fill="auto"/>
            <w:noWrap/>
            <w:vAlign w:val="center"/>
            <w:hideMark/>
          </w:tcPr>
          <w:p w14:paraId="747727C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w:t>
            </w:r>
          </w:p>
        </w:tc>
        <w:tc>
          <w:tcPr>
            <w:tcW w:w="682" w:type="dxa"/>
            <w:tcBorders>
              <w:top w:val="nil"/>
              <w:left w:val="nil"/>
              <w:bottom w:val="single" w:sz="4" w:space="0" w:color="auto"/>
              <w:right w:val="single" w:sz="4" w:space="0" w:color="auto"/>
            </w:tcBorders>
            <w:shd w:val="clear" w:color="auto" w:fill="auto"/>
            <w:noWrap/>
            <w:vAlign w:val="center"/>
            <w:hideMark/>
          </w:tcPr>
          <w:p w14:paraId="1A3DCCB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w:t>
            </w:r>
          </w:p>
        </w:tc>
        <w:tc>
          <w:tcPr>
            <w:tcW w:w="682" w:type="dxa"/>
            <w:tcBorders>
              <w:top w:val="nil"/>
              <w:left w:val="nil"/>
              <w:bottom w:val="single" w:sz="4" w:space="0" w:color="auto"/>
              <w:right w:val="single" w:sz="4" w:space="0" w:color="auto"/>
            </w:tcBorders>
            <w:shd w:val="clear" w:color="auto" w:fill="auto"/>
            <w:noWrap/>
            <w:vAlign w:val="center"/>
            <w:hideMark/>
          </w:tcPr>
          <w:p w14:paraId="4FE3770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w:t>
            </w:r>
          </w:p>
        </w:tc>
        <w:tc>
          <w:tcPr>
            <w:tcW w:w="682" w:type="dxa"/>
            <w:tcBorders>
              <w:top w:val="nil"/>
              <w:left w:val="nil"/>
              <w:bottom w:val="single" w:sz="4" w:space="0" w:color="auto"/>
              <w:right w:val="single" w:sz="4" w:space="0" w:color="auto"/>
            </w:tcBorders>
            <w:shd w:val="clear" w:color="auto" w:fill="auto"/>
            <w:noWrap/>
            <w:vAlign w:val="center"/>
            <w:hideMark/>
          </w:tcPr>
          <w:p w14:paraId="645911C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w:t>
            </w:r>
          </w:p>
        </w:tc>
        <w:tc>
          <w:tcPr>
            <w:tcW w:w="682" w:type="dxa"/>
            <w:tcBorders>
              <w:top w:val="nil"/>
              <w:left w:val="nil"/>
              <w:bottom w:val="single" w:sz="4" w:space="0" w:color="auto"/>
              <w:right w:val="single" w:sz="4" w:space="0" w:color="auto"/>
            </w:tcBorders>
            <w:shd w:val="clear" w:color="auto" w:fill="auto"/>
            <w:noWrap/>
            <w:vAlign w:val="center"/>
            <w:hideMark/>
          </w:tcPr>
          <w:p w14:paraId="480B731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w:t>
            </w:r>
          </w:p>
        </w:tc>
        <w:tc>
          <w:tcPr>
            <w:tcW w:w="682" w:type="dxa"/>
            <w:tcBorders>
              <w:top w:val="nil"/>
              <w:left w:val="nil"/>
              <w:bottom w:val="single" w:sz="4" w:space="0" w:color="auto"/>
              <w:right w:val="single" w:sz="4" w:space="0" w:color="auto"/>
            </w:tcBorders>
            <w:shd w:val="clear" w:color="auto" w:fill="auto"/>
            <w:noWrap/>
            <w:vAlign w:val="center"/>
            <w:hideMark/>
          </w:tcPr>
          <w:p w14:paraId="7A4AAF2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16</w:t>
            </w:r>
          </w:p>
        </w:tc>
        <w:tc>
          <w:tcPr>
            <w:tcW w:w="682" w:type="dxa"/>
            <w:tcBorders>
              <w:top w:val="nil"/>
              <w:left w:val="nil"/>
              <w:bottom w:val="single" w:sz="4" w:space="0" w:color="auto"/>
              <w:right w:val="single" w:sz="4" w:space="0" w:color="auto"/>
            </w:tcBorders>
            <w:shd w:val="clear" w:color="auto" w:fill="auto"/>
            <w:noWrap/>
            <w:vAlign w:val="center"/>
            <w:hideMark/>
          </w:tcPr>
          <w:p w14:paraId="1E2EC37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18</w:t>
            </w:r>
          </w:p>
        </w:tc>
      </w:tr>
      <w:tr w:rsidR="00CC66B7" w:rsidRPr="00D93D2D" w14:paraId="073D173D"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57E64CC1" w14:textId="77777777" w:rsidR="00CC66B7" w:rsidRPr="00D93D2D" w:rsidRDefault="00CC66B7" w:rsidP="00CC66B7">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Lowest daily workload</w:t>
            </w:r>
          </w:p>
        </w:tc>
        <w:tc>
          <w:tcPr>
            <w:tcW w:w="739" w:type="dxa"/>
            <w:tcBorders>
              <w:top w:val="nil"/>
              <w:left w:val="nil"/>
              <w:bottom w:val="single" w:sz="4" w:space="0" w:color="auto"/>
              <w:right w:val="single" w:sz="4" w:space="0" w:color="auto"/>
            </w:tcBorders>
            <w:shd w:val="clear" w:color="auto" w:fill="auto"/>
            <w:noWrap/>
            <w:vAlign w:val="center"/>
            <w:hideMark/>
          </w:tcPr>
          <w:p w14:paraId="391B64C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37" w:type="dxa"/>
            <w:tcBorders>
              <w:top w:val="nil"/>
              <w:left w:val="nil"/>
              <w:bottom w:val="single" w:sz="4" w:space="0" w:color="auto"/>
              <w:right w:val="single" w:sz="4" w:space="0" w:color="auto"/>
            </w:tcBorders>
            <w:shd w:val="clear" w:color="auto" w:fill="auto"/>
            <w:noWrap/>
            <w:vAlign w:val="center"/>
            <w:hideMark/>
          </w:tcPr>
          <w:p w14:paraId="6AF6F16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1E97C99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401DA9A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4D0258E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6E19DC6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71293BA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55E14BA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3F20407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535656F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325443D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65BB425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5BED803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682" w:type="dxa"/>
            <w:tcBorders>
              <w:top w:val="nil"/>
              <w:left w:val="nil"/>
              <w:bottom w:val="single" w:sz="4" w:space="0" w:color="auto"/>
              <w:right w:val="single" w:sz="4" w:space="0" w:color="auto"/>
            </w:tcBorders>
            <w:shd w:val="clear" w:color="auto" w:fill="auto"/>
            <w:noWrap/>
            <w:vAlign w:val="center"/>
            <w:hideMark/>
          </w:tcPr>
          <w:p w14:paraId="415B973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682" w:type="dxa"/>
            <w:tcBorders>
              <w:top w:val="nil"/>
              <w:left w:val="nil"/>
              <w:bottom w:val="single" w:sz="4" w:space="0" w:color="auto"/>
              <w:right w:val="single" w:sz="4" w:space="0" w:color="auto"/>
            </w:tcBorders>
            <w:shd w:val="clear" w:color="auto" w:fill="auto"/>
            <w:noWrap/>
            <w:vAlign w:val="center"/>
            <w:hideMark/>
          </w:tcPr>
          <w:p w14:paraId="71C3FFE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w:t>
            </w:r>
          </w:p>
        </w:tc>
      </w:tr>
      <w:tr w:rsidR="00CC66B7" w:rsidRPr="00D93D2D" w14:paraId="09C86843"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DB13C3A"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Total # of patients tested (annual)</w:t>
            </w:r>
          </w:p>
        </w:tc>
        <w:tc>
          <w:tcPr>
            <w:tcW w:w="739" w:type="dxa"/>
            <w:tcBorders>
              <w:top w:val="nil"/>
              <w:left w:val="nil"/>
              <w:bottom w:val="single" w:sz="4" w:space="0" w:color="auto"/>
              <w:right w:val="single" w:sz="4" w:space="0" w:color="auto"/>
            </w:tcBorders>
            <w:shd w:val="clear" w:color="auto" w:fill="auto"/>
            <w:noWrap/>
            <w:vAlign w:val="center"/>
            <w:hideMark/>
          </w:tcPr>
          <w:p w14:paraId="2360585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27</w:t>
            </w:r>
          </w:p>
        </w:tc>
        <w:tc>
          <w:tcPr>
            <w:tcW w:w="637" w:type="dxa"/>
            <w:tcBorders>
              <w:top w:val="nil"/>
              <w:left w:val="nil"/>
              <w:bottom w:val="single" w:sz="4" w:space="0" w:color="auto"/>
              <w:right w:val="single" w:sz="4" w:space="0" w:color="auto"/>
            </w:tcBorders>
            <w:shd w:val="clear" w:color="auto" w:fill="auto"/>
            <w:noWrap/>
            <w:vAlign w:val="center"/>
            <w:hideMark/>
          </w:tcPr>
          <w:p w14:paraId="422997D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51</w:t>
            </w:r>
          </w:p>
        </w:tc>
        <w:tc>
          <w:tcPr>
            <w:tcW w:w="682" w:type="dxa"/>
            <w:tcBorders>
              <w:top w:val="nil"/>
              <w:left w:val="nil"/>
              <w:bottom w:val="single" w:sz="4" w:space="0" w:color="auto"/>
              <w:right w:val="single" w:sz="4" w:space="0" w:color="auto"/>
            </w:tcBorders>
            <w:shd w:val="clear" w:color="auto" w:fill="auto"/>
            <w:noWrap/>
            <w:vAlign w:val="center"/>
            <w:hideMark/>
          </w:tcPr>
          <w:p w14:paraId="50B3AAB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64</w:t>
            </w:r>
          </w:p>
        </w:tc>
        <w:tc>
          <w:tcPr>
            <w:tcW w:w="682" w:type="dxa"/>
            <w:tcBorders>
              <w:top w:val="nil"/>
              <w:left w:val="nil"/>
              <w:bottom w:val="single" w:sz="4" w:space="0" w:color="auto"/>
              <w:right w:val="single" w:sz="4" w:space="0" w:color="auto"/>
            </w:tcBorders>
            <w:shd w:val="clear" w:color="auto" w:fill="auto"/>
            <w:noWrap/>
            <w:vAlign w:val="center"/>
            <w:hideMark/>
          </w:tcPr>
          <w:p w14:paraId="17A9EA0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121</w:t>
            </w:r>
          </w:p>
        </w:tc>
        <w:tc>
          <w:tcPr>
            <w:tcW w:w="682" w:type="dxa"/>
            <w:tcBorders>
              <w:top w:val="nil"/>
              <w:left w:val="nil"/>
              <w:bottom w:val="single" w:sz="4" w:space="0" w:color="auto"/>
              <w:right w:val="single" w:sz="4" w:space="0" w:color="auto"/>
            </w:tcBorders>
            <w:shd w:val="clear" w:color="auto" w:fill="auto"/>
            <w:noWrap/>
            <w:vAlign w:val="center"/>
            <w:hideMark/>
          </w:tcPr>
          <w:p w14:paraId="6C82FDE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163</w:t>
            </w:r>
          </w:p>
        </w:tc>
        <w:tc>
          <w:tcPr>
            <w:tcW w:w="682" w:type="dxa"/>
            <w:tcBorders>
              <w:top w:val="nil"/>
              <w:left w:val="nil"/>
              <w:bottom w:val="single" w:sz="4" w:space="0" w:color="auto"/>
              <w:right w:val="single" w:sz="4" w:space="0" w:color="auto"/>
            </w:tcBorders>
            <w:shd w:val="clear" w:color="auto" w:fill="auto"/>
            <w:noWrap/>
            <w:vAlign w:val="center"/>
            <w:hideMark/>
          </w:tcPr>
          <w:p w14:paraId="78547DE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263</w:t>
            </w:r>
          </w:p>
        </w:tc>
        <w:tc>
          <w:tcPr>
            <w:tcW w:w="682" w:type="dxa"/>
            <w:tcBorders>
              <w:top w:val="nil"/>
              <w:left w:val="nil"/>
              <w:bottom w:val="single" w:sz="4" w:space="0" w:color="auto"/>
              <w:right w:val="single" w:sz="4" w:space="0" w:color="auto"/>
            </w:tcBorders>
            <w:shd w:val="clear" w:color="auto" w:fill="auto"/>
            <w:noWrap/>
            <w:vAlign w:val="center"/>
            <w:hideMark/>
          </w:tcPr>
          <w:p w14:paraId="5C70180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469</w:t>
            </w:r>
          </w:p>
        </w:tc>
        <w:tc>
          <w:tcPr>
            <w:tcW w:w="682" w:type="dxa"/>
            <w:tcBorders>
              <w:top w:val="nil"/>
              <w:left w:val="nil"/>
              <w:bottom w:val="single" w:sz="4" w:space="0" w:color="auto"/>
              <w:right w:val="single" w:sz="4" w:space="0" w:color="auto"/>
            </w:tcBorders>
            <w:shd w:val="clear" w:color="auto" w:fill="auto"/>
            <w:noWrap/>
            <w:vAlign w:val="center"/>
            <w:hideMark/>
          </w:tcPr>
          <w:p w14:paraId="5355EB0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752</w:t>
            </w:r>
          </w:p>
        </w:tc>
        <w:tc>
          <w:tcPr>
            <w:tcW w:w="682" w:type="dxa"/>
            <w:tcBorders>
              <w:top w:val="nil"/>
              <w:left w:val="nil"/>
              <w:bottom w:val="single" w:sz="4" w:space="0" w:color="auto"/>
              <w:right w:val="single" w:sz="4" w:space="0" w:color="auto"/>
            </w:tcBorders>
            <w:shd w:val="clear" w:color="auto" w:fill="auto"/>
            <w:noWrap/>
            <w:vAlign w:val="center"/>
            <w:hideMark/>
          </w:tcPr>
          <w:p w14:paraId="22255CE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973</w:t>
            </w:r>
          </w:p>
        </w:tc>
        <w:tc>
          <w:tcPr>
            <w:tcW w:w="682" w:type="dxa"/>
            <w:tcBorders>
              <w:top w:val="nil"/>
              <w:left w:val="nil"/>
              <w:bottom w:val="single" w:sz="4" w:space="0" w:color="auto"/>
              <w:right w:val="single" w:sz="4" w:space="0" w:color="auto"/>
            </w:tcBorders>
            <w:shd w:val="clear" w:color="auto" w:fill="auto"/>
            <w:noWrap/>
            <w:vAlign w:val="center"/>
            <w:hideMark/>
          </w:tcPr>
          <w:p w14:paraId="0E69039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1277</w:t>
            </w:r>
          </w:p>
        </w:tc>
        <w:tc>
          <w:tcPr>
            <w:tcW w:w="682" w:type="dxa"/>
            <w:tcBorders>
              <w:top w:val="nil"/>
              <w:left w:val="nil"/>
              <w:bottom w:val="single" w:sz="4" w:space="0" w:color="auto"/>
              <w:right w:val="single" w:sz="4" w:space="0" w:color="auto"/>
            </w:tcBorders>
            <w:shd w:val="clear" w:color="auto" w:fill="auto"/>
            <w:noWrap/>
            <w:vAlign w:val="center"/>
            <w:hideMark/>
          </w:tcPr>
          <w:p w14:paraId="6DBADE1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1456</w:t>
            </w:r>
          </w:p>
        </w:tc>
        <w:tc>
          <w:tcPr>
            <w:tcW w:w="682" w:type="dxa"/>
            <w:tcBorders>
              <w:top w:val="nil"/>
              <w:left w:val="nil"/>
              <w:bottom w:val="single" w:sz="4" w:space="0" w:color="auto"/>
              <w:right w:val="single" w:sz="4" w:space="0" w:color="auto"/>
            </w:tcBorders>
            <w:shd w:val="clear" w:color="auto" w:fill="auto"/>
            <w:noWrap/>
            <w:vAlign w:val="center"/>
            <w:hideMark/>
          </w:tcPr>
          <w:p w14:paraId="34E7015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1739</w:t>
            </w:r>
          </w:p>
        </w:tc>
        <w:tc>
          <w:tcPr>
            <w:tcW w:w="682" w:type="dxa"/>
            <w:tcBorders>
              <w:top w:val="nil"/>
              <w:left w:val="nil"/>
              <w:bottom w:val="single" w:sz="4" w:space="0" w:color="auto"/>
              <w:right w:val="single" w:sz="4" w:space="0" w:color="auto"/>
            </w:tcBorders>
            <w:shd w:val="clear" w:color="auto" w:fill="auto"/>
            <w:noWrap/>
            <w:vAlign w:val="center"/>
            <w:hideMark/>
          </w:tcPr>
          <w:p w14:paraId="1D2ADFC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1986</w:t>
            </w:r>
          </w:p>
        </w:tc>
        <w:tc>
          <w:tcPr>
            <w:tcW w:w="682" w:type="dxa"/>
            <w:tcBorders>
              <w:top w:val="nil"/>
              <w:left w:val="nil"/>
              <w:bottom w:val="single" w:sz="4" w:space="0" w:color="auto"/>
              <w:right w:val="single" w:sz="4" w:space="0" w:color="auto"/>
            </w:tcBorders>
            <w:shd w:val="clear" w:color="auto" w:fill="auto"/>
            <w:noWrap/>
            <w:vAlign w:val="center"/>
            <w:hideMark/>
          </w:tcPr>
          <w:p w14:paraId="10D80DE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2234</w:t>
            </w:r>
          </w:p>
        </w:tc>
        <w:tc>
          <w:tcPr>
            <w:tcW w:w="682" w:type="dxa"/>
            <w:tcBorders>
              <w:top w:val="nil"/>
              <w:left w:val="nil"/>
              <w:bottom w:val="single" w:sz="4" w:space="0" w:color="auto"/>
              <w:right w:val="single" w:sz="4" w:space="0" w:color="auto"/>
            </w:tcBorders>
            <w:shd w:val="clear" w:color="auto" w:fill="auto"/>
            <w:noWrap/>
            <w:vAlign w:val="center"/>
            <w:hideMark/>
          </w:tcPr>
          <w:p w14:paraId="4B9AB96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2554</w:t>
            </w:r>
          </w:p>
        </w:tc>
      </w:tr>
      <w:tr w:rsidR="00CC66B7" w:rsidRPr="00D93D2D" w14:paraId="2F99B98A"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685487C3" w14:textId="77777777" w:rsidR="00CC66B7" w:rsidRPr="00D93D2D" w:rsidRDefault="00CC66B7" w:rsidP="00CC66B7">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Range (Low)</w:t>
            </w:r>
          </w:p>
        </w:tc>
        <w:tc>
          <w:tcPr>
            <w:tcW w:w="739" w:type="dxa"/>
            <w:tcBorders>
              <w:top w:val="nil"/>
              <w:left w:val="nil"/>
              <w:bottom w:val="single" w:sz="4" w:space="0" w:color="auto"/>
              <w:right w:val="single" w:sz="4" w:space="0" w:color="auto"/>
            </w:tcBorders>
            <w:shd w:val="clear" w:color="auto" w:fill="auto"/>
            <w:noWrap/>
            <w:vAlign w:val="center"/>
            <w:hideMark/>
          </w:tcPr>
          <w:p w14:paraId="0DE9313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37" w:type="dxa"/>
            <w:tcBorders>
              <w:top w:val="nil"/>
              <w:left w:val="nil"/>
              <w:bottom w:val="single" w:sz="4" w:space="0" w:color="auto"/>
              <w:right w:val="single" w:sz="4" w:space="0" w:color="auto"/>
            </w:tcBorders>
            <w:shd w:val="clear" w:color="auto" w:fill="auto"/>
            <w:noWrap/>
            <w:vAlign w:val="center"/>
            <w:hideMark/>
          </w:tcPr>
          <w:p w14:paraId="4612AC2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40</w:t>
            </w:r>
          </w:p>
        </w:tc>
        <w:tc>
          <w:tcPr>
            <w:tcW w:w="682" w:type="dxa"/>
            <w:tcBorders>
              <w:top w:val="nil"/>
              <w:left w:val="nil"/>
              <w:bottom w:val="single" w:sz="4" w:space="0" w:color="auto"/>
              <w:right w:val="single" w:sz="4" w:space="0" w:color="auto"/>
            </w:tcBorders>
            <w:shd w:val="clear" w:color="auto" w:fill="auto"/>
            <w:noWrap/>
            <w:vAlign w:val="center"/>
            <w:hideMark/>
          </w:tcPr>
          <w:p w14:paraId="556245F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58.5</w:t>
            </w:r>
          </w:p>
        </w:tc>
        <w:tc>
          <w:tcPr>
            <w:tcW w:w="682" w:type="dxa"/>
            <w:tcBorders>
              <w:top w:val="nil"/>
              <w:left w:val="nil"/>
              <w:bottom w:val="single" w:sz="4" w:space="0" w:color="auto"/>
              <w:right w:val="single" w:sz="4" w:space="0" w:color="auto"/>
            </w:tcBorders>
            <w:shd w:val="clear" w:color="auto" w:fill="auto"/>
            <w:noWrap/>
            <w:vAlign w:val="center"/>
            <w:hideMark/>
          </w:tcPr>
          <w:p w14:paraId="362284E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93.5</w:t>
            </w:r>
          </w:p>
        </w:tc>
        <w:tc>
          <w:tcPr>
            <w:tcW w:w="682" w:type="dxa"/>
            <w:tcBorders>
              <w:top w:val="nil"/>
              <w:left w:val="nil"/>
              <w:bottom w:val="single" w:sz="4" w:space="0" w:color="auto"/>
              <w:right w:val="single" w:sz="4" w:space="0" w:color="auto"/>
            </w:tcBorders>
            <w:shd w:val="clear" w:color="auto" w:fill="auto"/>
            <w:noWrap/>
            <w:vAlign w:val="center"/>
            <w:hideMark/>
          </w:tcPr>
          <w:p w14:paraId="65521F0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143</w:t>
            </w:r>
          </w:p>
        </w:tc>
        <w:tc>
          <w:tcPr>
            <w:tcW w:w="682" w:type="dxa"/>
            <w:tcBorders>
              <w:top w:val="nil"/>
              <w:left w:val="nil"/>
              <w:bottom w:val="single" w:sz="4" w:space="0" w:color="auto"/>
              <w:right w:val="single" w:sz="4" w:space="0" w:color="auto"/>
            </w:tcBorders>
            <w:shd w:val="clear" w:color="auto" w:fill="auto"/>
            <w:noWrap/>
            <w:vAlign w:val="center"/>
            <w:hideMark/>
          </w:tcPr>
          <w:p w14:paraId="1A7E6DA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214</w:t>
            </w:r>
          </w:p>
        </w:tc>
        <w:tc>
          <w:tcPr>
            <w:tcW w:w="682" w:type="dxa"/>
            <w:tcBorders>
              <w:top w:val="nil"/>
              <w:left w:val="nil"/>
              <w:bottom w:val="single" w:sz="4" w:space="0" w:color="auto"/>
              <w:right w:val="single" w:sz="4" w:space="0" w:color="auto"/>
            </w:tcBorders>
            <w:shd w:val="clear" w:color="auto" w:fill="auto"/>
            <w:noWrap/>
            <w:vAlign w:val="center"/>
            <w:hideMark/>
          </w:tcPr>
          <w:p w14:paraId="7F42368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367</w:t>
            </w:r>
          </w:p>
        </w:tc>
        <w:tc>
          <w:tcPr>
            <w:tcW w:w="682" w:type="dxa"/>
            <w:tcBorders>
              <w:top w:val="nil"/>
              <w:left w:val="nil"/>
              <w:bottom w:val="single" w:sz="4" w:space="0" w:color="auto"/>
              <w:right w:val="single" w:sz="4" w:space="0" w:color="auto"/>
            </w:tcBorders>
            <w:shd w:val="clear" w:color="auto" w:fill="auto"/>
            <w:noWrap/>
            <w:vAlign w:val="center"/>
            <w:hideMark/>
          </w:tcPr>
          <w:p w14:paraId="2A339B9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611.5</w:t>
            </w:r>
          </w:p>
        </w:tc>
        <w:tc>
          <w:tcPr>
            <w:tcW w:w="682" w:type="dxa"/>
            <w:tcBorders>
              <w:top w:val="nil"/>
              <w:left w:val="nil"/>
              <w:bottom w:val="single" w:sz="4" w:space="0" w:color="auto"/>
              <w:right w:val="single" w:sz="4" w:space="0" w:color="auto"/>
            </w:tcBorders>
            <w:shd w:val="clear" w:color="auto" w:fill="auto"/>
            <w:noWrap/>
            <w:vAlign w:val="center"/>
            <w:hideMark/>
          </w:tcPr>
          <w:p w14:paraId="18E5882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863.5</w:t>
            </w:r>
          </w:p>
        </w:tc>
        <w:tc>
          <w:tcPr>
            <w:tcW w:w="682" w:type="dxa"/>
            <w:tcBorders>
              <w:top w:val="nil"/>
              <w:left w:val="nil"/>
              <w:bottom w:val="single" w:sz="4" w:space="0" w:color="auto"/>
              <w:right w:val="single" w:sz="4" w:space="0" w:color="auto"/>
            </w:tcBorders>
            <w:shd w:val="clear" w:color="auto" w:fill="auto"/>
            <w:noWrap/>
            <w:vAlign w:val="center"/>
            <w:hideMark/>
          </w:tcPr>
          <w:p w14:paraId="38A57A9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1126</w:t>
            </w:r>
          </w:p>
        </w:tc>
        <w:tc>
          <w:tcPr>
            <w:tcW w:w="682" w:type="dxa"/>
            <w:tcBorders>
              <w:top w:val="nil"/>
              <w:left w:val="nil"/>
              <w:bottom w:val="single" w:sz="4" w:space="0" w:color="auto"/>
              <w:right w:val="single" w:sz="4" w:space="0" w:color="auto"/>
            </w:tcBorders>
            <w:shd w:val="clear" w:color="auto" w:fill="auto"/>
            <w:noWrap/>
            <w:vAlign w:val="center"/>
            <w:hideMark/>
          </w:tcPr>
          <w:p w14:paraId="3F5CC9B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1367.5</w:t>
            </w:r>
          </w:p>
        </w:tc>
        <w:tc>
          <w:tcPr>
            <w:tcW w:w="682" w:type="dxa"/>
            <w:tcBorders>
              <w:top w:val="nil"/>
              <w:left w:val="nil"/>
              <w:bottom w:val="single" w:sz="4" w:space="0" w:color="auto"/>
              <w:right w:val="single" w:sz="4" w:space="0" w:color="auto"/>
            </w:tcBorders>
            <w:shd w:val="clear" w:color="auto" w:fill="auto"/>
            <w:noWrap/>
            <w:vAlign w:val="center"/>
            <w:hideMark/>
          </w:tcPr>
          <w:p w14:paraId="65B29F8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1598.5</w:t>
            </w:r>
          </w:p>
        </w:tc>
        <w:tc>
          <w:tcPr>
            <w:tcW w:w="682" w:type="dxa"/>
            <w:tcBorders>
              <w:top w:val="nil"/>
              <w:left w:val="nil"/>
              <w:bottom w:val="single" w:sz="4" w:space="0" w:color="auto"/>
              <w:right w:val="single" w:sz="4" w:space="0" w:color="auto"/>
            </w:tcBorders>
            <w:shd w:val="clear" w:color="auto" w:fill="auto"/>
            <w:noWrap/>
            <w:vAlign w:val="center"/>
            <w:hideMark/>
          </w:tcPr>
          <w:p w14:paraId="109E230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1863.5</w:t>
            </w:r>
          </w:p>
        </w:tc>
        <w:tc>
          <w:tcPr>
            <w:tcW w:w="682" w:type="dxa"/>
            <w:tcBorders>
              <w:top w:val="nil"/>
              <w:left w:val="nil"/>
              <w:bottom w:val="single" w:sz="4" w:space="0" w:color="auto"/>
              <w:right w:val="single" w:sz="4" w:space="0" w:color="auto"/>
            </w:tcBorders>
            <w:shd w:val="clear" w:color="auto" w:fill="auto"/>
            <w:noWrap/>
            <w:vAlign w:val="center"/>
            <w:hideMark/>
          </w:tcPr>
          <w:p w14:paraId="1DB1C2F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2111</w:t>
            </w:r>
          </w:p>
        </w:tc>
        <w:tc>
          <w:tcPr>
            <w:tcW w:w="682" w:type="dxa"/>
            <w:tcBorders>
              <w:top w:val="nil"/>
              <w:left w:val="nil"/>
              <w:bottom w:val="single" w:sz="4" w:space="0" w:color="auto"/>
              <w:right w:val="single" w:sz="4" w:space="0" w:color="auto"/>
            </w:tcBorders>
            <w:shd w:val="clear" w:color="auto" w:fill="auto"/>
            <w:noWrap/>
            <w:vAlign w:val="center"/>
            <w:hideMark/>
          </w:tcPr>
          <w:p w14:paraId="4791634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2395</w:t>
            </w:r>
          </w:p>
        </w:tc>
      </w:tr>
      <w:tr w:rsidR="00CC66B7" w:rsidRPr="00D93D2D" w14:paraId="1A4686C1"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376F9F73" w14:textId="77777777" w:rsidR="00CC66B7" w:rsidRPr="00D93D2D" w:rsidRDefault="00CC66B7" w:rsidP="00CC66B7">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Range (High)</w:t>
            </w:r>
          </w:p>
        </w:tc>
        <w:tc>
          <w:tcPr>
            <w:tcW w:w="739" w:type="dxa"/>
            <w:tcBorders>
              <w:top w:val="nil"/>
              <w:left w:val="nil"/>
              <w:bottom w:val="single" w:sz="4" w:space="0" w:color="auto"/>
              <w:right w:val="single" w:sz="4" w:space="0" w:color="auto"/>
            </w:tcBorders>
            <w:shd w:val="clear" w:color="auto" w:fill="auto"/>
            <w:noWrap/>
            <w:vAlign w:val="center"/>
            <w:hideMark/>
          </w:tcPr>
          <w:p w14:paraId="5044E11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39</w:t>
            </w:r>
          </w:p>
        </w:tc>
        <w:tc>
          <w:tcPr>
            <w:tcW w:w="637" w:type="dxa"/>
            <w:tcBorders>
              <w:top w:val="nil"/>
              <w:left w:val="nil"/>
              <w:bottom w:val="single" w:sz="4" w:space="0" w:color="auto"/>
              <w:right w:val="single" w:sz="4" w:space="0" w:color="auto"/>
            </w:tcBorders>
            <w:shd w:val="clear" w:color="auto" w:fill="auto"/>
            <w:noWrap/>
            <w:vAlign w:val="center"/>
            <w:hideMark/>
          </w:tcPr>
          <w:p w14:paraId="7D7BC87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57.5</w:t>
            </w:r>
          </w:p>
        </w:tc>
        <w:tc>
          <w:tcPr>
            <w:tcW w:w="682" w:type="dxa"/>
            <w:tcBorders>
              <w:top w:val="nil"/>
              <w:left w:val="nil"/>
              <w:bottom w:val="single" w:sz="4" w:space="0" w:color="auto"/>
              <w:right w:val="single" w:sz="4" w:space="0" w:color="auto"/>
            </w:tcBorders>
            <w:shd w:val="clear" w:color="auto" w:fill="auto"/>
            <w:noWrap/>
            <w:vAlign w:val="center"/>
            <w:hideMark/>
          </w:tcPr>
          <w:p w14:paraId="10C6049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92.5</w:t>
            </w:r>
          </w:p>
        </w:tc>
        <w:tc>
          <w:tcPr>
            <w:tcW w:w="682" w:type="dxa"/>
            <w:tcBorders>
              <w:top w:val="nil"/>
              <w:left w:val="nil"/>
              <w:bottom w:val="single" w:sz="4" w:space="0" w:color="auto"/>
              <w:right w:val="single" w:sz="4" w:space="0" w:color="auto"/>
            </w:tcBorders>
            <w:shd w:val="clear" w:color="auto" w:fill="auto"/>
            <w:noWrap/>
            <w:vAlign w:val="center"/>
            <w:hideMark/>
          </w:tcPr>
          <w:p w14:paraId="17AA4DC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142</w:t>
            </w:r>
          </w:p>
        </w:tc>
        <w:tc>
          <w:tcPr>
            <w:tcW w:w="682" w:type="dxa"/>
            <w:tcBorders>
              <w:top w:val="nil"/>
              <w:left w:val="nil"/>
              <w:bottom w:val="single" w:sz="4" w:space="0" w:color="auto"/>
              <w:right w:val="single" w:sz="4" w:space="0" w:color="auto"/>
            </w:tcBorders>
            <w:shd w:val="clear" w:color="auto" w:fill="auto"/>
            <w:noWrap/>
            <w:vAlign w:val="center"/>
            <w:hideMark/>
          </w:tcPr>
          <w:p w14:paraId="7B758A2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213</w:t>
            </w:r>
          </w:p>
        </w:tc>
        <w:tc>
          <w:tcPr>
            <w:tcW w:w="682" w:type="dxa"/>
            <w:tcBorders>
              <w:top w:val="nil"/>
              <w:left w:val="nil"/>
              <w:bottom w:val="single" w:sz="4" w:space="0" w:color="auto"/>
              <w:right w:val="single" w:sz="4" w:space="0" w:color="auto"/>
            </w:tcBorders>
            <w:shd w:val="clear" w:color="auto" w:fill="auto"/>
            <w:noWrap/>
            <w:vAlign w:val="center"/>
            <w:hideMark/>
          </w:tcPr>
          <w:p w14:paraId="6740E37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366</w:t>
            </w:r>
          </w:p>
        </w:tc>
        <w:tc>
          <w:tcPr>
            <w:tcW w:w="682" w:type="dxa"/>
            <w:tcBorders>
              <w:top w:val="nil"/>
              <w:left w:val="nil"/>
              <w:bottom w:val="single" w:sz="4" w:space="0" w:color="auto"/>
              <w:right w:val="single" w:sz="4" w:space="0" w:color="auto"/>
            </w:tcBorders>
            <w:shd w:val="clear" w:color="auto" w:fill="auto"/>
            <w:noWrap/>
            <w:vAlign w:val="center"/>
            <w:hideMark/>
          </w:tcPr>
          <w:p w14:paraId="3F64019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610.5</w:t>
            </w:r>
          </w:p>
        </w:tc>
        <w:tc>
          <w:tcPr>
            <w:tcW w:w="682" w:type="dxa"/>
            <w:tcBorders>
              <w:top w:val="nil"/>
              <w:left w:val="nil"/>
              <w:bottom w:val="single" w:sz="4" w:space="0" w:color="auto"/>
              <w:right w:val="single" w:sz="4" w:space="0" w:color="auto"/>
            </w:tcBorders>
            <w:shd w:val="clear" w:color="auto" w:fill="auto"/>
            <w:noWrap/>
            <w:vAlign w:val="center"/>
            <w:hideMark/>
          </w:tcPr>
          <w:p w14:paraId="7A9E974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862.5</w:t>
            </w:r>
          </w:p>
        </w:tc>
        <w:tc>
          <w:tcPr>
            <w:tcW w:w="682" w:type="dxa"/>
            <w:tcBorders>
              <w:top w:val="nil"/>
              <w:left w:val="nil"/>
              <w:bottom w:val="single" w:sz="4" w:space="0" w:color="auto"/>
              <w:right w:val="single" w:sz="4" w:space="0" w:color="auto"/>
            </w:tcBorders>
            <w:shd w:val="clear" w:color="auto" w:fill="auto"/>
            <w:noWrap/>
            <w:vAlign w:val="center"/>
            <w:hideMark/>
          </w:tcPr>
          <w:p w14:paraId="311EAEA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1125</w:t>
            </w:r>
          </w:p>
        </w:tc>
        <w:tc>
          <w:tcPr>
            <w:tcW w:w="682" w:type="dxa"/>
            <w:tcBorders>
              <w:top w:val="nil"/>
              <w:left w:val="nil"/>
              <w:bottom w:val="single" w:sz="4" w:space="0" w:color="auto"/>
              <w:right w:val="single" w:sz="4" w:space="0" w:color="auto"/>
            </w:tcBorders>
            <w:shd w:val="clear" w:color="auto" w:fill="auto"/>
            <w:noWrap/>
            <w:vAlign w:val="center"/>
            <w:hideMark/>
          </w:tcPr>
          <w:p w14:paraId="011EFC2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1366.5</w:t>
            </w:r>
          </w:p>
        </w:tc>
        <w:tc>
          <w:tcPr>
            <w:tcW w:w="682" w:type="dxa"/>
            <w:tcBorders>
              <w:top w:val="nil"/>
              <w:left w:val="nil"/>
              <w:bottom w:val="single" w:sz="4" w:space="0" w:color="auto"/>
              <w:right w:val="single" w:sz="4" w:space="0" w:color="auto"/>
            </w:tcBorders>
            <w:shd w:val="clear" w:color="auto" w:fill="auto"/>
            <w:noWrap/>
            <w:vAlign w:val="center"/>
            <w:hideMark/>
          </w:tcPr>
          <w:p w14:paraId="1CBB786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1597.5</w:t>
            </w:r>
          </w:p>
        </w:tc>
        <w:tc>
          <w:tcPr>
            <w:tcW w:w="682" w:type="dxa"/>
            <w:tcBorders>
              <w:top w:val="nil"/>
              <w:left w:val="nil"/>
              <w:bottom w:val="single" w:sz="4" w:space="0" w:color="auto"/>
              <w:right w:val="single" w:sz="4" w:space="0" w:color="auto"/>
            </w:tcBorders>
            <w:shd w:val="clear" w:color="auto" w:fill="auto"/>
            <w:noWrap/>
            <w:vAlign w:val="center"/>
            <w:hideMark/>
          </w:tcPr>
          <w:p w14:paraId="5F07996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1862.5</w:t>
            </w:r>
          </w:p>
        </w:tc>
        <w:tc>
          <w:tcPr>
            <w:tcW w:w="682" w:type="dxa"/>
            <w:tcBorders>
              <w:top w:val="nil"/>
              <w:left w:val="nil"/>
              <w:bottom w:val="single" w:sz="4" w:space="0" w:color="auto"/>
              <w:right w:val="single" w:sz="4" w:space="0" w:color="auto"/>
            </w:tcBorders>
            <w:shd w:val="clear" w:color="auto" w:fill="auto"/>
            <w:noWrap/>
            <w:vAlign w:val="center"/>
            <w:hideMark/>
          </w:tcPr>
          <w:p w14:paraId="4196004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2110</w:t>
            </w:r>
          </w:p>
        </w:tc>
        <w:tc>
          <w:tcPr>
            <w:tcW w:w="682" w:type="dxa"/>
            <w:tcBorders>
              <w:top w:val="nil"/>
              <w:left w:val="nil"/>
              <w:bottom w:val="single" w:sz="4" w:space="0" w:color="auto"/>
              <w:right w:val="single" w:sz="4" w:space="0" w:color="auto"/>
            </w:tcBorders>
            <w:shd w:val="clear" w:color="auto" w:fill="auto"/>
            <w:noWrap/>
            <w:vAlign w:val="center"/>
            <w:hideMark/>
          </w:tcPr>
          <w:p w14:paraId="3295170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2394</w:t>
            </w:r>
          </w:p>
        </w:tc>
        <w:tc>
          <w:tcPr>
            <w:tcW w:w="682" w:type="dxa"/>
            <w:tcBorders>
              <w:top w:val="nil"/>
              <w:left w:val="nil"/>
              <w:bottom w:val="single" w:sz="4" w:space="0" w:color="auto"/>
              <w:right w:val="single" w:sz="4" w:space="0" w:color="auto"/>
            </w:tcBorders>
            <w:shd w:val="clear" w:color="auto" w:fill="auto"/>
            <w:noWrap/>
            <w:vAlign w:val="center"/>
            <w:hideMark/>
          </w:tcPr>
          <w:p w14:paraId="1CA25293"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w:t>
            </w:r>
          </w:p>
        </w:tc>
      </w:tr>
      <w:tr w:rsidR="00CC66B7" w:rsidRPr="00D93D2D" w14:paraId="55447110" w14:textId="77777777" w:rsidTr="00CC66B7">
        <w:trPr>
          <w:trHeight w:val="251"/>
        </w:trPr>
        <w:tc>
          <w:tcPr>
            <w:tcW w:w="2048" w:type="dxa"/>
            <w:tcBorders>
              <w:top w:val="nil"/>
              <w:left w:val="single" w:sz="4" w:space="0" w:color="auto"/>
              <w:bottom w:val="single" w:sz="4" w:space="0" w:color="auto"/>
              <w:right w:val="single" w:sz="4" w:space="0" w:color="auto"/>
            </w:tcBorders>
            <w:shd w:val="clear" w:color="000000" w:fill="DBDBDB"/>
            <w:noWrap/>
            <w:vAlign w:val="center"/>
            <w:hideMark/>
          </w:tcPr>
          <w:p w14:paraId="1EAC5A2E"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w:t>
            </w:r>
          </w:p>
        </w:tc>
        <w:tc>
          <w:tcPr>
            <w:tcW w:w="10252" w:type="dxa"/>
            <w:gridSpan w:val="15"/>
            <w:tcBorders>
              <w:top w:val="single" w:sz="4" w:space="0" w:color="auto"/>
              <w:left w:val="nil"/>
              <w:bottom w:val="single" w:sz="4" w:space="0" w:color="auto"/>
              <w:right w:val="single" w:sz="4" w:space="0" w:color="auto"/>
            </w:tcBorders>
            <w:shd w:val="clear" w:color="000000" w:fill="DBDBDB"/>
            <w:noWrap/>
            <w:vAlign w:val="center"/>
            <w:hideMark/>
          </w:tcPr>
          <w:p w14:paraId="550C55CD" w14:textId="77777777" w:rsidR="00CC66B7" w:rsidRPr="00D93D2D" w:rsidRDefault="00CC66B7" w:rsidP="00CC66B7">
            <w:pPr>
              <w:spacing w:after="0" w:line="240" w:lineRule="auto"/>
              <w:jc w:val="center"/>
              <w:rPr>
                <w:rFonts w:eastAsia="Times New Roman" w:cstheme="minorHAnsi"/>
                <w:i/>
                <w:iCs/>
                <w:color w:val="000000"/>
                <w:sz w:val="16"/>
              </w:rPr>
            </w:pPr>
            <w:r w:rsidRPr="00D93D2D">
              <w:rPr>
                <w:rFonts w:eastAsia="Times New Roman" w:cstheme="minorHAnsi"/>
                <w:i/>
                <w:iCs/>
                <w:color w:val="000000"/>
                <w:sz w:val="16"/>
              </w:rPr>
              <w:t>Calculating # of Omni modules required (90% same day turn-around guarantee)</w:t>
            </w:r>
          </w:p>
        </w:tc>
      </w:tr>
      <w:tr w:rsidR="00CC66B7" w:rsidRPr="00D93D2D" w14:paraId="0CB46596"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3DB2599D" w14:textId="29688FBD"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Frequency beyond 4 test</w:t>
            </w:r>
            <w:r w:rsidR="00BE6C6C" w:rsidRPr="00D93D2D">
              <w:rPr>
                <w:rFonts w:eastAsia="Times New Roman" w:cstheme="minorHAnsi"/>
                <w:color w:val="000000"/>
                <w:sz w:val="16"/>
              </w:rPr>
              <w:t>s</w:t>
            </w:r>
            <w:r w:rsidRPr="00D93D2D">
              <w:rPr>
                <w:rFonts w:eastAsia="Times New Roman" w:cstheme="minorHAnsi"/>
                <w:color w:val="000000"/>
                <w:sz w:val="16"/>
              </w:rPr>
              <w:t xml:space="preserve"> per day</w:t>
            </w:r>
          </w:p>
        </w:tc>
        <w:tc>
          <w:tcPr>
            <w:tcW w:w="739" w:type="dxa"/>
            <w:tcBorders>
              <w:top w:val="nil"/>
              <w:left w:val="nil"/>
              <w:bottom w:val="single" w:sz="4" w:space="0" w:color="auto"/>
              <w:right w:val="single" w:sz="4" w:space="0" w:color="auto"/>
            </w:tcBorders>
            <w:shd w:val="clear" w:color="auto" w:fill="auto"/>
            <w:noWrap/>
            <w:vAlign w:val="center"/>
            <w:hideMark/>
          </w:tcPr>
          <w:p w14:paraId="7E24BDF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37" w:type="dxa"/>
            <w:tcBorders>
              <w:top w:val="nil"/>
              <w:left w:val="nil"/>
              <w:bottom w:val="single" w:sz="4" w:space="0" w:color="auto"/>
              <w:right w:val="single" w:sz="4" w:space="0" w:color="auto"/>
            </w:tcBorders>
            <w:shd w:val="clear" w:color="auto" w:fill="auto"/>
            <w:noWrap/>
            <w:vAlign w:val="center"/>
            <w:hideMark/>
          </w:tcPr>
          <w:p w14:paraId="6298961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12C2661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46D35E9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35E19A3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2AE5AFA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48918A8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w:t>
            </w:r>
          </w:p>
        </w:tc>
        <w:tc>
          <w:tcPr>
            <w:tcW w:w="682" w:type="dxa"/>
            <w:tcBorders>
              <w:top w:val="nil"/>
              <w:left w:val="nil"/>
              <w:bottom w:val="single" w:sz="4" w:space="0" w:color="auto"/>
              <w:right w:val="single" w:sz="4" w:space="0" w:color="auto"/>
            </w:tcBorders>
            <w:shd w:val="clear" w:color="auto" w:fill="auto"/>
            <w:noWrap/>
            <w:vAlign w:val="center"/>
            <w:hideMark/>
          </w:tcPr>
          <w:p w14:paraId="127CB24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41</w:t>
            </w:r>
          </w:p>
        </w:tc>
        <w:tc>
          <w:tcPr>
            <w:tcW w:w="682" w:type="dxa"/>
            <w:tcBorders>
              <w:top w:val="nil"/>
              <w:left w:val="nil"/>
              <w:bottom w:val="single" w:sz="4" w:space="0" w:color="auto"/>
              <w:right w:val="single" w:sz="4" w:space="0" w:color="auto"/>
            </w:tcBorders>
            <w:shd w:val="clear" w:color="auto" w:fill="auto"/>
            <w:noWrap/>
            <w:vAlign w:val="center"/>
            <w:hideMark/>
          </w:tcPr>
          <w:p w14:paraId="54D098C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83</w:t>
            </w:r>
          </w:p>
        </w:tc>
        <w:tc>
          <w:tcPr>
            <w:tcW w:w="682" w:type="dxa"/>
            <w:tcBorders>
              <w:top w:val="nil"/>
              <w:left w:val="nil"/>
              <w:bottom w:val="single" w:sz="4" w:space="0" w:color="auto"/>
              <w:right w:val="single" w:sz="4" w:space="0" w:color="auto"/>
            </w:tcBorders>
            <w:shd w:val="clear" w:color="auto" w:fill="auto"/>
            <w:noWrap/>
            <w:vAlign w:val="center"/>
            <w:hideMark/>
          </w:tcPr>
          <w:p w14:paraId="6181C03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150</w:t>
            </w:r>
          </w:p>
        </w:tc>
        <w:tc>
          <w:tcPr>
            <w:tcW w:w="682" w:type="dxa"/>
            <w:tcBorders>
              <w:top w:val="nil"/>
              <w:left w:val="nil"/>
              <w:bottom w:val="single" w:sz="4" w:space="0" w:color="auto"/>
              <w:right w:val="single" w:sz="4" w:space="0" w:color="auto"/>
            </w:tcBorders>
            <w:shd w:val="clear" w:color="auto" w:fill="auto"/>
            <w:noWrap/>
            <w:vAlign w:val="center"/>
            <w:hideMark/>
          </w:tcPr>
          <w:p w14:paraId="49B8DBF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173</w:t>
            </w:r>
          </w:p>
        </w:tc>
        <w:tc>
          <w:tcPr>
            <w:tcW w:w="682" w:type="dxa"/>
            <w:tcBorders>
              <w:top w:val="nil"/>
              <w:left w:val="nil"/>
              <w:bottom w:val="single" w:sz="4" w:space="0" w:color="auto"/>
              <w:right w:val="single" w:sz="4" w:space="0" w:color="auto"/>
            </w:tcBorders>
            <w:shd w:val="clear" w:color="auto" w:fill="auto"/>
            <w:noWrap/>
            <w:vAlign w:val="center"/>
            <w:hideMark/>
          </w:tcPr>
          <w:p w14:paraId="53DBA3F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227</w:t>
            </w:r>
          </w:p>
        </w:tc>
        <w:tc>
          <w:tcPr>
            <w:tcW w:w="682" w:type="dxa"/>
            <w:tcBorders>
              <w:top w:val="nil"/>
              <w:left w:val="nil"/>
              <w:bottom w:val="single" w:sz="4" w:space="0" w:color="auto"/>
              <w:right w:val="single" w:sz="4" w:space="0" w:color="auto"/>
            </w:tcBorders>
            <w:shd w:val="clear" w:color="auto" w:fill="auto"/>
            <w:noWrap/>
            <w:vAlign w:val="center"/>
            <w:hideMark/>
          </w:tcPr>
          <w:p w14:paraId="2C2D2F2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241</w:t>
            </w:r>
          </w:p>
        </w:tc>
        <w:tc>
          <w:tcPr>
            <w:tcW w:w="682" w:type="dxa"/>
            <w:tcBorders>
              <w:top w:val="nil"/>
              <w:left w:val="nil"/>
              <w:bottom w:val="single" w:sz="4" w:space="0" w:color="auto"/>
              <w:right w:val="single" w:sz="4" w:space="0" w:color="auto"/>
            </w:tcBorders>
            <w:shd w:val="clear" w:color="auto" w:fill="auto"/>
            <w:noWrap/>
            <w:vAlign w:val="center"/>
            <w:hideMark/>
          </w:tcPr>
          <w:p w14:paraId="5C7642B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238</w:t>
            </w:r>
          </w:p>
        </w:tc>
        <w:tc>
          <w:tcPr>
            <w:tcW w:w="682" w:type="dxa"/>
            <w:tcBorders>
              <w:top w:val="nil"/>
              <w:left w:val="nil"/>
              <w:bottom w:val="single" w:sz="4" w:space="0" w:color="auto"/>
              <w:right w:val="single" w:sz="4" w:space="0" w:color="auto"/>
            </w:tcBorders>
            <w:shd w:val="clear" w:color="auto" w:fill="auto"/>
            <w:noWrap/>
            <w:vAlign w:val="center"/>
            <w:hideMark/>
          </w:tcPr>
          <w:p w14:paraId="3FE9F04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247</w:t>
            </w:r>
          </w:p>
        </w:tc>
      </w:tr>
      <w:tr w:rsidR="00CC66B7" w:rsidRPr="00D93D2D" w14:paraId="08760B3D"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7FA9D406" w14:textId="2B5F154F"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Frequency beyond 8 test</w:t>
            </w:r>
            <w:r w:rsidR="00BE6C6C" w:rsidRPr="00D93D2D">
              <w:rPr>
                <w:rFonts w:eastAsia="Times New Roman" w:cstheme="minorHAnsi"/>
                <w:color w:val="000000"/>
                <w:sz w:val="16"/>
              </w:rPr>
              <w:t>s</w:t>
            </w:r>
            <w:r w:rsidRPr="00D93D2D">
              <w:rPr>
                <w:rFonts w:eastAsia="Times New Roman" w:cstheme="minorHAnsi"/>
                <w:color w:val="000000"/>
                <w:sz w:val="16"/>
              </w:rPr>
              <w:t xml:space="preserve"> per day</w:t>
            </w:r>
          </w:p>
        </w:tc>
        <w:tc>
          <w:tcPr>
            <w:tcW w:w="739" w:type="dxa"/>
            <w:tcBorders>
              <w:top w:val="nil"/>
              <w:left w:val="nil"/>
              <w:bottom w:val="single" w:sz="4" w:space="0" w:color="auto"/>
              <w:right w:val="single" w:sz="4" w:space="0" w:color="auto"/>
            </w:tcBorders>
            <w:shd w:val="clear" w:color="auto" w:fill="auto"/>
            <w:noWrap/>
            <w:vAlign w:val="center"/>
            <w:hideMark/>
          </w:tcPr>
          <w:p w14:paraId="3137F4A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37" w:type="dxa"/>
            <w:tcBorders>
              <w:top w:val="nil"/>
              <w:left w:val="nil"/>
              <w:bottom w:val="single" w:sz="4" w:space="0" w:color="auto"/>
              <w:right w:val="single" w:sz="4" w:space="0" w:color="auto"/>
            </w:tcBorders>
            <w:shd w:val="clear" w:color="auto" w:fill="auto"/>
            <w:noWrap/>
            <w:vAlign w:val="center"/>
            <w:hideMark/>
          </w:tcPr>
          <w:p w14:paraId="4AB1518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0F9298D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05FE4B4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079B584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6D95B7E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23BD60F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333E301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73C6961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w:t>
            </w:r>
          </w:p>
        </w:tc>
        <w:tc>
          <w:tcPr>
            <w:tcW w:w="682" w:type="dxa"/>
            <w:tcBorders>
              <w:top w:val="nil"/>
              <w:left w:val="nil"/>
              <w:bottom w:val="single" w:sz="4" w:space="0" w:color="auto"/>
              <w:right w:val="single" w:sz="4" w:space="0" w:color="auto"/>
            </w:tcBorders>
            <w:shd w:val="clear" w:color="auto" w:fill="auto"/>
            <w:noWrap/>
            <w:vAlign w:val="center"/>
            <w:hideMark/>
          </w:tcPr>
          <w:p w14:paraId="2479377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w:t>
            </w:r>
          </w:p>
        </w:tc>
        <w:tc>
          <w:tcPr>
            <w:tcW w:w="682" w:type="dxa"/>
            <w:tcBorders>
              <w:top w:val="nil"/>
              <w:left w:val="nil"/>
              <w:bottom w:val="single" w:sz="4" w:space="0" w:color="auto"/>
              <w:right w:val="single" w:sz="4" w:space="0" w:color="auto"/>
            </w:tcBorders>
            <w:shd w:val="clear" w:color="auto" w:fill="auto"/>
            <w:noWrap/>
            <w:vAlign w:val="center"/>
            <w:hideMark/>
          </w:tcPr>
          <w:p w14:paraId="5950B55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35</w:t>
            </w:r>
          </w:p>
        </w:tc>
        <w:tc>
          <w:tcPr>
            <w:tcW w:w="682" w:type="dxa"/>
            <w:tcBorders>
              <w:top w:val="nil"/>
              <w:left w:val="nil"/>
              <w:bottom w:val="single" w:sz="4" w:space="0" w:color="auto"/>
              <w:right w:val="single" w:sz="4" w:space="0" w:color="auto"/>
            </w:tcBorders>
            <w:shd w:val="clear" w:color="auto" w:fill="auto"/>
            <w:noWrap/>
            <w:vAlign w:val="center"/>
            <w:hideMark/>
          </w:tcPr>
          <w:p w14:paraId="084A2C9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66</w:t>
            </w:r>
          </w:p>
        </w:tc>
        <w:tc>
          <w:tcPr>
            <w:tcW w:w="682" w:type="dxa"/>
            <w:tcBorders>
              <w:top w:val="nil"/>
              <w:left w:val="nil"/>
              <w:bottom w:val="single" w:sz="4" w:space="0" w:color="auto"/>
              <w:right w:val="single" w:sz="4" w:space="0" w:color="auto"/>
            </w:tcBorders>
            <w:shd w:val="clear" w:color="auto" w:fill="auto"/>
            <w:noWrap/>
            <w:vAlign w:val="center"/>
            <w:hideMark/>
          </w:tcPr>
          <w:p w14:paraId="209D701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682" w:type="dxa"/>
            <w:tcBorders>
              <w:top w:val="nil"/>
              <w:left w:val="nil"/>
              <w:bottom w:val="single" w:sz="4" w:space="0" w:color="auto"/>
              <w:right w:val="single" w:sz="4" w:space="0" w:color="auto"/>
            </w:tcBorders>
            <w:shd w:val="clear" w:color="auto" w:fill="auto"/>
            <w:noWrap/>
            <w:vAlign w:val="center"/>
            <w:hideMark/>
          </w:tcPr>
          <w:p w14:paraId="52E267B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127</w:t>
            </w:r>
          </w:p>
        </w:tc>
        <w:tc>
          <w:tcPr>
            <w:tcW w:w="682" w:type="dxa"/>
            <w:tcBorders>
              <w:top w:val="nil"/>
              <w:left w:val="nil"/>
              <w:bottom w:val="single" w:sz="4" w:space="0" w:color="auto"/>
              <w:right w:val="single" w:sz="4" w:space="0" w:color="auto"/>
            </w:tcBorders>
            <w:shd w:val="clear" w:color="auto" w:fill="auto"/>
            <w:noWrap/>
            <w:vAlign w:val="center"/>
            <w:hideMark/>
          </w:tcPr>
          <w:p w14:paraId="52B1C24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175</w:t>
            </w:r>
          </w:p>
        </w:tc>
      </w:tr>
      <w:tr w:rsidR="00CC66B7" w:rsidRPr="00D93D2D" w14:paraId="68727FFE"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3399CB8C" w14:textId="79C154C2"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Frequency beyond 12 test</w:t>
            </w:r>
            <w:r w:rsidR="00BE6C6C" w:rsidRPr="00D93D2D">
              <w:rPr>
                <w:rFonts w:eastAsia="Times New Roman" w:cstheme="minorHAnsi"/>
                <w:color w:val="000000"/>
                <w:sz w:val="16"/>
              </w:rPr>
              <w:t>s</w:t>
            </w:r>
            <w:r w:rsidRPr="00D93D2D">
              <w:rPr>
                <w:rFonts w:eastAsia="Times New Roman" w:cstheme="minorHAnsi"/>
                <w:color w:val="000000"/>
                <w:sz w:val="16"/>
              </w:rPr>
              <w:t xml:space="preserve"> per day</w:t>
            </w:r>
          </w:p>
        </w:tc>
        <w:tc>
          <w:tcPr>
            <w:tcW w:w="739" w:type="dxa"/>
            <w:tcBorders>
              <w:top w:val="nil"/>
              <w:left w:val="nil"/>
              <w:bottom w:val="single" w:sz="4" w:space="0" w:color="auto"/>
              <w:right w:val="single" w:sz="4" w:space="0" w:color="auto"/>
            </w:tcBorders>
            <w:shd w:val="clear" w:color="auto" w:fill="auto"/>
            <w:noWrap/>
            <w:vAlign w:val="center"/>
            <w:hideMark/>
          </w:tcPr>
          <w:p w14:paraId="2E22900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37" w:type="dxa"/>
            <w:tcBorders>
              <w:top w:val="nil"/>
              <w:left w:val="nil"/>
              <w:bottom w:val="single" w:sz="4" w:space="0" w:color="auto"/>
              <w:right w:val="single" w:sz="4" w:space="0" w:color="auto"/>
            </w:tcBorders>
            <w:shd w:val="clear" w:color="auto" w:fill="auto"/>
            <w:noWrap/>
            <w:vAlign w:val="center"/>
            <w:hideMark/>
          </w:tcPr>
          <w:p w14:paraId="7EFC320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2C1866C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3F2B9C2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0712AFC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72ED574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163B1D2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74DA6ED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7ADBB3E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599197E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417E7EC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682" w:type="dxa"/>
            <w:tcBorders>
              <w:top w:val="nil"/>
              <w:left w:val="nil"/>
              <w:bottom w:val="single" w:sz="4" w:space="0" w:color="auto"/>
              <w:right w:val="single" w:sz="4" w:space="0" w:color="auto"/>
            </w:tcBorders>
            <w:shd w:val="clear" w:color="auto" w:fill="auto"/>
            <w:noWrap/>
            <w:vAlign w:val="center"/>
            <w:hideMark/>
          </w:tcPr>
          <w:p w14:paraId="2CD2285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w:t>
            </w:r>
          </w:p>
        </w:tc>
        <w:tc>
          <w:tcPr>
            <w:tcW w:w="682" w:type="dxa"/>
            <w:tcBorders>
              <w:top w:val="nil"/>
              <w:left w:val="nil"/>
              <w:bottom w:val="single" w:sz="4" w:space="0" w:color="auto"/>
              <w:right w:val="single" w:sz="4" w:space="0" w:color="auto"/>
            </w:tcBorders>
            <w:shd w:val="clear" w:color="auto" w:fill="auto"/>
            <w:noWrap/>
            <w:vAlign w:val="center"/>
            <w:hideMark/>
          </w:tcPr>
          <w:p w14:paraId="1561F36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12</w:t>
            </w:r>
          </w:p>
        </w:tc>
        <w:tc>
          <w:tcPr>
            <w:tcW w:w="682" w:type="dxa"/>
            <w:tcBorders>
              <w:top w:val="nil"/>
              <w:left w:val="nil"/>
              <w:bottom w:val="single" w:sz="4" w:space="0" w:color="auto"/>
              <w:right w:val="single" w:sz="4" w:space="0" w:color="auto"/>
            </w:tcBorders>
            <w:shd w:val="clear" w:color="auto" w:fill="auto"/>
            <w:noWrap/>
            <w:vAlign w:val="center"/>
            <w:hideMark/>
          </w:tcPr>
          <w:p w14:paraId="69C3D54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44</w:t>
            </w:r>
          </w:p>
        </w:tc>
        <w:tc>
          <w:tcPr>
            <w:tcW w:w="682" w:type="dxa"/>
            <w:tcBorders>
              <w:top w:val="nil"/>
              <w:left w:val="nil"/>
              <w:bottom w:val="single" w:sz="4" w:space="0" w:color="auto"/>
              <w:right w:val="single" w:sz="4" w:space="0" w:color="auto"/>
            </w:tcBorders>
            <w:shd w:val="clear" w:color="auto" w:fill="auto"/>
            <w:noWrap/>
            <w:vAlign w:val="center"/>
            <w:hideMark/>
          </w:tcPr>
          <w:p w14:paraId="18D96E8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53</w:t>
            </w:r>
          </w:p>
        </w:tc>
      </w:tr>
      <w:tr w:rsidR="00CC66B7" w:rsidRPr="00D93D2D" w14:paraId="48E82385"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0BA527A4" w14:textId="2B7AE68E"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same day coverage w</w:t>
            </w:r>
            <w:r w:rsidR="00BE6C6C" w:rsidRPr="00D93D2D">
              <w:rPr>
                <w:rFonts w:eastAsia="Times New Roman" w:cstheme="minorHAnsi"/>
                <w:color w:val="000000"/>
                <w:sz w:val="16"/>
              </w:rPr>
              <w:t>ith</w:t>
            </w:r>
            <w:r w:rsidRPr="00D93D2D">
              <w:rPr>
                <w:rFonts w:eastAsia="Times New Roman" w:cstheme="minorHAnsi"/>
                <w:color w:val="000000"/>
                <w:sz w:val="16"/>
              </w:rPr>
              <w:t xml:space="preserve"> 1 Omni</w:t>
            </w:r>
            <w:r w:rsidR="00BE6C6C" w:rsidRPr="00D93D2D">
              <w:rPr>
                <w:rFonts w:eastAsia="Times New Roman" w:cstheme="minorHAnsi"/>
                <w:color w:val="000000"/>
                <w:sz w:val="16"/>
              </w:rPr>
              <w:t>/Edge</w:t>
            </w:r>
          </w:p>
        </w:tc>
        <w:tc>
          <w:tcPr>
            <w:tcW w:w="739" w:type="dxa"/>
            <w:tcBorders>
              <w:top w:val="nil"/>
              <w:left w:val="nil"/>
              <w:bottom w:val="single" w:sz="4" w:space="0" w:color="auto"/>
              <w:right w:val="single" w:sz="4" w:space="0" w:color="auto"/>
            </w:tcBorders>
            <w:shd w:val="clear" w:color="auto" w:fill="auto"/>
            <w:noWrap/>
            <w:vAlign w:val="center"/>
            <w:hideMark/>
          </w:tcPr>
          <w:p w14:paraId="59EE756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637" w:type="dxa"/>
            <w:tcBorders>
              <w:top w:val="nil"/>
              <w:left w:val="nil"/>
              <w:bottom w:val="single" w:sz="4" w:space="0" w:color="auto"/>
              <w:right w:val="single" w:sz="4" w:space="0" w:color="auto"/>
            </w:tcBorders>
            <w:shd w:val="clear" w:color="auto" w:fill="auto"/>
            <w:noWrap/>
            <w:vAlign w:val="center"/>
            <w:hideMark/>
          </w:tcPr>
          <w:p w14:paraId="2C1BAEF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682" w:type="dxa"/>
            <w:tcBorders>
              <w:top w:val="nil"/>
              <w:left w:val="nil"/>
              <w:bottom w:val="single" w:sz="4" w:space="0" w:color="auto"/>
              <w:right w:val="single" w:sz="4" w:space="0" w:color="auto"/>
            </w:tcBorders>
            <w:shd w:val="clear" w:color="auto" w:fill="auto"/>
            <w:noWrap/>
            <w:vAlign w:val="center"/>
            <w:hideMark/>
          </w:tcPr>
          <w:p w14:paraId="3D130CF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682" w:type="dxa"/>
            <w:tcBorders>
              <w:top w:val="nil"/>
              <w:left w:val="nil"/>
              <w:bottom w:val="single" w:sz="4" w:space="0" w:color="auto"/>
              <w:right w:val="single" w:sz="4" w:space="0" w:color="auto"/>
            </w:tcBorders>
            <w:shd w:val="clear" w:color="auto" w:fill="auto"/>
            <w:noWrap/>
            <w:vAlign w:val="center"/>
            <w:hideMark/>
          </w:tcPr>
          <w:p w14:paraId="1EE47F0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682" w:type="dxa"/>
            <w:tcBorders>
              <w:top w:val="nil"/>
              <w:left w:val="nil"/>
              <w:bottom w:val="single" w:sz="4" w:space="0" w:color="auto"/>
              <w:right w:val="single" w:sz="4" w:space="0" w:color="auto"/>
            </w:tcBorders>
            <w:shd w:val="clear" w:color="auto" w:fill="auto"/>
            <w:noWrap/>
            <w:vAlign w:val="center"/>
            <w:hideMark/>
          </w:tcPr>
          <w:p w14:paraId="3EE8E9B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682" w:type="dxa"/>
            <w:tcBorders>
              <w:top w:val="nil"/>
              <w:left w:val="nil"/>
              <w:bottom w:val="single" w:sz="4" w:space="0" w:color="auto"/>
              <w:right w:val="single" w:sz="4" w:space="0" w:color="auto"/>
            </w:tcBorders>
            <w:shd w:val="clear" w:color="auto" w:fill="auto"/>
            <w:noWrap/>
            <w:vAlign w:val="center"/>
            <w:hideMark/>
          </w:tcPr>
          <w:p w14:paraId="085B96C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682" w:type="dxa"/>
            <w:tcBorders>
              <w:top w:val="nil"/>
              <w:left w:val="nil"/>
              <w:bottom w:val="single" w:sz="4" w:space="0" w:color="auto"/>
              <w:right w:val="single" w:sz="4" w:space="0" w:color="auto"/>
            </w:tcBorders>
            <w:shd w:val="clear" w:color="auto" w:fill="auto"/>
            <w:noWrap/>
            <w:vAlign w:val="center"/>
            <w:hideMark/>
          </w:tcPr>
          <w:p w14:paraId="3CB3529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96%</w:t>
            </w:r>
          </w:p>
        </w:tc>
        <w:tc>
          <w:tcPr>
            <w:tcW w:w="682" w:type="dxa"/>
            <w:tcBorders>
              <w:top w:val="nil"/>
              <w:left w:val="nil"/>
              <w:bottom w:val="single" w:sz="4" w:space="0" w:color="auto"/>
              <w:right w:val="single" w:sz="4" w:space="0" w:color="auto"/>
            </w:tcBorders>
            <w:shd w:val="clear" w:color="auto" w:fill="auto"/>
            <w:noWrap/>
            <w:vAlign w:val="center"/>
            <w:hideMark/>
          </w:tcPr>
          <w:p w14:paraId="4673401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84%</w:t>
            </w:r>
          </w:p>
        </w:tc>
        <w:tc>
          <w:tcPr>
            <w:tcW w:w="682" w:type="dxa"/>
            <w:tcBorders>
              <w:top w:val="nil"/>
              <w:left w:val="nil"/>
              <w:bottom w:val="single" w:sz="4" w:space="0" w:color="auto"/>
              <w:right w:val="single" w:sz="4" w:space="0" w:color="auto"/>
            </w:tcBorders>
            <w:shd w:val="clear" w:color="auto" w:fill="auto"/>
            <w:noWrap/>
            <w:vAlign w:val="center"/>
            <w:hideMark/>
          </w:tcPr>
          <w:p w14:paraId="4E6EB42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67%</w:t>
            </w:r>
          </w:p>
        </w:tc>
        <w:tc>
          <w:tcPr>
            <w:tcW w:w="682" w:type="dxa"/>
            <w:tcBorders>
              <w:top w:val="nil"/>
              <w:left w:val="nil"/>
              <w:bottom w:val="single" w:sz="4" w:space="0" w:color="auto"/>
              <w:right w:val="single" w:sz="4" w:space="0" w:color="auto"/>
            </w:tcBorders>
            <w:shd w:val="clear" w:color="auto" w:fill="auto"/>
            <w:noWrap/>
            <w:vAlign w:val="center"/>
            <w:hideMark/>
          </w:tcPr>
          <w:p w14:paraId="080146E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40%</w:t>
            </w:r>
          </w:p>
        </w:tc>
        <w:tc>
          <w:tcPr>
            <w:tcW w:w="682" w:type="dxa"/>
            <w:tcBorders>
              <w:top w:val="nil"/>
              <w:left w:val="nil"/>
              <w:bottom w:val="single" w:sz="4" w:space="0" w:color="auto"/>
              <w:right w:val="single" w:sz="4" w:space="0" w:color="auto"/>
            </w:tcBorders>
            <w:shd w:val="clear" w:color="auto" w:fill="auto"/>
            <w:noWrap/>
            <w:vAlign w:val="center"/>
            <w:hideMark/>
          </w:tcPr>
          <w:p w14:paraId="340A01D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31%</w:t>
            </w:r>
          </w:p>
        </w:tc>
        <w:tc>
          <w:tcPr>
            <w:tcW w:w="682" w:type="dxa"/>
            <w:tcBorders>
              <w:top w:val="nil"/>
              <w:left w:val="nil"/>
              <w:bottom w:val="single" w:sz="4" w:space="0" w:color="auto"/>
              <w:right w:val="single" w:sz="4" w:space="0" w:color="auto"/>
            </w:tcBorders>
            <w:shd w:val="clear" w:color="auto" w:fill="auto"/>
            <w:noWrap/>
            <w:vAlign w:val="center"/>
            <w:hideMark/>
          </w:tcPr>
          <w:p w14:paraId="7EF604A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w:t>
            </w:r>
          </w:p>
        </w:tc>
        <w:tc>
          <w:tcPr>
            <w:tcW w:w="682" w:type="dxa"/>
            <w:tcBorders>
              <w:top w:val="nil"/>
              <w:left w:val="nil"/>
              <w:bottom w:val="single" w:sz="4" w:space="0" w:color="auto"/>
              <w:right w:val="single" w:sz="4" w:space="0" w:color="auto"/>
            </w:tcBorders>
            <w:shd w:val="clear" w:color="auto" w:fill="auto"/>
            <w:noWrap/>
            <w:vAlign w:val="center"/>
            <w:hideMark/>
          </w:tcPr>
          <w:p w14:paraId="3F1D493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w:t>
            </w:r>
          </w:p>
        </w:tc>
        <w:tc>
          <w:tcPr>
            <w:tcW w:w="682" w:type="dxa"/>
            <w:tcBorders>
              <w:top w:val="nil"/>
              <w:left w:val="nil"/>
              <w:bottom w:val="single" w:sz="4" w:space="0" w:color="auto"/>
              <w:right w:val="single" w:sz="4" w:space="0" w:color="auto"/>
            </w:tcBorders>
            <w:shd w:val="clear" w:color="auto" w:fill="auto"/>
            <w:noWrap/>
            <w:vAlign w:val="center"/>
            <w:hideMark/>
          </w:tcPr>
          <w:p w14:paraId="618DC46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w:t>
            </w:r>
          </w:p>
        </w:tc>
        <w:tc>
          <w:tcPr>
            <w:tcW w:w="682" w:type="dxa"/>
            <w:tcBorders>
              <w:top w:val="nil"/>
              <w:left w:val="nil"/>
              <w:bottom w:val="single" w:sz="4" w:space="0" w:color="auto"/>
              <w:right w:val="single" w:sz="4" w:space="0" w:color="auto"/>
            </w:tcBorders>
            <w:shd w:val="clear" w:color="auto" w:fill="auto"/>
            <w:noWrap/>
            <w:vAlign w:val="center"/>
            <w:hideMark/>
          </w:tcPr>
          <w:p w14:paraId="16B56B7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r>
      <w:tr w:rsidR="00CC66B7" w:rsidRPr="00D93D2D" w14:paraId="0F20FC72"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0CA7921E" w14:textId="24EB95A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same day coverage w</w:t>
            </w:r>
            <w:r w:rsidR="00BE6C6C" w:rsidRPr="00D93D2D">
              <w:rPr>
                <w:rFonts w:eastAsia="Times New Roman" w:cstheme="minorHAnsi"/>
                <w:color w:val="000000"/>
                <w:sz w:val="16"/>
              </w:rPr>
              <w:t>ith</w:t>
            </w:r>
            <w:r w:rsidRPr="00D93D2D">
              <w:rPr>
                <w:rFonts w:eastAsia="Times New Roman" w:cstheme="minorHAnsi"/>
                <w:color w:val="000000"/>
                <w:sz w:val="16"/>
              </w:rPr>
              <w:t xml:space="preserve"> 2 Omni</w:t>
            </w:r>
            <w:r w:rsidR="00BE6C6C" w:rsidRPr="00D93D2D">
              <w:rPr>
                <w:rFonts w:eastAsia="Times New Roman" w:cstheme="minorHAnsi"/>
                <w:color w:val="000000"/>
                <w:sz w:val="16"/>
              </w:rPr>
              <w:t>/Edge</w:t>
            </w:r>
          </w:p>
        </w:tc>
        <w:tc>
          <w:tcPr>
            <w:tcW w:w="739" w:type="dxa"/>
            <w:tcBorders>
              <w:top w:val="nil"/>
              <w:left w:val="nil"/>
              <w:bottom w:val="single" w:sz="4" w:space="0" w:color="auto"/>
              <w:right w:val="single" w:sz="4" w:space="0" w:color="auto"/>
            </w:tcBorders>
            <w:shd w:val="clear" w:color="auto" w:fill="auto"/>
            <w:noWrap/>
            <w:vAlign w:val="center"/>
            <w:hideMark/>
          </w:tcPr>
          <w:p w14:paraId="139D327D"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37" w:type="dxa"/>
            <w:tcBorders>
              <w:top w:val="nil"/>
              <w:left w:val="nil"/>
              <w:bottom w:val="single" w:sz="4" w:space="0" w:color="auto"/>
              <w:right w:val="single" w:sz="4" w:space="0" w:color="auto"/>
            </w:tcBorders>
            <w:shd w:val="clear" w:color="auto" w:fill="auto"/>
            <w:noWrap/>
            <w:vAlign w:val="center"/>
            <w:hideMark/>
          </w:tcPr>
          <w:p w14:paraId="10A6919F"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612D3AAE"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1F310EB6"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380E2C5E"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12C8DA3C"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3E68D93C"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5762976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682" w:type="dxa"/>
            <w:tcBorders>
              <w:top w:val="nil"/>
              <w:left w:val="nil"/>
              <w:bottom w:val="single" w:sz="4" w:space="0" w:color="auto"/>
              <w:right w:val="single" w:sz="4" w:space="0" w:color="auto"/>
            </w:tcBorders>
            <w:shd w:val="clear" w:color="auto" w:fill="auto"/>
            <w:noWrap/>
            <w:vAlign w:val="center"/>
            <w:hideMark/>
          </w:tcPr>
          <w:p w14:paraId="7C583F7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97%</w:t>
            </w:r>
          </w:p>
        </w:tc>
        <w:tc>
          <w:tcPr>
            <w:tcW w:w="682" w:type="dxa"/>
            <w:tcBorders>
              <w:top w:val="nil"/>
              <w:left w:val="nil"/>
              <w:bottom w:val="single" w:sz="4" w:space="0" w:color="auto"/>
              <w:right w:val="single" w:sz="4" w:space="0" w:color="auto"/>
            </w:tcBorders>
            <w:shd w:val="clear" w:color="auto" w:fill="auto"/>
            <w:noWrap/>
            <w:vAlign w:val="center"/>
            <w:hideMark/>
          </w:tcPr>
          <w:p w14:paraId="608860C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94%</w:t>
            </w:r>
          </w:p>
        </w:tc>
        <w:tc>
          <w:tcPr>
            <w:tcW w:w="682" w:type="dxa"/>
            <w:tcBorders>
              <w:top w:val="nil"/>
              <w:left w:val="nil"/>
              <w:bottom w:val="single" w:sz="4" w:space="0" w:color="auto"/>
              <w:right w:val="single" w:sz="4" w:space="0" w:color="auto"/>
            </w:tcBorders>
            <w:shd w:val="clear" w:color="auto" w:fill="auto"/>
            <w:noWrap/>
            <w:vAlign w:val="center"/>
            <w:hideMark/>
          </w:tcPr>
          <w:p w14:paraId="6AF6498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86%</w:t>
            </w:r>
          </w:p>
        </w:tc>
        <w:tc>
          <w:tcPr>
            <w:tcW w:w="682" w:type="dxa"/>
            <w:tcBorders>
              <w:top w:val="nil"/>
              <w:left w:val="nil"/>
              <w:bottom w:val="single" w:sz="4" w:space="0" w:color="auto"/>
              <w:right w:val="single" w:sz="4" w:space="0" w:color="auto"/>
            </w:tcBorders>
            <w:shd w:val="clear" w:color="auto" w:fill="auto"/>
            <w:noWrap/>
            <w:vAlign w:val="center"/>
            <w:hideMark/>
          </w:tcPr>
          <w:p w14:paraId="05707F1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74%</w:t>
            </w:r>
          </w:p>
        </w:tc>
        <w:tc>
          <w:tcPr>
            <w:tcW w:w="682" w:type="dxa"/>
            <w:tcBorders>
              <w:top w:val="nil"/>
              <w:left w:val="nil"/>
              <w:bottom w:val="single" w:sz="4" w:space="0" w:color="auto"/>
              <w:right w:val="single" w:sz="4" w:space="0" w:color="auto"/>
            </w:tcBorders>
            <w:shd w:val="clear" w:color="auto" w:fill="auto"/>
            <w:noWrap/>
            <w:vAlign w:val="center"/>
            <w:hideMark/>
          </w:tcPr>
          <w:p w14:paraId="47C8595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60%</w:t>
            </w:r>
          </w:p>
        </w:tc>
        <w:tc>
          <w:tcPr>
            <w:tcW w:w="682" w:type="dxa"/>
            <w:tcBorders>
              <w:top w:val="nil"/>
              <w:left w:val="nil"/>
              <w:bottom w:val="single" w:sz="4" w:space="0" w:color="auto"/>
              <w:right w:val="single" w:sz="4" w:space="0" w:color="auto"/>
            </w:tcBorders>
            <w:shd w:val="clear" w:color="auto" w:fill="auto"/>
            <w:noWrap/>
            <w:vAlign w:val="center"/>
            <w:hideMark/>
          </w:tcPr>
          <w:p w14:paraId="6C17489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49%</w:t>
            </w:r>
          </w:p>
        </w:tc>
        <w:tc>
          <w:tcPr>
            <w:tcW w:w="682" w:type="dxa"/>
            <w:tcBorders>
              <w:top w:val="nil"/>
              <w:left w:val="nil"/>
              <w:bottom w:val="single" w:sz="4" w:space="0" w:color="auto"/>
              <w:right w:val="single" w:sz="4" w:space="0" w:color="auto"/>
            </w:tcBorders>
            <w:shd w:val="clear" w:color="auto" w:fill="auto"/>
            <w:noWrap/>
            <w:vAlign w:val="center"/>
            <w:hideMark/>
          </w:tcPr>
          <w:p w14:paraId="5448FD0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30%</w:t>
            </w:r>
          </w:p>
        </w:tc>
      </w:tr>
      <w:tr w:rsidR="00CC66B7" w:rsidRPr="00D93D2D" w14:paraId="14202865"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7F816CA3" w14:textId="7CD8E6C1"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same day coverage w</w:t>
            </w:r>
            <w:r w:rsidR="00BE6C6C" w:rsidRPr="00D93D2D">
              <w:rPr>
                <w:rFonts w:eastAsia="Times New Roman" w:cstheme="minorHAnsi"/>
                <w:color w:val="000000"/>
                <w:sz w:val="16"/>
              </w:rPr>
              <w:t>ith</w:t>
            </w:r>
            <w:r w:rsidRPr="00D93D2D">
              <w:rPr>
                <w:rFonts w:eastAsia="Times New Roman" w:cstheme="minorHAnsi"/>
                <w:color w:val="000000"/>
                <w:sz w:val="16"/>
              </w:rPr>
              <w:t xml:space="preserve"> 3 Omni</w:t>
            </w:r>
            <w:r w:rsidR="00BE6C6C" w:rsidRPr="00D93D2D">
              <w:rPr>
                <w:rFonts w:eastAsia="Times New Roman" w:cstheme="minorHAnsi"/>
                <w:color w:val="000000"/>
                <w:sz w:val="16"/>
              </w:rPr>
              <w:t>/Edge</w:t>
            </w:r>
          </w:p>
        </w:tc>
        <w:tc>
          <w:tcPr>
            <w:tcW w:w="739" w:type="dxa"/>
            <w:tcBorders>
              <w:top w:val="nil"/>
              <w:left w:val="nil"/>
              <w:bottom w:val="single" w:sz="4" w:space="0" w:color="auto"/>
              <w:right w:val="single" w:sz="4" w:space="0" w:color="auto"/>
            </w:tcBorders>
            <w:shd w:val="clear" w:color="auto" w:fill="auto"/>
            <w:noWrap/>
            <w:vAlign w:val="center"/>
            <w:hideMark/>
          </w:tcPr>
          <w:p w14:paraId="2331B781"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37" w:type="dxa"/>
            <w:tcBorders>
              <w:top w:val="nil"/>
              <w:left w:val="nil"/>
              <w:bottom w:val="single" w:sz="4" w:space="0" w:color="auto"/>
              <w:right w:val="single" w:sz="4" w:space="0" w:color="auto"/>
            </w:tcBorders>
            <w:shd w:val="clear" w:color="auto" w:fill="auto"/>
            <w:noWrap/>
            <w:vAlign w:val="center"/>
            <w:hideMark/>
          </w:tcPr>
          <w:p w14:paraId="4559A74E"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1B743434"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540372B3"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235425A1"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6E345AD7"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698DE3A3"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0362D609"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01B9C761"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4F2278E1" w14:textId="77777777" w:rsidR="00CC66B7" w:rsidRPr="00D93D2D" w:rsidRDefault="00CC66B7" w:rsidP="00CC66B7">
            <w:pPr>
              <w:spacing w:after="0" w:line="240" w:lineRule="auto"/>
              <w:jc w:val="center"/>
              <w:rPr>
                <w:rFonts w:eastAsia="Times New Roman" w:cstheme="minorHAnsi"/>
                <w:color w:val="000000"/>
                <w:sz w:val="16"/>
              </w:rPr>
            </w:pPr>
            <w:r w:rsidRPr="00D93D2D">
              <w:rPr>
                <w:rFonts w:eastAsia="Times New Roman" w:cstheme="minorHAnsi"/>
                <w:color w:val="000000"/>
                <w:sz w:val="16"/>
              </w:rPr>
              <w:t>NA</w:t>
            </w:r>
          </w:p>
        </w:tc>
        <w:tc>
          <w:tcPr>
            <w:tcW w:w="682" w:type="dxa"/>
            <w:tcBorders>
              <w:top w:val="nil"/>
              <w:left w:val="nil"/>
              <w:bottom w:val="single" w:sz="4" w:space="0" w:color="auto"/>
              <w:right w:val="single" w:sz="4" w:space="0" w:color="auto"/>
            </w:tcBorders>
            <w:shd w:val="clear" w:color="auto" w:fill="auto"/>
            <w:noWrap/>
            <w:vAlign w:val="center"/>
            <w:hideMark/>
          </w:tcPr>
          <w:p w14:paraId="788422C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682" w:type="dxa"/>
            <w:tcBorders>
              <w:top w:val="nil"/>
              <w:left w:val="nil"/>
              <w:bottom w:val="single" w:sz="4" w:space="0" w:color="auto"/>
              <w:right w:val="single" w:sz="4" w:space="0" w:color="auto"/>
            </w:tcBorders>
            <w:shd w:val="clear" w:color="auto" w:fill="auto"/>
            <w:noWrap/>
            <w:vAlign w:val="center"/>
            <w:hideMark/>
          </w:tcPr>
          <w:p w14:paraId="0036673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98%</w:t>
            </w:r>
          </w:p>
        </w:tc>
        <w:tc>
          <w:tcPr>
            <w:tcW w:w="682" w:type="dxa"/>
            <w:tcBorders>
              <w:top w:val="nil"/>
              <w:left w:val="nil"/>
              <w:bottom w:val="single" w:sz="4" w:space="0" w:color="auto"/>
              <w:right w:val="single" w:sz="4" w:space="0" w:color="auto"/>
            </w:tcBorders>
            <w:shd w:val="clear" w:color="auto" w:fill="auto"/>
            <w:noWrap/>
            <w:vAlign w:val="center"/>
            <w:hideMark/>
          </w:tcPr>
          <w:p w14:paraId="42224A7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95%</w:t>
            </w:r>
          </w:p>
        </w:tc>
        <w:tc>
          <w:tcPr>
            <w:tcW w:w="682" w:type="dxa"/>
            <w:tcBorders>
              <w:top w:val="nil"/>
              <w:left w:val="nil"/>
              <w:bottom w:val="single" w:sz="4" w:space="0" w:color="auto"/>
              <w:right w:val="single" w:sz="4" w:space="0" w:color="auto"/>
            </w:tcBorders>
            <w:shd w:val="clear" w:color="auto" w:fill="auto"/>
            <w:noWrap/>
            <w:vAlign w:val="center"/>
            <w:hideMark/>
          </w:tcPr>
          <w:p w14:paraId="388FE53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82%</w:t>
            </w:r>
          </w:p>
        </w:tc>
        <w:tc>
          <w:tcPr>
            <w:tcW w:w="682" w:type="dxa"/>
            <w:tcBorders>
              <w:top w:val="nil"/>
              <w:left w:val="nil"/>
              <w:bottom w:val="single" w:sz="4" w:space="0" w:color="auto"/>
              <w:right w:val="single" w:sz="4" w:space="0" w:color="auto"/>
            </w:tcBorders>
            <w:shd w:val="clear" w:color="auto" w:fill="auto"/>
            <w:noWrap/>
            <w:vAlign w:val="center"/>
            <w:hideMark/>
          </w:tcPr>
          <w:p w14:paraId="03594E5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79%</w:t>
            </w:r>
          </w:p>
        </w:tc>
      </w:tr>
      <w:tr w:rsidR="00CC66B7" w:rsidRPr="00D93D2D" w14:paraId="1409587F"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30BA5FAB"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of Omni Units Required</w:t>
            </w:r>
          </w:p>
        </w:tc>
        <w:tc>
          <w:tcPr>
            <w:tcW w:w="739" w:type="dxa"/>
            <w:tcBorders>
              <w:top w:val="nil"/>
              <w:left w:val="nil"/>
              <w:bottom w:val="single" w:sz="4" w:space="0" w:color="auto"/>
              <w:right w:val="single" w:sz="4" w:space="0" w:color="auto"/>
            </w:tcBorders>
            <w:shd w:val="clear" w:color="auto" w:fill="auto"/>
            <w:noWrap/>
            <w:vAlign w:val="center"/>
            <w:hideMark/>
          </w:tcPr>
          <w:p w14:paraId="78F4E6B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37" w:type="dxa"/>
            <w:tcBorders>
              <w:top w:val="nil"/>
              <w:left w:val="nil"/>
              <w:bottom w:val="single" w:sz="4" w:space="0" w:color="auto"/>
              <w:right w:val="single" w:sz="4" w:space="0" w:color="auto"/>
            </w:tcBorders>
            <w:shd w:val="clear" w:color="auto" w:fill="auto"/>
            <w:noWrap/>
            <w:vAlign w:val="center"/>
            <w:hideMark/>
          </w:tcPr>
          <w:p w14:paraId="6643817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46C9EE9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4BD2300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598A5AD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2BCB7DB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38A385C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744F7C5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2861915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42115C9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2F1A109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682" w:type="dxa"/>
            <w:tcBorders>
              <w:top w:val="nil"/>
              <w:left w:val="nil"/>
              <w:bottom w:val="single" w:sz="4" w:space="0" w:color="auto"/>
              <w:right w:val="single" w:sz="4" w:space="0" w:color="auto"/>
            </w:tcBorders>
            <w:shd w:val="clear" w:color="auto" w:fill="auto"/>
            <w:noWrap/>
            <w:vAlign w:val="center"/>
            <w:hideMark/>
          </w:tcPr>
          <w:p w14:paraId="15FAE40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682" w:type="dxa"/>
            <w:tcBorders>
              <w:top w:val="nil"/>
              <w:left w:val="nil"/>
              <w:bottom w:val="single" w:sz="4" w:space="0" w:color="auto"/>
              <w:right w:val="single" w:sz="4" w:space="0" w:color="auto"/>
            </w:tcBorders>
            <w:shd w:val="clear" w:color="auto" w:fill="auto"/>
            <w:noWrap/>
            <w:vAlign w:val="center"/>
            <w:hideMark/>
          </w:tcPr>
          <w:p w14:paraId="550B518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682" w:type="dxa"/>
            <w:tcBorders>
              <w:top w:val="nil"/>
              <w:left w:val="nil"/>
              <w:bottom w:val="single" w:sz="4" w:space="0" w:color="auto"/>
              <w:right w:val="single" w:sz="4" w:space="0" w:color="auto"/>
            </w:tcBorders>
            <w:shd w:val="clear" w:color="auto" w:fill="auto"/>
            <w:noWrap/>
            <w:vAlign w:val="center"/>
            <w:hideMark/>
          </w:tcPr>
          <w:p w14:paraId="2E42EE6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w:t>
            </w:r>
          </w:p>
        </w:tc>
        <w:tc>
          <w:tcPr>
            <w:tcW w:w="682" w:type="dxa"/>
            <w:tcBorders>
              <w:top w:val="nil"/>
              <w:left w:val="nil"/>
              <w:bottom w:val="single" w:sz="4" w:space="0" w:color="auto"/>
              <w:right w:val="single" w:sz="4" w:space="0" w:color="auto"/>
            </w:tcBorders>
            <w:shd w:val="clear" w:color="auto" w:fill="auto"/>
            <w:noWrap/>
            <w:vAlign w:val="center"/>
            <w:hideMark/>
          </w:tcPr>
          <w:p w14:paraId="58C18B4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w:t>
            </w:r>
          </w:p>
        </w:tc>
      </w:tr>
      <w:tr w:rsidR="00CC66B7" w:rsidRPr="00D93D2D" w14:paraId="5CB6D35B" w14:textId="77777777" w:rsidTr="00CC66B7">
        <w:trPr>
          <w:trHeight w:val="251"/>
        </w:trPr>
        <w:tc>
          <w:tcPr>
            <w:tcW w:w="2048" w:type="dxa"/>
            <w:tcBorders>
              <w:top w:val="nil"/>
              <w:left w:val="single" w:sz="4" w:space="0" w:color="auto"/>
              <w:bottom w:val="single" w:sz="4" w:space="0" w:color="auto"/>
              <w:right w:val="single" w:sz="4" w:space="0" w:color="auto"/>
            </w:tcBorders>
            <w:shd w:val="clear" w:color="000000" w:fill="DBDBDB"/>
            <w:noWrap/>
            <w:vAlign w:val="center"/>
            <w:hideMark/>
          </w:tcPr>
          <w:p w14:paraId="4594C5F8"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w:t>
            </w:r>
          </w:p>
        </w:tc>
        <w:tc>
          <w:tcPr>
            <w:tcW w:w="10252" w:type="dxa"/>
            <w:gridSpan w:val="15"/>
            <w:tcBorders>
              <w:top w:val="single" w:sz="4" w:space="0" w:color="auto"/>
              <w:left w:val="nil"/>
              <w:bottom w:val="single" w:sz="4" w:space="0" w:color="auto"/>
              <w:right w:val="single" w:sz="4" w:space="0" w:color="auto"/>
            </w:tcBorders>
            <w:shd w:val="clear" w:color="000000" w:fill="DBDBDB"/>
            <w:noWrap/>
            <w:vAlign w:val="center"/>
            <w:hideMark/>
          </w:tcPr>
          <w:p w14:paraId="777BA005" w14:textId="77777777" w:rsidR="00CC66B7" w:rsidRPr="00D93D2D" w:rsidRDefault="00CC66B7" w:rsidP="00CC66B7">
            <w:pPr>
              <w:spacing w:after="0" w:line="240" w:lineRule="auto"/>
              <w:jc w:val="center"/>
              <w:rPr>
                <w:rFonts w:eastAsia="Times New Roman" w:cstheme="minorHAnsi"/>
                <w:i/>
                <w:iCs/>
                <w:color w:val="000000"/>
                <w:sz w:val="16"/>
              </w:rPr>
            </w:pPr>
            <w:r w:rsidRPr="00D93D2D">
              <w:rPr>
                <w:rFonts w:eastAsia="Times New Roman" w:cstheme="minorHAnsi"/>
                <w:i/>
                <w:iCs/>
                <w:color w:val="000000"/>
                <w:sz w:val="16"/>
              </w:rPr>
              <w:t xml:space="preserve">Cost Estimates </w:t>
            </w:r>
          </w:p>
        </w:tc>
      </w:tr>
      <w:tr w:rsidR="00CC66B7" w:rsidRPr="00D93D2D" w14:paraId="15E3EB23"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6CD7277E"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xml:space="preserve">Annual EQA cost (PE) </w:t>
            </w:r>
          </w:p>
        </w:tc>
        <w:tc>
          <w:tcPr>
            <w:tcW w:w="739" w:type="dxa"/>
            <w:tcBorders>
              <w:top w:val="nil"/>
              <w:left w:val="nil"/>
              <w:bottom w:val="single" w:sz="4" w:space="0" w:color="auto"/>
              <w:right w:val="single" w:sz="4" w:space="0" w:color="auto"/>
            </w:tcBorders>
            <w:shd w:val="clear" w:color="auto" w:fill="auto"/>
            <w:noWrap/>
            <w:vAlign w:val="center"/>
            <w:hideMark/>
          </w:tcPr>
          <w:p w14:paraId="1512FA0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$115</w:t>
            </w:r>
          </w:p>
        </w:tc>
        <w:tc>
          <w:tcPr>
            <w:tcW w:w="637" w:type="dxa"/>
            <w:tcBorders>
              <w:top w:val="nil"/>
              <w:left w:val="nil"/>
              <w:bottom w:val="single" w:sz="4" w:space="0" w:color="auto"/>
              <w:right w:val="single" w:sz="4" w:space="0" w:color="auto"/>
            </w:tcBorders>
            <w:shd w:val="clear" w:color="auto" w:fill="auto"/>
            <w:noWrap/>
            <w:vAlign w:val="center"/>
            <w:hideMark/>
          </w:tcPr>
          <w:p w14:paraId="140E655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$115</w:t>
            </w:r>
          </w:p>
        </w:tc>
        <w:tc>
          <w:tcPr>
            <w:tcW w:w="682" w:type="dxa"/>
            <w:tcBorders>
              <w:top w:val="nil"/>
              <w:left w:val="nil"/>
              <w:bottom w:val="single" w:sz="4" w:space="0" w:color="auto"/>
              <w:right w:val="single" w:sz="4" w:space="0" w:color="auto"/>
            </w:tcBorders>
            <w:shd w:val="clear" w:color="auto" w:fill="auto"/>
            <w:noWrap/>
            <w:vAlign w:val="center"/>
            <w:hideMark/>
          </w:tcPr>
          <w:p w14:paraId="0753689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$115</w:t>
            </w:r>
          </w:p>
        </w:tc>
        <w:tc>
          <w:tcPr>
            <w:tcW w:w="682" w:type="dxa"/>
            <w:tcBorders>
              <w:top w:val="nil"/>
              <w:left w:val="nil"/>
              <w:bottom w:val="single" w:sz="4" w:space="0" w:color="auto"/>
              <w:right w:val="single" w:sz="4" w:space="0" w:color="auto"/>
            </w:tcBorders>
            <w:shd w:val="clear" w:color="auto" w:fill="auto"/>
            <w:noWrap/>
            <w:vAlign w:val="center"/>
            <w:hideMark/>
          </w:tcPr>
          <w:p w14:paraId="25DF5CF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$115</w:t>
            </w:r>
          </w:p>
        </w:tc>
        <w:tc>
          <w:tcPr>
            <w:tcW w:w="682" w:type="dxa"/>
            <w:tcBorders>
              <w:top w:val="nil"/>
              <w:left w:val="nil"/>
              <w:bottom w:val="single" w:sz="4" w:space="0" w:color="auto"/>
              <w:right w:val="single" w:sz="4" w:space="0" w:color="auto"/>
            </w:tcBorders>
            <w:shd w:val="clear" w:color="auto" w:fill="auto"/>
            <w:noWrap/>
            <w:vAlign w:val="center"/>
            <w:hideMark/>
          </w:tcPr>
          <w:p w14:paraId="04FE44D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$115</w:t>
            </w:r>
          </w:p>
        </w:tc>
        <w:tc>
          <w:tcPr>
            <w:tcW w:w="682" w:type="dxa"/>
            <w:tcBorders>
              <w:top w:val="nil"/>
              <w:left w:val="nil"/>
              <w:bottom w:val="single" w:sz="4" w:space="0" w:color="auto"/>
              <w:right w:val="single" w:sz="4" w:space="0" w:color="auto"/>
            </w:tcBorders>
            <w:shd w:val="clear" w:color="auto" w:fill="auto"/>
            <w:noWrap/>
            <w:vAlign w:val="center"/>
            <w:hideMark/>
          </w:tcPr>
          <w:p w14:paraId="29A41FD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$115</w:t>
            </w:r>
          </w:p>
        </w:tc>
        <w:tc>
          <w:tcPr>
            <w:tcW w:w="682" w:type="dxa"/>
            <w:tcBorders>
              <w:top w:val="nil"/>
              <w:left w:val="nil"/>
              <w:bottom w:val="single" w:sz="4" w:space="0" w:color="auto"/>
              <w:right w:val="single" w:sz="4" w:space="0" w:color="auto"/>
            </w:tcBorders>
            <w:shd w:val="clear" w:color="auto" w:fill="auto"/>
            <w:noWrap/>
            <w:vAlign w:val="center"/>
            <w:hideMark/>
          </w:tcPr>
          <w:p w14:paraId="18670B6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$115</w:t>
            </w:r>
          </w:p>
        </w:tc>
        <w:tc>
          <w:tcPr>
            <w:tcW w:w="682" w:type="dxa"/>
            <w:tcBorders>
              <w:top w:val="nil"/>
              <w:left w:val="nil"/>
              <w:bottom w:val="single" w:sz="4" w:space="0" w:color="auto"/>
              <w:right w:val="single" w:sz="4" w:space="0" w:color="auto"/>
            </w:tcBorders>
            <w:shd w:val="clear" w:color="auto" w:fill="auto"/>
            <w:noWrap/>
            <w:vAlign w:val="center"/>
            <w:hideMark/>
          </w:tcPr>
          <w:p w14:paraId="442CFEA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$231</w:t>
            </w:r>
          </w:p>
        </w:tc>
        <w:tc>
          <w:tcPr>
            <w:tcW w:w="682" w:type="dxa"/>
            <w:tcBorders>
              <w:top w:val="nil"/>
              <w:left w:val="nil"/>
              <w:bottom w:val="single" w:sz="4" w:space="0" w:color="auto"/>
              <w:right w:val="single" w:sz="4" w:space="0" w:color="auto"/>
            </w:tcBorders>
            <w:shd w:val="clear" w:color="auto" w:fill="auto"/>
            <w:noWrap/>
            <w:vAlign w:val="center"/>
            <w:hideMark/>
          </w:tcPr>
          <w:p w14:paraId="0D331CA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$231</w:t>
            </w:r>
          </w:p>
        </w:tc>
        <w:tc>
          <w:tcPr>
            <w:tcW w:w="682" w:type="dxa"/>
            <w:tcBorders>
              <w:top w:val="nil"/>
              <w:left w:val="nil"/>
              <w:bottom w:val="single" w:sz="4" w:space="0" w:color="auto"/>
              <w:right w:val="single" w:sz="4" w:space="0" w:color="auto"/>
            </w:tcBorders>
            <w:shd w:val="clear" w:color="auto" w:fill="auto"/>
            <w:noWrap/>
            <w:vAlign w:val="center"/>
            <w:hideMark/>
          </w:tcPr>
          <w:p w14:paraId="7CDED20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$231</w:t>
            </w:r>
          </w:p>
        </w:tc>
        <w:tc>
          <w:tcPr>
            <w:tcW w:w="682" w:type="dxa"/>
            <w:tcBorders>
              <w:top w:val="nil"/>
              <w:left w:val="nil"/>
              <w:bottom w:val="single" w:sz="4" w:space="0" w:color="auto"/>
              <w:right w:val="single" w:sz="4" w:space="0" w:color="auto"/>
            </w:tcBorders>
            <w:shd w:val="clear" w:color="auto" w:fill="auto"/>
            <w:noWrap/>
            <w:vAlign w:val="center"/>
            <w:hideMark/>
          </w:tcPr>
          <w:p w14:paraId="0B2D8DC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$346</w:t>
            </w:r>
          </w:p>
        </w:tc>
        <w:tc>
          <w:tcPr>
            <w:tcW w:w="682" w:type="dxa"/>
            <w:tcBorders>
              <w:top w:val="nil"/>
              <w:left w:val="nil"/>
              <w:bottom w:val="single" w:sz="4" w:space="0" w:color="auto"/>
              <w:right w:val="single" w:sz="4" w:space="0" w:color="auto"/>
            </w:tcBorders>
            <w:shd w:val="clear" w:color="auto" w:fill="auto"/>
            <w:noWrap/>
            <w:vAlign w:val="center"/>
            <w:hideMark/>
          </w:tcPr>
          <w:p w14:paraId="6DA4B66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$346</w:t>
            </w:r>
          </w:p>
        </w:tc>
        <w:tc>
          <w:tcPr>
            <w:tcW w:w="682" w:type="dxa"/>
            <w:tcBorders>
              <w:top w:val="nil"/>
              <w:left w:val="nil"/>
              <w:bottom w:val="single" w:sz="4" w:space="0" w:color="auto"/>
              <w:right w:val="single" w:sz="4" w:space="0" w:color="auto"/>
            </w:tcBorders>
            <w:shd w:val="clear" w:color="auto" w:fill="auto"/>
            <w:noWrap/>
            <w:vAlign w:val="center"/>
            <w:hideMark/>
          </w:tcPr>
          <w:p w14:paraId="62F56BB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$346</w:t>
            </w:r>
          </w:p>
        </w:tc>
        <w:tc>
          <w:tcPr>
            <w:tcW w:w="682" w:type="dxa"/>
            <w:tcBorders>
              <w:top w:val="nil"/>
              <w:left w:val="nil"/>
              <w:bottom w:val="single" w:sz="4" w:space="0" w:color="auto"/>
              <w:right w:val="single" w:sz="4" w:space="0" w:color="auto"/>
            </w:tcBorders>
            <w:shd w:val="clear" w:color="auto" w:fill="auto"/>
            <w:noWrap/>
            <w:vAlign w:val="center"/>
            <w:hideMark/>
          </w:tcPr>
          <w:p w14:paraId="7C3272F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$461</w:t>
            </w:r>
          </w:p>
        </w:tc>
        <w:tc>
          <w:tcPr>
            <w:tcW w:w="682" w:type="dxa"/>
            <w:tcBorders>
              <w:top w:val="nil"/>
              <w:left w:val="nil"/>
              <w:bottom w:val="single" w:sz="4" w:space="0" w:color="auto"/>
              <w:right w:val="single" w:sz="4" w:space="0" w:color="auto"/>
            </w:tcBorders>
            <w:shd w:val="clear" w:color="auto" w:fill="auto"/>
            <w:noWrap/>
            <w:vAlign w:val="center"/>
            <w:hideMark/>
          </w:tcPr>
          <w:p w14:paraId="3670867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$461</w:t>
            </w:r>
          </w:p>
        </w:tc>
      </w:tr>
      <w:tr w:rsidR="00CC66B7" w:rsidRPr="00D93D2D" w14:paraId="35425D07"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63C05802"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Total Cost (PE)</w:t>
            </w:r>
          </w:p>
        </w:tc>
        <w:tc>
          <w:tcPr>
            <w:tcW w:w="739" w:type="dxa"/>
            <w:tcBorders>
              <w:top w:val="nil"/>
              <w:left w:val="nil"/>
              <w:bottom w:val="single" w:sz="4" w:space="0" w:color="auto"/>
              <w:right w:val="single" w:sz="4" w:space="0" w:color="auto"/>
            </w:tcBorders>
            <w:shd w:val="clear" w:color="auto" w:fill="auto"/>
            <w:noWrap/>
            <w:vAlign w:val="center"/>
            <w:hideMark/>
          </w:tcPr>
          <w:p w14:paraId="64FD2AB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$1,642</w:t>
            </w:r>
          </w:p>
        </w:tc>
        <w:tc>
          <w:tcPr>
            <w:tcW w:w="637" w:type="dxa"/>
            <w:tcBorders>
              <w:top w:val="nil"/>
              <w:left w:val="nil"/>
              <w:bottom w:val="single" w:sz="4" w:space="0" w:color="auto"/>
              <w:right w:val="single" w:sz="4" w:space="0" w:color="auto"/>
            </w:tcBorders>
            <w:shd w:val="clear" w:color="auto" w:fill="auto"/>
            <w:noWrap/>
            <w:vAlign w:val="center"/>
            <w:hideMark/>
          </w:tcPr>
          <w:p w14:paraId="5F5C1D6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$1,967</w:t>
            </w:r>
          </w:p>
        </w:tc>
        <w:tc>
          <w:tcPr>
            <w:tcW w:w="682" w:type="dxa"/>
            <w:tcBorders>
              <w:top w:val="nil"/>
              <w:left w:val="nil"/>
              <w:bottom w:val="single" w:sz="4" w:space="0" w:color="auto"/>
              <w:right w:val="single" w:sz="4" w:space="0" w:color="auto"/>
            </w:tcBorders>
            <w:shd w:val="clear" w:color="auto" w:fill="auto"/>
            <w:noWrap/>
            <w:vAlign w:val="center"/>
            <w:hideMark/>
          </w:tcPr>
          <w:p w14:paraId="6BE09C0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$2,147</w:t>
            </w:r>
          </w:p>
        </w:tc>
        <w:tc>
          <w:tcPr>
            <w:tcW w:w="682" w:type="dxa"/>
            <w:tcBorders>
              <w:top w:val="nil"/>
              <w:left w:val="nil"/>
              <w:bottom w:val="single" w:sz="4" w:space="0" w:color="auto"/>
              <w:right w:val="single" w:sz="4" w:space="0" w:color="auto"/>
            </w:tcBorders>
            <w:shd w:val="clear" w:color="auto" w:fill="auto"/>
            <w:noWrap/>
            <w:vAlign w:val="center"/>
            <w:hideMark/>
          </w:tcPr>
          <w:p w14:paraId="22CDDD4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$2,916</w:t>
            </w:r>
          </w:p>
        </w:tc>
        <w:tc>
          <w:tcPr>
            <w:tcW w:w="682" w:type="dxa"/>
            <w:tcBorders>
              <w:top w:val="nil"/>
              <w:left w:val="nil"/>
              <w:bottom w:val="single" w:sz="4" w:space="0" w:color="auto"/>
              <w:right w:val="single" w:sz="4" w:space="0" w:color="auto"/>
            </w:tcBorders>
            <w:shd w:val="clear" w:color="auto" w:fill="auto"/>
            <w:noWrap/>
            <w:vAlign w:val="center"/>
            <w:hideMark/>
          </w:tcPr>
          <w:p w14:paraId="4EAEE40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$3,482</w:t>
            </w:r>
          </w:p>
        </w:tc>
        <w:tc>
          <w:tcPr>
            <w:tcW w:w="682" w:type="dxa"/>
            <w:tcBorders>
              <w:top w:val="nil"/>
              <w:left w:val="nil"/>
              <w:bottom w:val="single" w:sz="4" w:space="0" w:color="auto"/>
              <w:right w:val="single" w:sz="4" w:space="0" w:color="auto"/>
            </w:tcBorders>
            <w:shd w:val="clear" w:color="auto" w:fill="auto"/>
            <w:noWrap/>
            <w:vAlign w:val="center"/>
            <w:hideMark/>
          </w:tcPr>
          <w:p w14:paraId="266DD3D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$4,804</w:t>
            </w:r>
          </w:p>
        </w:tc>
        <w:tc>
          <w:tcPr>
            <w:tcW w:w="682" w:type="dxa"/>
            <w:tcBorders>
              <w:top w:val="nil"/>
              <w:left w:val="nil"/>
              <w:bottom w:val="single" w:sz="4" w:space="0" w:color="auto"/>
              <w:right w:val="single" w:sz="4" w:space="0" w:color="auto"/>
            </w:tcBorders>
            <w:shd w:val="clear" w:color="auto" w:fill="auto"/>
            <w:noWrap/>
            <w:vAlign w:val="center"/>
            <w:hideMark/>
          </w:tcPr>
          <w:p w14:paraId="5E64413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$7,496</w:t>
            </w:r>
          </w:p>
        </w:tc>
        <w:tc>
          <w:tcPr>
            <w:tcW w:w="682" w:type="dxa"/>
            <w:tcBorders>
              <w:top w:val="nil"/>
              <w:left w:val="nil"/>
              <w:bottom w:val="single" w:sz="4" w:space="0" w:color="auto"/>
              <w:right w:val="single" w:sz="4" w:space="0" w:color="auto"/>
            </w:tcBorders>
            <w:shd w:val="clear" w:color="auto" w:fill="auto"/>
            <w:noWrap/>
            <w:vAlign w:val="center"/>
            <w:hideMark/>
          </w:tcPr>
          <w:p w14:paraId="47267C4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$14,394</w:t>
            </w:r>
          </w:p>
        </w:tc>
        <w:tc>
          <w:tcPr>
            <w:tcW w:w="682" w:type="dxa"/>
            <w:tcBorders>
              <w:top w:val="nil"/>
              <w:left w:val="nil"/>
              <w:bottom w:val="single" w:sz="4" w:space="0" w:color="auto"/>
              <w:right w:val="single" w:sz="4" w:space="0" w:color="auto"/>
            </w:tcBorders>
            <w:shd w:val="clear" w:color="auto" w:fill="auto"/>
            <w:noWrap/>
            <w:vAlign w:val="center"/>
            <w:hideMark/>
          </w:tcPr>
          <w:p w14:paraId="2A796F9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$17,694</w:t>
            </w:r>
          </w:p>
        </w:tc>
        <w:tc>
          <w:tcPr>
            <w:tcW w:w="682" w:type="dxa"/>
            <w:tcBorders>
              <w:top w:val="nil"/>
              <w:left w:val="nil"/>
              <w:bottom w:val="single" w:sz="4" w:space="0" w:color="auto"/>
              <w:right w:val="single" w:sz="4" w:space="0" w:color="auto"/>
            </w:tcBorders>
            <w:shd w:val="clear" w:color="auto" w:fill="auto"/>
            <w:noWrap/>
            <w:vAlign w:val="center"/>
            <w:hideMark/>
          </w:tcPr>
          <w:p w14:paraId="0FBB444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$21,971</w:t>
            </w:r>
          </w:p>
        </w:tc>
        <w:tc>
          <w:tcPr>
            <w:tcW w:w="682" w:type="dxa"/>
            <w:tcBorders>
              <w:top w:val="nil"/>
              <w:left w:val="nil"/>
              <w:bottom w:val="single" w:sz="4" w:space="0" w:color="auto"/>
              <w:right w:val="single" w:sz="4" w:space="0" w:color="auto"/>
            </w:tcBorders>
            <w:shd w:val="clear" w:color="auto" w:fill="auto"/>
            <w:noWrap/>
            <w:vAlign w:val="center"/>
            <w:hideMark/>
          </w:tcPr>
          <w:p w14:paraId="1E384A9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$30,085</w:t>
            </w:r>
          </w:p>
        </w:tc>
        <w:tc>
          <w:tcPr>
            <w:tcW w:w="682" w:type="dxa"/>
            <w:tcBorders>
              <w:top w:val="nil"/>
              <w:left w:val="nil"/>
              <w:bottom w:val="single" w:sz="4" w:space="0" w:color="auto"/>
              <w:right w:val="single" w:sz="4" w:space="0" w:color="auto"/>
            </w:tcBorders>
            <w:shd w:val="clear" w:color="auto" w:fill="auto"/>
            <w:noWrap/>
            <w:vAlign w:val="center"/>
            <w:hideMark/>
          </w:tcPr>
          <w:p w14:paraId="7093408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$34,353</w:t>
            </w:r>
          </w:p>
        </w:tc>
        <w:tc>
          <w:tcPr>
            <w:tcW w:w="682" w:type="dxa"/>
            <w:tcBorders>
              <w:top w:val="nil"/>
              <w:left w:val="nil"/>
              <w:bottom w:val="single" w:sz="4" w:space="0" w:color="auto"/>
              <w:right w:val="single" w:sz="4" w:space="0" w:color="auto"/>
            </w:tcBorders>
            <w:shd w:val="clear" w:color="auto" w:fill="auto"/>
            <w:noWrap/>
            <w:vAlign w:val="center"/>
            <w:hideMark/>
          </w:tcPr>
          <w:p w14:paraId="5C20410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$37,704</w:t>
            </w:r>
          </w:p>
        </w:tc>
        <w:tc>
          <w:tcPr>
            <w:tcW w:w="682" w:type="dxa"/>
            <w:tcBorders>
              <w:top w:val="nil"/>
              <w:left w:val="nil"/>
              <w:bottom w:val="single" w:sz="4" w:space="0" w:color="auto"/>
              <w:right w:val="single" w:sz="4" w:space="0" w:color="auto"/>
            </w:tcBorders>
            <w:shd w:val="clear" w:color="auto" w:fill="auto"/>
            <w:noWrap/>
            <w:vAlign w:val="center"/>
            <w:hideMark/>
          </w:tcPr>
          <w:p w14:paraId="5C6C9C3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$48,910</w:t>
            </w:r>
          </w:p>
        </w:tc>
        <w:tc>
          <w:tcPr>
            <w:tcW w:w="682" w:type="dxa"/>
            <w:tcBorders>
              <w:top w:val="nil"/>
              <w:left w:val="nil"/>
              <w:bottom w:val="single" w:sz="4" w:space="0" w:color="auto"/>
              <w:right w:val="single" w:sz="4" w:space="0" w:color="auto"/>
            </w:tcBorders>
            <w:shd w:val="clear" w:color="auto" w:fill="auto"/>
            <w:noWrap/>
            <w:vAlign w:val="center"/>
            <w:hideMark/>
          </w:tcPr>
          <w:p w14:paraId="4DB1B38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$52,892</w:t>
            </w:r>
          </w:p>
        </w:tc>
      </w:tr>
      <w:tr w:rsidR="00CC66B7" w:rsidRPr="00D93D2D" w14:paraId="6217D31A"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DF7947B"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EQA</w:t>
            </w:r>
          </w:p>
        </w:tc>
        <w:tc>
          <w:tcPr>
            <w:tcW w:w="739" w:type="dxa"/>
            <w:tcBorders>
              <w:top w:val="nil"/>
              <w:left w:val="nil"/>
              <w:bottom w:val="single" w:sz="4" w:space="0" w:color="auto"/>
              <w:right w:val="single" w:sz="4" w:space="0" w:color="auto"/>
            </w:tcBorders>
            <w:shd w:val="clear" w:color="auto" w:fill="auto"/>
            <w:noWrap/>
            <w:vAlign w:val="center"/>
            <w:hideMark/>
          </w:tcPr>
          <w:p w14:paraId="2E0822B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w:t>
            </w:r>
          </w:p>
        </w:tc>
        <w:tc>
          <w:tcPr>
            <w:tcW w:w="637" w:type="dxa"/>
            <w:tcBorders>
              <w:top w:val="nil"/>
              <w:left w:val="nil"/>
              <w:bottom w:val="single" w:sz="4" w:space="0" w:color="auto"/>
              <w:right w:val="single" w:sz="4" w:space="0" w:color="auto"/>
            </w:tcBorders>
            <w:shd w:val="clear" w:color="auto" w:fill="auto"/>
            <w:noWrap/>
            <w:vAlign w:val="center"/>
            <w:hideMark/>
          </w:tcPr>
          <w:p w14:paraId="09281C1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w:t>
            </w:r>
          </w:p>
        </w:tc>
        <w:tc>
          <w:tcPr>
            <w:tcW w:w="682" w:type="dxa"/>
            <w:tcBorders>
              <w:top w:val="nil"/>
              <w:left w:val="nil"/>
              <w:bottom w:val="single" w:sz="4" w:space="0" w:color="auto"/>
              <w:right w:val="single" w:sz="4" w:space="0" w:color="auto"/>
            </w:tcBorders>
            <w:shd w:val="clear" w:color="auto" w:fill="auto"/>
            <w:noWrap/>
            <w:vAlign w:val="center"/>
            <w:hideMark/>
          </w:tcPr>
          <w:p w14:paraId="62C9BFB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w:t>
            </w:r>
          </w:p>
        </w:tc>
        <w:tc>
          <w:tcPr>
            <w:tcW w:w="682" w:type="dxa"/>
            <w:tcBorders>
              <w:top w:val="nil"/>
              <w:left w:val="nil"/>
              <w:bottom w:val="single" w:sz="4" w:space="0" w:color="auto"/>
              <w:right w:val="single" w:sz="4" w:space="0" w:color="auto"/>
            </w:tcBorders>
            <w:shd w:val="clear" w:color="auto" w:fill="auto"/>
            <w:noWrap/>
            <w:vAlign w:val="center"/>
            <w:hideMark/>
          </w:tcPr>
          <w:p w14:paraId="70CCE63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w:t>
            </w:r>
          </w:p>
        </w:tc>
        <w:tc>
          <w:tcPr>
            <w:tcW w:w="682" w:type="dxa"/>
            <w:tcBorders>
              <w:top w:val="nil"/>
              <w:left w:val="nil"/>
              <w:bottom w:val="single" w:sz="4" w:space="0" w:color="auto"/>
              <w:right w:val="single" w:sz="4" w:space="0" w:color="auto"/>
            </w:tcBorders>
            <w:shd w:val="clear" w:color="auto" w:fill="auto"/>
            <w:noWrap/>
            <w:vAlign w:val="center"/>
            <w:hideMark/>
          </w:tcPr>
          <w:p w14:paraId="7FA9775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682" w:type="dxa"/>
            <w:tcBorders>
              <w:top w:val="nil"/>
              <w:left w:val="nil"/>
              <w:bottom w:val="single" w:sz="4" w:space="0" w:color="auto"/>
              <w:right w:val="single" w:sz="4" w:space="0" w:color="auto"/>
            </w:tcBorders>
            <w:shd w:val="clear" w:color="auto" w:fill="auto"/>
            <w:noWrap/>
            <w:vAlign w:val="center"/>
            <w:hideMark/>
          </w:tcPr>
          <w:p w14:paraId="2353517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4E682EF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0DDFC96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682" w:type="dxa"/>
            <w:tcBorders>
              <w:top w:val="nil"/>
              <w:left w:val="nil"/>
              <w:bottom w:val="single" w:sz="4" w:space="0" w:color="auto"/>
              <w:right w:val="single" w:sz="4" w:space="0" w:color="auto"/>
            </w:tcBorders>
            <w:shd w:val="clear" w:color="auto" w:fill="auto"/>
            <w:noWrap/>
            <w:vAlign w:val="center"/>
            <w:hideMark/>
          </w:tcPr>
          <w:p w14:paraId="5D3E22F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33CF966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3DC9A3E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7BA13DB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73C87D4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6D7BD04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682" w:type="dxa"/>
            <w:tcBorders>
              <w:top w:val="nil"/>
              <w:left w:val="nil"/>
              <w:bottom w:val="single" w:sz="4" w:space="0" w:color="auto"/>
              <w:right w:val="single" w:sz="4" w:space="0" w:color="auto"/>
            </w:tcBorders>
            <w:shd w:val="clear" w:color="auto" w:fill="auto"/>
            <w:noWrap/>
            <w:vAlign w:val="center"/>
            <w:hideMark/>
          </w:tcPr>
          <w:p w14:paraId="41F1535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r>
      <w:tr w:rsidR="00CC66B7" w:rsidRPr="00D93D2D" w14:paraId="530B2FC5" w14:textId="77777777" w:rsidTr="00CC66B7">
        <w:trPr>
          <w:trHeight w:val="251"/>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70A6EC0"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Average Cost / Test</w:t>
            </w:r>
          </w:p>
        </w:tc>
        <w:tc>
          <w:tcPr>
            <w:tcW w:w="739" w:type="dxa"/>
            <w:tcBorders>
              <w:top w:val="nil"/>
              <w:left w:val="nil"/>
              <w:bottom w:val="single" w:sz="4" w:space="0" w:color="auto"/>
              <w:right w:val="single" w:sz="4" w:space="0" w:color="auto"/>
            </w:tcBorders>
            <w:shd w:val="clear" w:color="auto" w:fill="auto"/>
            <w:noWrap/>
            <w:vAlign w:val="center"/>
            <w:hideMark/>
          </w:tcPr>
          <w:p w14:paraId="7647A19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$60.81</w:t>
            </w:r>
          </w:p>
        </w:tc>
        <w:tc>
          <w:tcPr>
            <w:tcW w:w="637" w:type="dxa"/>
            <w:tcBorders>
              <w:top w:val="nil"/>
              <w:left w:val="nil"/>
              <w:bottom w:val="single" w:sz="4" w:space="0" w:color="auto"/>
              <w:right w:val="single" w:sz="4" w:space="0" w:color="auto"/>
            </w:tcBorders>
            <w:shd w:val="clear" w:color="auto" w:fill="auto"/>
            <w:noWrap/>
            <w:vAlign w:val="center"/>
            <w:hideMark/>
          </w:tcPr>
          <w:p w14:paraId="350E7ED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$38.58</w:t>
            </w:r>
          </w:p>
        </w:tc>
        <w:tc>
          <w:tcPr>
            <w:tcW w:w="682" w:type="dxa"/>
            <w:tcBorders>
              <w:top w:val="nil"/>
              <w:left w:val="nil"/>
              <w:bottom w:val="single" w:sz="4" w:space="0" w:color="auto"/>
              <w:right w:val="single" w:sz="4" w:space="0" w:color="auto"/>
            </w:tcBorders>
            <w:shd w:val="clear" w:color="auto" w:fill="auto"/>
            <w:noWrap/>
            <w:vAlign w:val="center"/>
            <w:hideMark/>
          </w:tcPr>
          <w:p w14:paraId="0824AA1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$33.55</w:t>
            </w:r>
          </w:p>
        </w:tc>
        <w:tc>
          <w:tcPr>
            <w:tcW w:w="682" w:type="dxa"/>
            <w:tcBorders>
              <w:top w:val="nil"/>
              <w:left w:val="nil"/>
              <w:bottom w:val="single" w:sz="4" w:space="0" w:color="auto"/>
              <w:right w:val="single" w:sz="4" w:space="0" w:color="auto"/>
            </w:tcBorders>
            <w:shd w:val="clear" w:color="auto" w:fill="auto"/>
            <w:noWrap/>
            <w:vAlign w:val="center"/>
            <w:hideMark/>
          </w:tcPr>
          <w:p w14:paraId="019DFFB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$24.10</w:t>
            </w:r>
          </w:p>
        </w:tc>
        <w:tc>
          <w:tcPr>
            <w:tcW w:w="682" w:type="dxa"/>
            <w:tcBorders>
              <w:top w:val="nil"/>
              <w:left w:val="nil"/>
              <w:bottom w:val="single" w:sz="4" w:space="0" w:color="auto"/>
              <w:right w:val="single" w:sz="4" w:space="0" w:color="auto"/>
            </w:tcBorders>
            <w:shd w:val="clear" w:color="auto" w:fill="auto"/>
            <w:noWrap/>
            <w:vAlign w:val="center"/>
            <w:hideMark/>
          </w:tcPr>
          <w:p w14:paraId="25689EC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$21.36</w:t>
            </w:r>
          </w:p>
        </w:tc>
        <w:tc>
          <w:tcPr>
            <w:tcW w:w="682" w:type="dxa"/>
            <w:tcBorders>
              <w:top w:val="nil"/>
              <w:left w:val="nil"/>
              <w:bottom w:val="single" w:sz="4" w:space="0" w:color="auto"/>
              <w:right w:val="single" w:sz="4" w:space="0" w:color="auto"/>
            </w:tcBorders>
            <w:shd w:val="clear" w:color="auto" w:fill="auto"/>
            <w:noWrap/>
            <w:vAlign w:val="center"/>
            <w:hideMark/>
          </w:tcPr>
          <w:p w14:paraId="39A0C73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$17.83</w:t>
            </w:r>
          </w:p>
        </w:tc>
        <w:tc>
          <w:tcPr>
            <w:tcW w:w="682" w:type="dxa"/>
            <w:tcBorders>
              <w:top w:val="nil"/>
              <w:left w:val="nil"/>
              <w:bottom w:val="single" w:sz="4" w:space="0" w:color="auto"/>
              <w:right w:val="single" w:sz="4" w:space="0" w:color="auto"/>
            </w:tcBorders>
            <w:shd w:val="clear" w:color="auto" w:fill="auto"/>
            <w:noWrap/>
            <w:vAlign w:val="center"/>
            <w:hideMark/>
          </w:tcPr>
          <w:p w14:paraId="680826F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$15.98</w:t>
            </w:r>
          </w:p>
        </w:tc>
        <w:tc>
          <w:tcPr>
            <w:tcW w:w="682" w:type="dxa"/>
            <w:tcBorders>
              <w:top w:val="nil"/>
              <w:left w:val="nil"/>
              <w:bottom w:val="single" w:sz="4" w:space="0" w:color="auto"/>
              <w:right w:val="single" w:sz="4" w:space="0" w:color="auto"/>
            </w:tcBorders>
            <w:shd w:val="clear" w:color="auto" w:fill="auto"/>
            <w:noWrap/>
            <w:vAlign w:val="center"/>
            <w:hideMark/>
          </w:tcPr>
          <w:p w14:paraId="1BCAE17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$19.14</w:t>
            </w:r>
          </w:p>
        </w:tc>
        <w:tc>
          <w:tcPr>
            <w:tcW w:w="682" w:type="dxa"/>
            <w:tcBorders>
              <w:top w:val="nil"/>
              <w:left w:val="nil"/>
              <w:bottom w:val="single" w:sz="4" w:space="0" w:color="auto"/>
              <w:right w:val="single" w:sz="4" w:space="0" w:color="auto"/>
            </w:tcBorders>
            <w:shd w:val="clear" w:color="auto" w:fill="auto"/>
            <w:noWrap/>
            <w:vAlign w:val="center"/>
            <w:hideMark/>
          </w:tcPr>
          <w:p w14:paraId="51394E8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$18.19</w:t>
            </w:r>
          </w:p>
        </w:tc>
        <w:tc>
          <w:tcPr>
            <w:tcW w:w="682" w:type="dxa"/>
            <w:tcBorders>
              <w:top w:val="nil"/>
              <w:left w:val="nil"/>
              <w:bottom w:val="single" w:sz="4" w:space="0" w:color="auto"/>
              <w:right w:val="single" w:sz="4" w:space="0" w:color="auto"/>
            </w:tcBorders>
            <w:shd w:val="clear" w:color="auto" w:fill="auto"/>
            <w:noWrap/>
            <w:vAlign w:val="center"/>
            <w:hideMark/>
          </w:tcPr>
          <w:p w14:paraId="1E85796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$17.20</w:t>
            </w:r>
          </w:p>
        </w:tc>
        <w:tc>
          <w:tcPr>
            <w:tcW w:w="682" w:type="dxa"/>
            <w:tcBorders>
              <w:top w:val="nil"/>
              <w:left w:val="nil"/>
              <w:bottom w:val="single" w:sz="4" w:space="0" w:color="auto"/>
              <w:right w:val="single" w:sz="4" w:space="0" w:color="auto"/>
            </w:tcBorders>
            <w:shd w:val="clear" w:color="auto" w:fill="auto"/>
            <w:noWrap/>
            <w:vAlign w:val="center"/>
            <w:hideMark/>
          </w:tcPr>
          <w:p w14:paraId="018EB29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$20.66</w:t>
            </w:r>
          </w:p>
        </w:tc>
        <w:tc>
          <w:tcPr>
            <w:tcW w:w="682" w:type="dxa"/>
            <w:tcBorders>
              <w:top w:val="nil"/>
              <w:left w:val="nil"/>
              <w:bottom w:val="single" w:sz="4" w:space="0" w:color="auto"/>
              <w:right w:val="single" w:sz="4" w:space="0" w:color="auto"/>
            </w:tcBorders>
            <w:shd w:val="clear" w:color="auto" w:fill="auto"/>
            <w:noWrap/>
            <w:vAlign w:val="center"/>
            <w:hideMark/>
          </w:tcPr>
          <w:p w14:paraId="5A662CB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$19.75</w:t>
            </w:r>
          </w:p>
        </w:tc>
        <w:tc>
          <w:tcPr>
            <w:tcW w:w="682" w:type="dxa"/>
            <w:tcBorders>
              <w:top w:val="nil"/>
              <w:left w:val="nil"/>
              <w:bottom w:val="single" w:sz="4" w:space="0" w:color="auto"/>
              <w:right w:val="single" w:sz="4" w:space="0" w:color="auto"/>
            </w:tcBorders>
            <w:shd w:val="clear" w:color="auto" w:fill="auto"/>
            <w:noWrap/>
            <w:vAlign w:val="center"/>
            <w:hideMark/>
          </w:tcPr>
          <w:p w14:paraId="1CCE248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$18.98</w:t>
            </w:r>
          </w:p>
        </w:tc>
        <w:tc>
          <w:tcPr>
            <w:tcW w:w="682" w:type="dxa"/>
            <w:tcBorders>
              <w:top w:val="nil"/>
              <w:left w:val="nil"/>
              <w:bottom w:val="single" w:sz="4" w:space="0" w:color="auto"/>
              <w:right w:val="single" w:sz="4" w:space="0" w:color="auto"/>
            </w:tcBorders>
            <w:shd w:val="clear" w:color="auto" w:fill="auto"/>
            <w:noWrap/>
            <w:vAlign w:val="center"/>
            <w:hideMark/>
          </w:tcPr>
          <w:p w14:paraId="2B5B146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$21.89</w:t>
            </w:r>
          </w:p>
        </w:tc>
        <w:tc>
          <w:tcPr>
            <w:tcW w:w="682" w:type="dxa"/>
            <w:tcBorders>
              <w:top w:val="nil"/>
              <w:left w:val="nil"/>
              <w:bottom w:val="single" w:sz="4" w:space="0" w:color="auto"/>
              <w:right w:val="single" w:sz="4" w:space="0" w:color="auto"/>
            </w:tcBorders>
            <w:shd w:val="clear" w:color="auto" w:fill="auto"/>
            <w:noWrap/>
            <w:vAlign w:val="center"/>
            <w:hideMark/>
          </w:tcPr>
          <w:p w14:paraId="602A54F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$20.71</w:t>
            </w:r>
          </w:p>
        </w:tc>
      </w:tr>
    </w:tbl>
    <w:p w14:paraId="20637B6D" w14:textId="09F75132" w:rsidR="00913ABC" w:rsidRPr="00D93D2D" w:rsidRDefault="00913ABC" w:rsidP="00060BF2">
      <w:pPr>
        <w:tabs>
          <w:tab w:val="left" w:pos="2430"/>
        </w:tabs>
        <w:jc w:val="both"/>
        <w:rPr>
          <w:rFonts w:cstheme="minorHAnsi"/>
        </w:rPr>
      </w:pPr>
    </w:p>
    <w:p w14:paraId="548D40B7" w14:textId="182EDA04" w:rsidR="00CC66B7" w:rsidRPr="00D93D2D" w:rsidRDefault="00913ABC" w:rsidP="00060BF2">
      <w:pPr>
        <w:tabs>
          <w:tab w:val="left" w:pos="2430"/>
        </w:tabs>
        <w:jc w:val="both"/>
        <w:rPr>
          <w:rFonts w:cstheme="minorHAnsi"/>
          <w:sz w:val="20"/>
        </w:rPr>
      </w:pPr>
      <w:r w:rsidRPr="00D93D2D">
        <w:rPr>
          <w:rFonts w:cstheme="minorHAnsi"/>
          <w:b/>
          <w:sz w:val="20"/>
        </w:rPr>
        <w:t xml:space="preserve">Table </w:t>
      </w:r>
      <w:r w:rsidR="009143E9" w:rsidRPr="00D93D2D">
        <w:rPr>
          <w:rFonts w:cstheme="minorHAnsi"/>
          <w:b/>
          <w:sz w:val="20"/>
        </w:rPr>
        <w:t>S</w:t>
      </w:r>
      <w:r w:rsidR="00CC66B7" w:rsidRPr="00D93D2D">
        <w:rPr>
          <w:rFonts w:cstheme="minorHAnsi"/>
          <w:b/>
          <w:sz w:val="20"/>
        </w:rPr>
        <w:t>3</w:t>
      </w:r>
      <w:r w:rsidRPr="00D93D2D">
        <w:rPr>
          <w:rFonts w:cstheme="minorHAnsi"/>
          <w:b/>
          <w:sz w:val="20"/>
        </w:rPr>
        <w:t>.</w:t>
      </w:r>
      <w:r w:rsidRPr="00D93D2D">
        <w:rPr>
          <w:rFonts w:cstheme="minorHAnsi"/>
          <w:sz w:val="20"/>
        </w:rPr>
        <w:t xml:space="preserve"> A summary table of assumptions used in decentralized Xpert (DXP) using GeneXpert Omni</w:t>
      </w:r>
      <w:r w:rsidR="00BE6C6C" w:rsidRPr="00D93D2D">
        <w:rPr>
          <w:rFonts w:cstheme="minorHAnsi"/>
          <w:sz w:val="20"/>
        </w:rPr>
        <w:t>/Edge</w:t>
      </w:r>
      <w:r w:rsidRPr="00D93D2D">
        <w:rPr>
          <w:rFonts w:cstheme="minorHAnsi"/>
          <w:sz w:val="20"/>
        </w:rPr>
        <w:t xml:space="preserve"> and average per-test results for district microscopy centers with different daily workloads.</w:t>
      </w:r>
    </w:p>
    <w:p w14:paraId="54EE44CB" w14:textId="77777777" w:rsidR="00CC66B7" w:rsidRPr="00D93D2D" w:rsidRDefault="00CC66B7">
      <w:pPr>
        <w:rPr>
          <w:rFonts w:cstheme="minorHAnsi"/>
          <w:sz w:val="20"/>
        </w:rPr>
      </w:pPr>
      <w:r w:rsidRPr="00D93D2D">
        <w:rPr>
          <w:rFonts w:cstheme="minorHAnsi"/>
          <w:sz w:val="20"/>
        </w:rPr>
        <w:br w:type="page"/>
      </w:r>
    </w:p>
    <w:tbl>
      <w:tblPr>
        <w:tblW w:w="11155" w:type="dxa"/>
        <w:tblLayout w:type="fixed"/>
        <w:tblLook w:val="04A0" w:firstRow="1" w:lastRow="0" w:firstColumn="1" w:lastColumn="0" w:noHBand="0" w:noVBand="1"/>
      </w:tblPr>
      <w:tblGrid>
        <w:gridCol w:w="2515"/>
        <w:gridCol w:w="1234"/>
        <w:gridCol w:w="1234"/>
        <w:gridCol w:w="1234"/>
        <w:gridCol w:w="1235"/>
        <w:gridCol w:w="1234"/>
        <w:gridCol w:w="1234"/>
        <w:gridCol w:w="1235"/>
      </w:tblGrid>
      <w:tr w:rsidR="00CC66B7" w:rsidRPr="00D93D2D" w14:paraId="3C75112C" w14:textId="77777777" w:rsidTr="00CC66B7">
        <w:trPr>
          <w:trHeight w:val="292"/>
        </w:trPr>
        <w:tc>
          <w:tcPr>
            <w:tcW w:w="2515" w:type="dxa"/>
            <w:vMerge w:val="restart"/>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6D3A913" w14:textId="77777777" w:rsidR="00CC66B7" w:rsidRPr="00D93D2D" w:rsidRDefault="00CC66B7" w:rsidP="00CC66B7">
            <w:pPr>
              <w:spacing w:after="0" w:line="240" w:lineRule="auto"/>
              <w:jc w:val="center"/>
              <w:rPr>
                <w:rFonts w:eastAsia="Times New Roman" w:cstheme="minorHAnsi"/>
                <w:b/>
                <w:bCs/>
                <w:color w:val="000000"/>
                <w:sz w:val="16"/>
              </w:rPr>
            </w:pPr>
            <w:r w:rsidRPr="00D93D2D">
              <w:rPr>
                <w:rFonts w:eastAsia="Times New Roman" w:cstheme="minorHAnsi"/>
                <w:b/>
                <w:bCs/>
                <w:color w:val="000000"/>
                <w:sz w:val="16"/>
              </w:rPr>
              <w:lastRenderedPageBreak/>
              <w:t>Indicators</w:t>
            </w:r>
          </w:p>
        </w:tc>
        <w:tc>
          <w:tcPr>
            <w:tcW w:w="1234" w:type="dxa"/>
            <w:tcBorders>
              <w:top w:val="single" w:sz="4" w:space="0" w:color="auto"/>
              <w:left w:val="nil"/>
              <w:bottom w:val="single" w:sz="4" w:space="0" w:color="auto"/>
              <w:right w:val="single" w:sz="4" w:space="0" w:color="auto"/>
            </w:tcBorders>
            <w:shd w:val="clear" w:color="000000" w:fill="C9C9C9"/>
            <w:noWrap/>
            <w:vAlign w:val="center"/>
            <w:hideMark/>
          </w:tcPr>
          <w:p w14:paraId="5109FAD1"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DTC (10)</w:t>
            </w:r>
          </w:p>
        </w:tc>
        <w:tc>
          <w:tcPr>
            <w:tcW w:w="1234" w:type="dxa"/>
            <w:tcBorders>
              <w:top w:val="single" w:sz="4" w:space="0" w:color="auto"/>
              <w:left w:val="nil"/>
              <w:bottom w:val="single" w:sz="4" w:space="0" w:color="auto"/>
              <w:right w:val="single" w:sz="4" w:space="0" w:color="auto"/>
            </w:tcBorders>
            <w:shd w:val="clear" w:color="000000" w:fill="C9C9C9"/>
            <w:noWrap/>
            <w:vAlign w:val="center"/>
            <w:hideMark/>
          </w:tcPr>
          <w:p w14:paraId="06E8179E"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DTC (20)</w:t>
            </w:r>
          </w:p>
        </w:tc>
        <w:tc>
          <w:tcPr>
            <w:tcW w:w="1234" w:type="dxa"/>
            <w:tcBorders>
              <w:top w:val="single" w:sz="4" w:space="0" w:color="auto"/>
              <w:left w:val="nil"/>
              <w:bottom w:val="single" w:sz="4" w:space="0" w:color="auto"/>
              <w:right w:val="single" w:sz="4" w:space="0" w:color="auto"/>
            </w:tcBorders>
            <w:shd w:val="clear" w:color="000000" w:fill="C9C9C9"/>
            <w:noWrap/>
            <w:vAlign w:val="center"/>
            <w:hideMark/>
          </w:tcPr>
          <w:p w14:paraId="10DECD43"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DTC (30)</w:t>
            </w:r>
          </w:p>
        </w:tc>
        <w:tc>
          <w:tcPr>
            <w:tcW w:w="1235" w:type="dxa"/>
            <w:tcBorders>
              <w:top w:val="single" w:sz="4" w:space="0" w:color="auto"/>
              <w:left w:val="nil"/>
              <w:bottom w:val="single" w:sz="4" w:space="0" w:color="auto"/>
              <w:right w:val="single" w:sz="4" w:space="0" w:color="auto"/>
            </w:tcBorders>
            <w:shd w:val="clear" w:color="000000" w:fill="C9C9C9"/>
            <w:noWrap/>
            <w:vAlign w:val="center"/>
            <w:hideMark/>
          </w:tcPr>
          <w:p w14:paraId="4E75340B"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DTC (40)</w:t>
            </w:r>
          </w:p>
        </w:tc>
        <w:tc>
          <w:tcPr>
            <w:tcW w:w="1234" w:type="dxa"/>
            <w:tcBorders>
              <w:top w:val="single" w:sz="4" w:space="0" w:color="auto"/>
              <w:left w:val="nil"/>
              <w:bottom w:val="single" w:sz="4" w:space="0" w:color="auto"/>
              <w:right w:val="single" w:sz="4" w:space="0" w:color="auto"/>
            </w:tcBorders>
            <w:shd w:val="clear" w:color="000000" w:fill="C9C9C9"/>
            <w:noWrap/>
            <w:vAlign w:val="center"/>
            <w:hideMark/>
          </w:tcPr>
          <w:p w14:paraId="015A6663"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DTC (50)</w:t>
            </w:r>
          </w:p>
        </w:tc>
        <w:tc>
          <w:tcPr>
            <w:tcW w:w="1234" w:type="dxa"/>
            <w:tcBorders>
              <w:top w:val="single" w:sz="4" w:space="0" w:color="auto"/>
              <w:left w:val="nil"/>
              <w:bottom w:val="single" w:sz="4" w:space="0" w:color="auto"/>
              <w:right w:val="single" w:sz="4" w:space="0" w:color="auto"/>
            </w:tcBorders>
            <w:shd w:val="clear" w:color="000000" w:fill="C9C9C9"/>
            <w:noWrap/>
            <w:vAlign w:val="center"/>
            <w:hideMark/>
          </w:tcPr>
          <w:p w14:paraId="04169605"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DTC (60)</w:t>
            </w:r>
          </w:p>
        </w:tc>
        <w:tc>
          <w:tcPr>
            <w:tcW w:w="1235" w:type="dxa"/>
            <w:tcBorders>
              <w:top w:val="single" w:sz="4" w:space="0" w:color="auto"/>
              <w:left w:val="nil"/>
              <w:bottom w:val="single" w:sz="4" w:space="0" w:color="auto"/>
              <w:right w:val="single" w:sz="4" w:space="0" w:color="auto"/>
            </w:tcBorders>
            <w:shd w:val="clear" w:color="000000" w:fill="C9C9C9"/>
            <w:noWrap/>
            <w:vAlign w:val="center"/>
            <w:hideMark/>
          </w:tcPr>
          <w:p w14:paraId="7185FE2E" w14:textId="77777777" w:rsidR="00CC66B7" w:rsidRPr="00D93D2D" w:rsidRDefault="00CC66B7" w:rsidP="00CC66B7">
            <w:pPr>
              <w:spacing w:after="0" w:line="240" w:lineRule="auto"/>
              <w:rPr>
                <w:rFonts w:eastAsia="Times New Roman" w:cstheme="minorHAnsi"/>
                <w:b/>
                <w:bCs/>
                <w:color w:val="000000"/>
                <w:sz w:val="16"/>
              </w:rPr>
            </w:pPr>
            <w:r w:rsidRPr="00D93D2D">
              <w:rPr>
                <w:rFonts w:eastAsia="Times New Roman" w:cstheme="minorHAnsi"/>
                <w:b/>
                <w:bCs/>
                <w:color w:val="000000"/>
                <w:sz w:val="16"/>
              </w:rPr>
              <w:t>DTC ( &gt; 70)</w:t>
            </w:r>
          </w:p>
        </w:tc>
      </w:tr>
      <w:tr w:rsidR="00CC66B7" w:rsidRPr="00D93D2D" w14:paraId="723780BF" w14:textId="77777777" w:rsidTr="00CC66B7">
        <w:trPr>
          <w:trHeight w:val="292"/>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72209322" w14:textId="77777777" w:rsidR="00CC66B7" w:rsidRPr="00D93D2D" w:rsidRDefault="00CC66B7" w:rsidP="00CC66B7">
            <w:pPr>
              <w:spacing w:after="0" w:line="240" w:lineRule="auto"/>
              <w:rPr>
                <w:rFonts w:eastAsia="Times New Roman" w:cstheme="minorHAnsi"/>
                <w:b/>
                <w:bCs/>
                <w:color w:val="000000"/>
                <w:sz w:val="16"/>
              </w:rPr>
            </w:pPr>
          </w:p>
        </w:tc>
        <w:tc>
          <w:tcPr>
            <w:tcW w:w="8640" w:type="dxa"/>
            <w:gridSpan w:val="7"/>
            <w:tcBorders>
              <w:top w:val="single" w:sz="4" w:space="0" w:color="auto"/>
              <w:left w:val="nil"/>
              <w:bottom w:val="single" w:sz="4" w:space="0" w:color="auto"/>
              <w:right w:val="single" w:sz="4" w:space="0" w:color="auto"/>
            </w:tcBorders>
            <w:shd w:val="clear" w:color="000000" w:fill="DBDBDB"/>
            <w:noWrap/>
            <w:vAlign w:val="center"/>
            <w:hideMark/>
          </w:tcPr>
          <w:p w14:paraId="66B96A7F" w14:textId="77777777" w:rsidR="00CC66B7" w:rsidRPr="00D93D2D" w:rsidRDefault="00CC66B7" w:rsidP="00CC66B7">
            <w:pPr>
              <w:spacing w:after="0" w:line="240" w:lineRule="auto"/>
              <w:jc w:val="center"/>
              <w:rPr>
                <w:rFonts w:eastAsia="Times New Roman" w:cstheme="minorHAnsi"/>
                <w:i/>
                <w:iCs/>
                <w:color w:val="000000"/>
                <w:sz w:val="16"/>
              </w:rPr>
            </w:pPr>
            <w:r w:rsidRPr="00D93D2D">
              <w:rPr>
                <w:rFonts w:eastAsia="Times New Roman" w:cstheme="minorHAnsi"/>
                <w:i/>
                <w:iCs/>
                <w:color w:val="000000"/>
                <w:sz w:val="16"/>
              </w:rPr>
              <w:t>Test volume statistics</w:t>
            </w:r>
          </w:p>
        </w:tc>
      </w:tr>
      <w:tr w:rsidR="00CC66B7" w:rsidRPr="00D93D2D" w14:paraId="2796A63A"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6530DD4"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Average # of samples / day</w:t>
            </w:r>
          </w:p>
        </w:tc>
        <w:tc>
          <w:tcPr>
            <w:tcW w:w="1234" w:type="dxa"/>
            <w:tcBorders>
              <w:top w:val="nil"/>
              <w:left w:val="nil"/>
              <w:bottom w:val="single" w:sz="4" w:space="0" w:color="auto"/>
              <w:right w:val="single" w:sz="4" w:space="0" w:color="auto"/>
            </w:tcBorders>
            <w:shd w:val="clear" w:color="auto" w:fill="auto"/>
            <w:noWrap/>
            <w:vAlign w:val="center"/>
            <w:hideMark/>
          </w:tcPr>
          <w:p w14:paraId="4B46745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9.90</w:t>
            </w:r>
          </w:p>
        </w:tc>
        <w:tc>
          <w:tcPr>
            <w:tcW w:w="1234" w:type="dxa"/>
            <w:tcBorders>
              <w:top w:val="nil"/>
              <w:left w:val="nil"/>
              <w:bottom w:val="single" w:sz="4" w:space="0" w:color="auto"/>
              <w:right w:val="single" w:sz="4" w:space="0" w:color="auto"/>
            </w:tcBorders>
            <w:shd w:val="clear" w:color="auto" w:fill="auto"/>
            <w:noWrap/>
            <w:vAlign w:val="center"/>
            <w:hideMark/>
          </w:tcPr>
          <w:p w14:paraId="68E98D1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19.83</w:t>
            </w:r>
          </w:p>
        </w:tc>
        <w:tc>
          <w:tcPr>
            <w:tcW w:w="1234" w:type="dxa"/>
            <w:tcBorders>
              <w:top w:val="nil"/>
              <w:left w:val="nil"/>
              <w:bottom w:val="single" w:sz="4" w:space="0" w:color="auto"/>
              <w:right w:val="single" w:sz="4" w:space="0" w:color="auto"/>
            </w:tcBorders>
            <w:shd w:val="clear" w:color="auto" w:fill="auto"/>
            <w:noWrap/>
            <w:vAlign w:val="center"/>
            <w:hideMark/>
          </w:tcPr>
          <w:p w14:paraId="62D6654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29.61</w:t>
            </w:r>
          </w:p>
        </w:tc>
        <w:tc>
          <w:tcPr>
            <w:tcW w:w="1235" w:type="dxa"/>
            <w:tcBorders>
              <w:top w:val="nil"/>
              <w:left w:val="nil"/>
              <w:bottom w:val="single" w:sz="4" w:space="0" w:color="auto"/>
              <w:right w:val="single" w:sz="4" w:space="0" w:color="auto"/>
            </w:tcBorders>
            <w:shd w:val="clear" w:color="auto" w:fill="auto"/>
            <w:noWrap/>
            <w:vAlign w:val="center"/>
            <w:hideMark/>
          </w:tcPr>
          <w:p w14:paraId="55F817E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39.71</w:t>
            </w:r>
          </w:p>
        </w:tc>
        <w:tc>
          <w:tcPr>
            <w:tcW w:w="1234" w:type="dxa"/>
            <w:tcBorders>
              <w:top w:val="nil"/>
              <w:left w:val="nil"/>
              <w:bottom w:val="single" w:sz="4" w:space="0" w:color="auto"/>
              <w:right w:val="single" w:sz="4" w:space="0" w:color="auto"/>
            </w:tcBorders>
            <w:shd w:val="clear" w:color="auto" w:fill="auto"/>
            <w:noWrap/>
            <w:vAlign w:val="center"/>
            <w:hideMark/>
          </w:tcPr>
          <w:p w14:paraId="29BAD5B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50.23</w:t>
            </w:r>
          </w:p>
        </w:tc>
        <w:tc>
          <w:tcPr>
            <w:tcW w:w="1234" w:type="dxa"/>
            <w:tcBorders>
              <w:top w:val="nil"/>
              <w:left w:val="nil"/>
              <w:bottom w:val="single" w:sz="4" w:space="0" w:color="auto"/>
              <w:right w:val="single" w:sz="4" w:space="0" w:color="auto"/>
            </w:tcBorders>
            <w:shd w:val="clear" w:color="auto" w:fill="auto"/>
            <w:noWrap/>
            <w:vAlign w:val="center"/>
            <w:hideMark/>
          </w:tcPr>
          <w:p w14:paraId="7FA56F3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59.61</w:t>
            </w:r>
          </w:p>
        </w:tc>
        <w:tc>
          <w:tcPr>
            <w:tcW w:w="1235" w:type="dxa"/>
            <w:tcBorders>
              <w:top w:val="nil"/>
              <w:left w:val="nil"/>
              <w:bottom w:val="single" w:sz="4" w:space="0" w:color="auto"/>
              <w:right w:val="single" w:sz="4" w:space="0" w:color="auto"/>
            </w:tcBorders>
            <w:shd w:val="clear" w:color="auto" w:fill="auto"/>
            <w:noWrap/>
            <w:vAlign w:val="center"/>
            <w:hideMark/>
          </w:tcPr>
          <w:p w14:paraId="08A7C75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69.64</w:t>
            </w:r>
          </w:p>
        </w:tc>
      </w:tr>
      <w:tr w:rsidR="00CC66B7" w:rsidRPr="00D93D2D" w14:paraId="5FECC19D"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973C83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Highest daily workload</w:t>
            </w:r>
          </w:p>
        </w:tc>
        <w:tc>
          <w:tcPr>
            <w:tcW w:w="1234" w:type="dxa"/>
            <w:tcBorders>
              <w:top w:val="nil"/>
              <w:left w:val="nil"/>
              <w:bottom w:val="single" w:sz="4" w:space="0" w:color="auto"/>
              <w:right w:val="single" w:sz="4" w:space="0" w:color="auto"/>
            </w:tcBorders>
            <w:shd w:val="clear" w:color="auto" w:fill="auto"/>
            <w:noWrap/>
            <w:vAlign w:val="center"/>
            <w:hideMark/>
          </w:tcPr>
          <w:p w14:paraId="49D4312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22</w:t>
            </w:r>
          </w:p>
        </w:tc>
        <w:tc>
          <w:tcPr>
            <w:tcW w:w="1234" w:type="dxa"/>
            <w:tcBorders>
              <w:top w:val="nil"/>
              <w:left w:val="nil"/>
              <w:bottom w:val="single" w:sz="4" w:space="0" w:color="auto"/>
              <w:right w:val="single" w:sz="4" w:space="0" w:color="auto"/>
            </w:tcBorders>
            <w:shd w:val="clear" w:color="auto" w:fill="auto"/>
            <w:noWrap/>
            <w:vAlign w:val="center"/>
            <w:hideMark/>
          </w:tcPr>
          <w:p w14:paraId="6C6EA33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36</w:t>
            </w:r>
          </w:p>
        </w:tc>
        <w:tc>
          <w:tcPr>
            <w:tcW w:w="1234" w:type="dxa"/>
            <w:tcBorders>
              <w:top w:val="nil"/>
              <w:left w:val="nil"/>
              <w:bottom w:val="single" w:sz="4" w:space="0" w:color="auto"/>
              <w:right w:val="single" w:sz="4" w:space="0" w:color="auto"/>
            </w:tcBorders>
            <w:shd w:val="clear" w:color="auto" w:fill="auto"/>
            <w:noWrap/>
            <w:vAlign w:val="center"/>
            <w:hideMark/>
          </w:tcPr>
          <w:p w14:paraId="6B77A2E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50</w:t>
            </w:r>
          </w:p>
        </w:tc>
        <w:tc>
          <w:tcPr>
            <w:tcW w:w="1235" w:type="dxa"/>
            <w:tcBorders>
              <w:top w:val="nil"/>
              <w:left w:val="nil"/>
              <w:bottom w:val="single" w:sz="4" w:space="0" w:color="auto"/>
              <w:right w:val="single" w:sz="4" w:space="0" w:color="auto"/>
            </w:tcBorders>
            <w:shd w:val="clear" w:color="auto" w:fill="auto"/>
            <w:noWrap/>
            <w:vAlign w:val="center"/>
            <w:hideMark/>
          </w:tcPr>
          <w:p w14:paraId="67B288B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60</w:t>
            </w:r>
          </w:p>
        </w:tc>
        <w:tc>
          <w:tcPr>
            <w:tcW w:w="1234" w:type="dxa"/>
            <w:tcBorders>
              <w:top w:val="nil"/>
              <w:left w:val="nil"/>
              <w:bottom w:val="single" w:sz="4" w:space="0" w:color="auto"/>
              <w:right w:val="single" w:sz="4" w:space="0" w:color="auto"/>
            </w:tcBorders>
            <w:shd w:val="clear" w:color="auto" w:fill="auto"/>
            <w:noWrap/>
            <w:vAlign w:val="center"/>
            <w:hideMark/>
          </w:tcPr>
          <w:p w14:paraId="4733788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71</w:t>
            </w:r>
          </w:p>
        </w:tc>
        <w:tc>
          <w:tcPr>
            <w:tcW w:w="1234" w:type="dxa"/>
            <w:tcBorders>
              <w:top w:val="nil"/>
              <w:left w:val="nil"/>
              <w:bottom w:val="single" w:sz="4" w:space="0" w:color="auto"/>
              <w:right w:val="single" w:sz="4" w:space="0" w:color="auto"/>
            </w:tcBorders>
            <w:shd w:val="clear" w:color="auto" w:fill="auto"/>
            <w:noWrap/>
            <w:vAlign w:val="center"/>
            <w:hideMark/>
          </w:tcPr>
          <w:p w14:paraId="1CA36E5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85</w:t>
            </w:r>
          </w:p>
        </w:tc>
        <w:tc>
          <w:tcPr>
            <w:tcW w:w="1235" w:type="dxa"/>
            <w:tcBorders>
              <w:top w:val="nil"/>
              <w:left w:val="nil"/>
              <w:bottom w:val="single" w:sz="4" w:space="0" w:color="auto"/>
              <w:right w:val="single" w:sz="4" w:space="0" w:color="auto"/>
            </w:tcBorders>
            <w:shd w:val="clear" w:color="auto" w:fill="auto"/>
            <w:noWrap/>
            <w:vAlign w:val="center"/>
            <w:hideMark/>
          </w:tcPr>
          <w:p w14:paraId="44CBF7C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88</w:t>
            </w:r>
          </w:p>
        </w:tc>
      </w:tr>
      <w:tr w:rsidR="00CC66B7" w:rsidRPr="00D93D2D" w14:paraId="3102BD01"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8CC92B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Lowest daily workload</w:t>
            </w:r>
          </w:p>
        </w:tc>
        <w:tc>
          <w:tcPr>
            <w:tcW w:w="1234" w:type="dxa"/>
            <w:tcBorders>
              <w:top w:val="nil"/>
              <w:left w:val="nil"/>
              <w:bottom w:val="single" w:sz="4" w:space="0" w:color="auto"/>
              <w:right w:val="single" w:sz="4" w:space="0" w:color="auto"/>
            </w:tcBorders>
            <w:shd w:val="clear" w:color="auto" w:fill="auto"/>
            <w:noWrap/>
            <w:vAlign w:val="center"/>
            <w:hideMark/>
          </w:tcPr>
          <w:p w14:paraId="7B24E81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1234" w:type="dxa"/>
            <w:tcBorders>
              <w:top w:val="nil"/>
              <w:left w:val="nil"/>
              <w:bottom w:val="single" w:sz="4" w:space="0" w:color="auto"/>
              <w:right w:val="single" w:sz="4" w:space="0" w:color="auto"/>
            </w:tcBorders>
            <w:shd w:val="clear" w:color="auto" w:fill="auto"/>
            <w:noWrap/>
            <w:vAlign w:val="center"/>
            <w:hideMark/>
          </w:tcPr>
          <w:p w14:paraId="51E8BF5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w:t>
            </w:r>
          </w:p>
        </w:tc>
        <w:tc>
          <w:tcPr>
            <w:tcW w:w="1234" w:type="dxa"/>
            <w:tcBorders>
              <w:top w:val="nil"/>
              <w:left w:val="nil"/>
              <w:bottom w:val="single" w:sz="4" w:space="0" w:color="auto"/>
              <w:right w:val="single" w:sz="4" w:space="0" w:color="auto"/>
            </w:tcBorders>
            <w:shd w:val="clear" w:color="auto" w:fill="auto"/>
            <w:noWrap/>
            <w:vAlign w:val="center"/>
            <w:hideMark/>
          </w:tcPr>
          <w:p w14:paraId="6901C96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17</w:t>
            </w:r>
          </w:p>
        </w:tc>
        <w:tc>
          <w:tcPr>
            <w:tcW w:w="1235" w:type="dxa"/>
            <w:tcBorders>
              <w:top w:val="nil"/>
              <w:left w:val="nil"/>
              <w:bottom w:val="single" w:sz="4" w:space="0" w:color="auto"/>
              <w:right w:val="single" w:sz="4" w:space="0" w:color="auto"/>
            </w:tcBorders>
            <w:shd w:val="clear" w:color="auto" w:fill="auto"/>
            <w:noWrap/>
            <w:vAlign w:val="center"/>
            <w:hideMark/>
          </w:tcPr>
          <w:p w14:paraId="0498F30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23</w:t>
            </w:r>
          </w:p>
        </w:tc>
        <w:tc>
          <w:tcPr>
            <w:tcW w:w="1234" w:type="dxa"/>
            <w:tcBorders>
              <w:top w:val="nil"/>
              <w:left w:val="nil"/>
              <w:bottom w:val="single" w:sz="4" w:space="0" w:color="auto"/>
              <w:right w:val="single" w:sz="4" w:space="0" w:color="auto"/>
            </w:tcBorders>
            <w:shd w:val="clear" w:color="auto" w:fill="auto"/>
            <w:noWrap/>
            <w:vAlign w:val="center"/>
            <w:hideMark/>
          </w:tcPr>
          <w:p w14:paraId="7AB00F4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33</w:t>
            </w:r>
          </w:p>
        </w:tc>
        <w:tc>
          <w:tcPr>
            <w:tcW w:w="1234" w:type="dxa"/>
            <w:tcBorders>
              <w:top w:val="nil"/>
              <w:left w:val="nil"/>
              <w:bottom w:val="single" w:sz="4" w:space="0" w:color="auto"/>
              <w:right w:val="single" w:sz="4" w:space="0" w:color="auto"/>
            </w:tcBorders>
            <w:shd w:val="clear" w:color="auto" w:fill="auto"/>
            <w:noWrap/>
            <w:vAlign w:val="center"/>
            <w:hideMark/>
          </w:tcPr>
          <w:p w14:paraId="4F464E4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36</w:t>
            </w:r>
          </w:p>
        </w:tc>
        <w:tc>
          <w:tcPr>
            <w:tcW w:w="1235" w:type="dxa"/>
            <w:tcBorders>
              <w:top w:val="nil"/>
              <w:left w:val="nil"/>
              <w:bottom w:val="single" w:sz="4" w:space="0" w:color="auto"/>
              <w:right w:val="single" w:sz="4" w:space="0" w:color="auto"/>
            </w:tcBorders>
            <w:shd w:val="clear" w:color="auto" w:fill="auto"/>
            <w:noWrap/>
            <w:vAlign w:val="center"/>
            <w:hideMark/>
          </w:tcPr>
          <w:p w14:paraId="573540C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49</w:t>
            </w:r>
          </w:p>
        </w:tc>
      </w:tr>
      <w:tr w:rsidR="00CC66B7" w:rsidRPr="00D93D2D" w14:paraId="0EA86A3F"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119975E"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Total # of patients tested</w:t>
            </w:r>
          </w:p>
        </w:tc>
        <w:tc>
          <w:tcPr>
            <w:tcW w:w="1234" w:type="dxa"/>
            <w:tcBorders>
              <w:top w:val="nil"/>
              <w:left w:val="nil"/>
              <w:bottom w:val="single" w:sz="4" w:space="0" w:color="auto"/>
              <w:right w:val="single" w:sz="4" w:space="0" w:color="auto"/>
            </w:tcBorders>
            <w:shd w:val="clear" w:color="auto" w:fill="auto"/>
            <w:noWrap/>
            <w:vAlign w:val="center"/>
            <w:hideMark/>
          </w:tcPr>
          <w:p w14:paraId="5DD0E05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2,475</w:t>
            </w:r>
          </w:p>
        </w:tc>
        <w:tc>
          <w:tcPr>
            <w:tcW w:w="1234" w:type="dxa"/>
            <w:tcBorders>
              <w:top w:val="nil"/>
              <w:left w:val="nil"/>
              <w:bottom w:val="single" w:sz="4" w:space="0" w:color="auto"/>
              <w:right w:val="single" w:sz="4" w:space="0" w:color="auto"/>
            </w:tcBorders>
            <w:shd w:val="clear" w:color="auto" w:fill="auto"/>
            <w:noWrap/>
            <w:vAlign w:val="center"/>
            <w:hideMark/>
          </w:tcPr>
          <w:p w14:paraId="313B58B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4,957</w:t>
            </w:r>
          </w:p>
        </w:tc>
        <w:tc>
          <w:tcPr>
            <w:tcW w:w="1234" w:type="dxa"/>
            <w:tcBorders>
              <w:top w:val="nil"/>
              <w:left w:val="nil"/>
              <w:bottom w:val="single" w:sz="4" w:space="0" w:color="auto"/>
              <w:right w:val="single" w:sz="4" w:space="0" w:color="auto"/>
            </w:tcBorders>
            <w:shd w:val="clear" w:color="auto" w:fill="auto"/>
            <w:noWrap/>
            <w:vAlign w:val="center"/>
            <w:hideMark/>
          </w:tcPr>
          <w:p w14:paraId="4CC7995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7,403</w:t>
            </w:r>
          </w:p>
        </w:tc>
        <w:tc>
          <w:tcPr>
            <w:tcW w:w="1235" w:type="dxa"/>
            <w:tcBorders>
              <w:top w:val="nil"/>
              <w:left w:val="nil"/>
              <w:bottom w:val="single" w:sz="4" w:space="0" w:color="auto"/>
              <w:right w:val="single" w:sz="4" w:space="0" w:color="auto"/>
            </w:tcBorders>
            <w:shd w:val="clear" w:color="auto" w:fill="auto"/>
            <w:noWrap/>
            <w:vAlign w:val="center"/>
            <w:hideMark/>
          </w:tcPr>
          <w:p w14:paraId="2053245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9,928</w:t>
            </w:r>
          </w:p>
        </w:tc>
        <w:tc>
          <w:tcPr>
            <w:tcW w:w="1234" w:type="dxa"/>
            <w:tcBorders>
              <w:top w:val="nil"/>
              <w:left w:val="nil"/>
              <w:bottom w:val="single" w:sz="4" w:space="0" w:color="auto"/>
              <w:right w:val="single" w:sz="4" w:space="0" w:color="auto"/>
            </w:tcBorders>
            <w:shd w:val="clear" w:color="auto" w:fill="auto"/>
            <w:noWrap/>
            <w:vAlign w:val="center"/>
            <w:hideMark/>
          </w:tcPr>
          <w:p w14:paraId="30A5966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12,557</w:t>
            </w:r>
          </w:p>
        </w:tc>
        <w:tc>
          <w:tcPr>
            <w:tcW w:w="1234" w:type="dxa"/>
            <w:tcBorders>
              <w:top w:val="nil"/>
              <w:left w:val="nil"/>
              <w:bottom w:val="single" w:sz="4" w:space="0" w:color="auto"/>
              <w:right w:val="single" w:sz="4" w:space="0" w:color="auto"/>
            </w:tcBorders>
            <w:shd w:val="clear" w:color="auto" w:fill="auto"/>
            <w:noWrap/>
            <w:vAlign w:val="center"/>
            <w:hideMark/>
          </w:tcPr>
          <w:p w14:paraId="5B88299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14,903</w:t>
            </w:r>
          </w:p>
        </w:tc>
        <w:tc>
          <w:tcPr>
            <w:tcW w:w="1235" w:type="dxa"/>
            <w:tcBorders>
              <w:top w:val="nil"/>
              <w:left w:val="nil"/>
              <w:bottom w:val="single" w:sz="4" w:space="0" w:color="auto"/>
              <w:right w:val="single" w:sz="4" w:space="0" w:color="auto"/>
            </w:tcBorders>
            <w:shd w:val="clear" w:color="auto" w:fill="auto"/>
            <w:noWrap/>
            <w:vAlign w:val="center"/>
            <w:hideMark/>
          </w:tcPr>
          <w:p w14:paraId="11AF56F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17,411</w:t>
            </w:r>
          </w:p>
        </w:tc>
      </w:tr>
      <w:tr w:rsidR="00CC66B7" w:rsidRPr="00D93D2D" w14:paraId="13F1E674"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E00B9EB" w14:textId="77777777" w:rsidR="00CC66B7" w:rsidRPr="00D93D2D" w:rsidRDefault="00CC66B7" w:rsidP="00CC66B7">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Range (Low)</w:t>
            </w:r>
          </w:p>
        </w:tc>
        <w:tc>
          <w:tcPr>
            <w:tcW w:w="1234" w:type="dxa"/>
            <w:tcBorders>
              <w:top w:val="nil"/>
              <w:left w:val="nil"/>
              <w:bottom w:val="single" w:sz="4" w:space="0" w:color="auto"/>
              <w:right w:val="single" w:sz="4" w:space="0" w:color="auto"/>
            </w:tcBorders>
            <w:shd w:val="clear" w:color="auto" w:fill="auto"/>
            <w:noWrap/>
            <w:vAlign w:val="center"/>
            <w:hideMark/>
          </w:tcPr>
          <w:p w14:paraId="2CE94DB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4" w:type="dxa"/>
            <w:tcBorders>
              <w:top w:val="nil"/>
              <w:left w:val="nil"/>
              <w:bottom w:val="single" w:sz="4" w:space="0" w:color="auto"/>
              <w:right w:val="single" w:sz="4" w:space="0" w:color="auto"/>
            </w:tcBorders>
            <w:shd w:val="clear" w:color="auto" w:fill="auto"/>
            <w:noWrap/>
            <w:vAlign w:val="center"/>
            <w:hideMark/>
          </w:tcPr>
          <w:p w14:paraId="0D56CA6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3,715</w:t>
            </w:r>
          </w:p>
        </w:tc>
        <w:tc>
          <w:tcPr>
            <w:tcW w:w="1234" w:type="dxa"/>
            <w:tcBorders>
              <w:top w:val="nil"/>
              <w:left w:val="nil"/>
              <w:bottom w:val="single" w:sz="4" w:space="0" w:color="auto"/>
              <w:right w:val="single" w:sz="4" w:space="0" w:color="auto"/>
            </w:tcBorders>
            <w:shd w:val="clear" w:color="auto" w:fill="auto"/>
            <w:noWrap/>
            <w:vAlign w:val="center"/>
            <w:hideMark/>
          </w:tcPr>
          <w:p w14:paraId="55A0C83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6,179</w:t>
            </w:r>
          </w:p>
        </w:tc>
        <w:tc>
          <w:tcPr>
            <w:tcW w:w="1235" w:type="dxa"/>
            <w:tcBorders>
              <w:top w:val="nil"/>
              <w:left w:val="nil"/>
              <w:bottom w:val="single" w:sz="4" w:space="0" w:color="auto"/>
              <w:right w:val="single" w:sz="4" w:space="0" w:color="auto"/>
            </w:tcBorders>
            <w:shd w:val="clear" w:color="auto" w:fill="auto"/>
            <w:noWrap/>
            <w:vAlign w:val="center"/>
            <w:hideMark/>
          </w:tcPr>
          <w:p w14:paraId="142D88D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8,665</w:t>
            </w:r>
          </w:p>
        </w:tc>
        <w:tc>
          <w:tcPr>
            <w:tcW w:w="1234" w:type="dxa"/>
            <w:tcBorders>
              <w:top w:val="nil"/>
              <w:left w:val="nil"/>
              <w:bottom w:val="single" w:sz="4" w:space="0" w:color="auto"/>
              <w:right w:val="single" w:sz="4" w:space="0" w:color="auto"/>
            </w:tcBorders>
            <w:shd w:val="clear" w:color="auto" w:fill="auto"/>
            <w:noWrap/>
            <w:vAlign w:val="center"/>
            <w:hideMark/>
          </w:tcPr>
          <w:p w14:paraId="31E6CBE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11,242</w:t>
            </w:r>
          </w:p>
        </w:tc>
        <w:tc>
          <w:tcPr>
            <w:tcW w:w="1234" w:type="dxa"/>
            <w:tcBorders>
              <w:top w:val="nil"/>
              <w:left w:val="nil"/>
              <w:bottom w:val="single" w:sz="4" w:space="0" w:color="auto"/>
              <w:right w:val="single" w:sz="4" w:space="0" w:color="auto"/>
            </w:tcBorders>
            <w:shd w:val="clear" w:color="auto" w:fill="auto"/>
            <w:noWrap/>
            <w:vAlign w:val="center"/>
            <w:hideMark/>
          </w:tcPr>
          <w:p w14:paraId="7E28970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13,729</w:t>
            </w:r>
          </w:p>
        </w:tc>
        <w:tc>
          <w:tcPr>
            <w:tcW w:w="1235" w:type="dxa"/>
            <w:tcBorders>
              <w:top w:val="nil"/>
              <w:left w:val="nil"/>
              <w:bottom w:val="single" w:sz="4" w:space="0" w:color="auto"/>
              <w:right w:val="single" w:sz="4" w:space="0" w:color="auto"/>
            </w:tcBorders>
            <w:shd w:val="clear" w:color="auto" w:fill="auto"/>
            <w:noWrap/>
            <w:vAlign w:val="center"/>
            <w:hideMark/>
          </w:tcPr>
          <w:p w14:paraId="763615D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16,156</w:t>
            </w:r>
          </w:p>
        </w:tc>
      </w:tr>
      <w:tr w:rsidR="00CC66B7" w:rsidRPr="00D93D2D" w14:paraId="10D12999"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222ACE8" w14:textId="77777777" w:rsidR="00CC66B7" w:rsidRPr="00D93D2D" w:rsidRDefault="00CC66B7" w:rsidP="00CC66B7">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Range (High)</w:t>
            </w:r>
          </w:p>
        </w:tc>
        <w:tc>
          <w:tcPr>
            <w:tcW w:w="1234" w:type="dxa"/>
            <w:tcBorders>
              <w:top w:val="nil"/>
              <w:left w:val="nil"/>
              <w:bottom w:val="single" w:sz="4" w:space="0" w:color="auto"/>
              <w:right w:val="single" w:sz="4" w:space="0" w:color="auto"/>
            </w:tcBorders>
            <w:shd w:val="clear" w:color="auto" w:fill="auto"/>
            <w:noWrap/>
            <w:vAlign w:val="center"/>
            <w:hideMark/>
          </w:tcPr>
          <w:p w14:paraId="4750260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3,716</w:t>
            </w:r>
          </w:p>
        </w:tc>
        <w:tc>
          <w:tcPr>
            <w:tcW w:w="1234" w:type="dxa"/>
            <w:tcBorders>
              <w:top w:val="nil"/>
              <w:left w:val="nil"/>
              <w:bottom w:val="single" w:sz="4" w:space="0" w:color="auto"/>
              <w:right w:val="single" w:sz="4" w:space="0" w:color="auto"/>
            </w:tcBorders>
            <w:shd w:val="clear" w:color="auto" w:fill="auto"/>
            <w:noWrap/>
            <w:vAlign w:val="center"/>
            <w:hideMark/>
          </w:tcPr>
          <w:p w14:paraId="68CFF45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6,180</w:t>
            </w:r>
          </w:p>
        </w:tc>
        <w:tc>
          <w:tcPr>
            <w:tcW w:w="1234" w:type="dxa"/>
            <w:tcBorders>
              <w:top w:val="nil"/>
              <w:left w:val="nil"/>
              <w:bottom w:val="single" w:sz="4" w:space="0" w:color="auto"/>
              <w:right w:val="single" w:sz="4" w:space="0" w:color="auto"/>
            </w:tcBorders>
            <w:shd w:val="clear" w:color="auto" w:fill="auto"/>
            <w:noWrap/>
            <w:vAlign w:val="center"/>
            <w:hideMark/>
          </w:tcPr>
          <w:p w14:paraId="0CDEB6D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8,666</w:t>
            </w:r>
          </w:p>
        </w:tc>
        <w:tc>
          <w:tcPr>
            <w:tcW w:w="1235" w:type="dxa"/>
            <w:tcBorders>
              <w:top w:val="nil"/>
              <w:left w:val="nil"/>
              <w:bottom w:val="single" w:sz="4" w:space="0" w:color="auto"/>
              <w:right w:val="single" w:sz="4" w:space="0" w:color="auto"/>
            </w:tcBorders>
            <w:shd w:val="clear" w:color="auto" w:fill="auto"/>
            <w:noWrap/>
            <w:vAlign w:val="center"/>
            <w:hideMark/>
          </w:tcPr>
          <w:p w14:paraId="5718C67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11,243</w:t>
            </w:r>
          </w:p>
        </w:tc>
        <w:tc>
          <w:tcPr>
            <w:tcW w:w="1234" w:type="dxa"/>
            <w:tcBorders>
              <w:top w:val="nil"/>
              <w:left w:val="nil"/>
              <w:bottom w:val="single" w:sz="4" w:space="0" w:color="auto"/>
              <w:right w:val="single" w:sz="4" w:space="0" w:color="auto"/>
            </w:tcBorders>
            <w:shd w:val="clear" w:color="auto" w:fill="auto"/>
            <w:noWrap/>
            <w:vAlign w:val="center"/>
            <w:hideMark/>
          </w:tcPr>
          <w:p w14:paraId="6C81DEA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13,730</w:t>
            </w:r>
          </w:p>
        </w:tc>
        <w:tc>
          <w:tcPr>
            <w:tcW w:w="1234" w:type="dxa"/>
            <w:tcBorders>
              <w:top w:val="nil"/>
              <w:left w:val="nil"/>
              <w:bottom w:val="single" w:sz="4" w:space="0" w:color="auto"/>
              <w:right w:val="single" w:sz="4" w:space="0" w:color="auto"/>
            </w:tcBorders>
            <w:shd w:val="clear" w:color="auto" w:fill="auto"/>
            <w:noWrap/>
            <w:vAlign w:val="center"/>
            <w:hideMark/>
          </w:tcPr>
          <w:p w14:paraId="4D4875D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16,157</w:t>
            </w:r>
          </w:p>
        </w:tc>
        <w:tc>
          <w:tcPr>
            <w:tcW w:w="1235" w:type="dxa"/>
            <w:tcBorders>
              <w:top w:val="nil"/>
              <w:left w:val="nil"/>
              <w:bottom w:val="single" w:sz="4" w:space="0" w:color="auto"/>
              <w:right w:val="single" w:sz="4" w:space="0" w:color="auto"/>
            </w:tcBorders>
            <w:shd w:val="clear" w:color="auto" w:fill="auto"/>
            <w:noWrap/>
            <w:vAlign w:val="center"/>
            <w:hideMark/>
          </w:tcPr>
          <w:p w14:paraId="6FDD1DE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20,000</w:t>
            </w:r>
          </w:p>
        </w:tc>
      </w:tr>
      <w:tr w:rsidR="00CC66B7" w:rsidRPr="00D93D2D" w14:paraId="30368DE6" w14:textId="77777777" w:rsidTr="00CC66B7">
        <w:trPr>
          <w:trHeight w:val="292"/>
        </w:trPr>
        <w:tc>
          <w:tcPr>
            <w:tcW w:w="2515" w:type="dxa"/>
            <w:tcBorders>
              <w:top w:val="nil"/>
              <w:left w:val="single" w:sz="4" w:space="0" w:color="auto"/>
              <w:bottom w:val="single" w:sz="4" w:space="0" w:color="auto"/>
              <w:right w:val="single" w:sz="4" w:space="0" w:color="auto"/>
            </w:tcBorders>
            <w:shd w:val="clear" w:color="000000" w:fill="DBDBDB"/>
            <w:noWrap/>
            <w:vAlign w:val="center"/>
            <w:hideMark/>
          </w:tcPr>
          <w:p w14:paraId="43357DAA"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w:t>
            </w:r>
          </w:p>
        </w:tc>
        <w:tc>
          <w:tcPr>
            <w:tcW w:w="8640" w:type="dxa"/>
            <w:gridSpan w:val="7"/>
            <w:tcBorders>
              <w:top w:val="single" w:sz="4" w:space="0" w:color="auto"/>
              <w:left w:val="nil"/>
              <w:bottom w:val="single" w:sz="4" w:space="0" w:color="auto"/>
              <w:right w:val="single" w:sz="4" w:space="0" w:color="auto"/>
            </w:tcBorders>
            <w:shd w:val="clear" w:color="000000" w:fill="DBDBDB"/>
            <w:noWrap/>
            <w:vAlign w:val="center"/>
            <w:hideMark/>
          </w:tcPr>
          <w:p w14:paraId="7622CD9A" w14:textId="77777777" w:rsidR="00CC66B7" w:rsidRPr="00D93D2D" w:rsidRDefault="00CC66B7" w:rsidP="00CC66B7">
            <w:pPr>
              <w:spacing w:after="0" w:line="240" w:lineRule="auto"/>
              <w:jc w:val="center"/>
              <w:rPr>
                <w:rFonts w:eastAsia="Times New Roman" w:cstheme="minorHAnsi"/>
                <w:i/>
                <w:iCs/>
                <w:color w:val="000000"/>
                <w:sz w:val="16"/>
              </w:rPr>
            </w:pPr>
            <w:r w:rsidRPr="00D93D2D">
              <w:rPr>
                <w:rFonts w:eastAsia="Times New Roman" w:cstheme="minorHAnsi"/>
                <w:i/>
                <w:iCs/>
                <w:color w:val="000000"/>
                <w:sz w:val="16"/>
              </w:rPr>
              <w:t>Calculating # of Omni modules required (90% same day turn-around guarantee)</w:t>
            </w:r>
          </w:p>
        </w:tc>
      </w:tr>
      <w:tr w:rsidR="00CC66B7" w:rsidRPr="00D93D2D" w14:paraId="70376CE0"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7EE7B42"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Frequency beyond 32 test per day</w:t>
            </w:r>
          </w:p>
        </w:tc>
        <w:tc>
          <w:tcPr>
            <w:tcW w:w="1234" w:type="dxa"/>
            <w:tcBorders>
              <w:top w:val="nil"/>
              <w:left w:val="nil"/>
              <w:bottom w:val="single" w:sz="4" w:space="0" w:color="auto"/>
              <w:right w:val="single" w:sz="4" w:space="0" w:color="auto"/>
            </w:tcBorders>
            <w:shd w:val="clear" w:color="auto" w:fill="auto"/>
            <w:noWrap/>
            <w:vAlign w:val="center"/>
            <w:hideMark/>
          </w:tcPr>
          <w:p w14:paraId="52FB707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4" w:type="dxa"/>
            <w:tcBorders>
              <w:top w:val="nil"/>
              <w:left w:val="nil"/>
              <w:bottom w:val="single" w:sz="4" w:space="0" w:color="auto"/>
              <w:right w:val="single" w:sz="4" w:space="0" w:color="auto"/>
            </w:tcBorders>
            <w:shd w:val="clear" w:color="auto" w:fill="auto"/>
            <w:noWrap/>
            <w:vAlign w:val="center"/>
            <w:hideMark/>
          </w:tcPr>
          <w:p w14:paraId="1317394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1234" w:type="dxa"/>
            <w:tcBorders>
              <w:top w:val="nil"/>
              <w:left w:val="nil"/>
              <w:bottom w:val="single" w:sz="4" w:space="0" w:color="auto"/>
              <w:right w:val="single" w:sz="4" w:space="0" w:color="auto"/>
            </w:tcBorders>
            <w:shd w:val="clear" w:color="auto" w:fill="auto"/>
            <w:noWrap/>
            <w:vAlign w:val="center"/>
            <w:hideMark/>
          </w:tcPr>
          <w:p w14:paraId="7CFC8E9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61</w:t>
            </w:r>
          </w:p>
        </w:tc>
        <w:tc>
          <w:tcPr>
            <w:tcW w:w="1235" w:type="dxa"/>
            <w:tcBorders>
              <w:top w:val="nil"/>
              <w:left w:val="nil"/>
              <w:bottom w:val="single" w:sz="4" w:space="0" w:color="auto"/>
              <w:right w:val="single" w:sz="4" w:space="0" w:color="auto"/>
            </w:tcBorders>
            <w:shd w:val="clear" w:color="auto" w:fill="auto"/>
            <w:noWrap/>
            <w:vAlign w:val="center"/>
            <w:hideMark/>
          </w:tcPr>
          <w:p w14:paraId="7FF7FD9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224</w:t>
            </w:r>
          </w:p>
        </w:tc>
        <w:tc>
          <w:tcPr>
            <w:tcW w:w="1234" w:type="dxa"/>
            <w:tcBorders>
              <w:top w:val="nil"/>
              <w:left w:val="nil"/>
              <w:bottom w:val="single" w:sz="4" w:space="0" w:color="auto"/>
              <w:right w:val="single" w:sz="4" w:space="0" w:color="auto"/>
            </w:tcBorders>
            <w:shd w:val="clear" w:color="auto" w:fill="auto"/>
            <w:noWrap/>
            <w:vAlign w:val="center"/>
            <w:hideMark/>
          </w:tcPr>
          <w:p w14:paraId="67C9757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250</w:t>
            </w:r>
          </w:p>
        </w:tc>
        <w:tc>
          <w:tcPr>
            <w:tcW w:w="1234" w:type="dxa"/>
            <w:tcBorders>
              <w:top w:val="nil"/>
              <w:left w:val="nil"/>
              <w:bottom w:val="single" w:sz="4" w:space="0" w:color="auto"/>
              <w:right w:val="single" w:sz="4" w:space="0" w:color="auto"/>
            </w:tcBorders>
            <w:shd w:val="clear" w:color="auto" w:fill="auto"/>
            <w:noWrap/>
            <w:vAlign w:val="center"/>
            <w:hideMark/>
          </w:tcPr>
          <w:p w14:paraId="36ACDCD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250</w:t>
            </w:r>
          </w:p>
        </w:tc>
        <w:tc>
          <w:tcPr>
            <w:tcW w:w="1235" w:type="dxa"/>
            <w:tcBorders>
              <w:top w:val="nil"/>
              <w:left w:val="nil"/>
              <w:bottom w:val="single" w:sz="4" w:space="0" w:color="auto"/>
              <w:right w:val="single" w:sz="4" w:space="0" w:color="auto"/>
            </w:tcBorders>
            <w:shd w:val="clear" w:color="auto" w:fill="auto"/>
            <w:noWrap/>
            <w:vAlign w:val="center"/>
            <w:hideMark/>
          </w:tcPr>
          <w:p w14:paraId="20A189F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250</w:t>
            </w:r>
          </w:p>
        </w:tc>
      </w:tr>
      <w:tr w:rsidR="00CC66B7" w:rsidRPr="00D93D2D" w14:paraId="2E34D93C"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958AF89"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Frequency beyond 48 test per day</w:t>
            </w:r>
          </w:p>
        </w:tc>
        <w:tc>
          <w:tcPr>
            <w:tcW w:w="1234" w:type="dxa"/>
            <w:tcBorders>
              <w:top w:val="nil"/>
              <w:left w:val="nil"/>
              <w:bottom w:val="single" w:sz="4" w:space="0" w:color="auto"/>
              <w:right w:val="single" w:sz="4" w:space="0" w:color="auto"/>
            </w:tcBorders>
            <w:shd w:val="clear" w:color="auto" w:fill="auto"/>
            <w:noWrap/>
            <w:vAlign w:val="center"/>
            <w:hideMark/>
          </w:tcPr>
          <w:p w14:paraId="7A52CC7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4" w:type="dxa"/>
            <w:tcBorders>
              <w:top w:val="nil"/>
              <w:left w:val="nil"/>
              <w:bottom w:val="single" w:sz="4" w:space="0" w:color="auto"/>
              <w:right w:val="single" w:sz="4" w:space="0" w:color="auto"/>
            </w:tcBorders>
            <w:shd w:val="clear" w:color="auto" w:fill="auto"/>
            <w:noWrap/>
            <w:vAlign w:val="center"/>
            <w:hideMark/>
          </w:tcPr>
          <w:p w14:paraId="557A1BA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4" w:type="dxa"/>
            <w:tcBorders>
              <w:top w:val="nil"/>
              <w:left w:val="nil"/>
              <w:bottom w:val="single" w:sz="4" w:space="0" w:color="auto"/>
              <w:right w:val="single" w:sz="4" w:space="0" w:color="auto"/>
            </w:tcBorders>
            <w:shd w:val="clear" w:color="auto" w:fill="auto"/>
            <w:noWrap/>
            <w:vAlign w:val="center"/>
            <w:hideMark/>
          </w:tcPr>
          <w:p w14:paraId="4884121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1235" w:type="dxa"/>
            <w:tcBorders>
              <w:top w:val="nil"/>
              <w:left w:val="nil"/>
              <w:bottom w:val="single" w:sz="4" w:space="0" w:color="auto"/>
              <w:right w:val="single" w:sz="4" w:space="0" w:color="auto"/>
            </w:tcBorders>
            <w:shd w:val="clear" w:color="auto" w:fill="auto"/>
            <w:noWrap/>
            <w:vAlign w:val="center"/>
            <w:hideMark/>
          </w:tcPr>
          <w:p w14:paraId="0DB7B5B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w:t>
            </w:r>
          </w:p>
        </w:tc>
        <w:tc>
          <w:tcPr>
            <w:tcW w:w="1234" w:type="dxa"/>
            <w:tcBorders>
              <w:top w:val="nil"/>
              <w:left w:val="nil"/>
              <w:bottom w:val="single" w:sz="4" w:space="0" w:color="auto"/>
              <w:right w:val="single" w:sz="4" w:space="0" w:color="auto"/>
            </w:tcBorders>
            <w:shd w:val="clear" w:color="auto" w:fill="auto"/>
            <w:noWrap/>
            <w:vAlign w:val="center"/>
            <w:hideMark/>
          </w:tcPr>
          <w:p w14:paraId="5BC2AC0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146</w:t>
            </w:r>
          </w:p>
        </w:tc>
        <w:tc>
          <w:tcPr>
            <w:tcW w:w="1234" w:type="dxa"/>
            <w:tcBorders>
              <w:top w:val="nil"/>
              <w:left w:val="nil"/>
              <w:bottom w:val="single" w:sz="4" w:space="0" w:color="auto"/>
              <w:right w:val="single" w:sz="4" w:space="0" w:color="auto"/>
            </w:tcBorders>
            <w:shd w:val="clear" w:color="auto" w:fill="auto"/>
            <w:noWrap/>
            <w:vAlign w:val="center"/>
            <w:hideMark/>
          </w:tcPr>
          <w:p w14:paraId="564F83F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146</w:t>
            </w:r>
          </w:p>
        </w:tc>
        <w:tc>
          <w:tcPr>
            <w:tcW w:w="1235" w:type="dxa"/>
            <w:tcBorders>
              <w:top w:val="nil"/>
              <w:left w:val="nil"/>
              <w:bottom w:val="single" w:sz="4" w:space="0" w:color="auto"/>
              <w:right w:val="single" w:sz="4" w:space="0" w:color="auto"/>
            </w:tcBorders>
            <w:shd w:val="clear" w:color="auto" w:fill="auto"/>
            <w:noWrap/>
            <w:vAlign w:val="center"/>
            <w:hideMark/>
          </w:tcPr>
          <w:p w14:paraId="4387076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146</w:t>
            </w:r>
          </w:p>
        </w:tc>
      </w:tr>
      <w:tr w:rsidR="00CC66B7" w:rsidRPr="00D93D2D" w14:paraId="654124C1"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C7E9735"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Frequency beyond 64 test per day</w:t>
            </w:r>
          </w:p>
        </w:tc>
        <w:tc>
          <w:tcPr>
            <w:tcW w:w="1234" w:type="dxa"/>
            <w:tcBorders>
              <w:top w:val="nil"/>
              <w:left w:val="nil"/>
              <w:bottom w:val="single" w:sz="4" w:space="0" w:color="auto"/>
              <w:right w:val="single" w:sz="4" w:space="0" w:color="auto"/>
            </w:tcBorders>
            <w:shd w:val="clear" w:color="auto" w:fill="auto"/>
            <w:noWrap/>
            <w:vAlign w:val="center"/>
            <w:hideMark/>
          </w:tcPr>
          <w:p w14:paraId="5F7B9FD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4" w:type="dxa"/>
            <w:tcBorders>
              <w:top w:val="nil"/>
              <w:left w:val="nil"/>
              <w:bottom w:val="single" w:sz="4" w:space="0" w:color="auto"/>
              <w:right w:val="single" w:sz="4" w:space="0" w:color="auto"/>
            </w:tcBorders>
            <w:shd w:val="clear" w:color="auto" w:fill="auto"/>
            <w:noWrap/>
            <w:vAlign w:val="center"/>
            <w:hideMark/>
          </w:tcPr>
          <w:p w14:paraId="24B1232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4" w:type="dxa"/>
            <w:tcBorders>
              <w:top w:val="nil"/>
              <w:left w:val="nil"/>
              <w:bottom w:val="single" w:sz="4" w:space="0" w:color="auto"/>
              <w:right w:val="single" w:sz="4" w:space="0" w:color="auto"/>
            </w:tcBorders>
            <w:shd w:val="clear" w:color="auto" w:fill="auto"/>
            <w:noWrap/>
            <w:vAlign w:val="center"/>
            <w:hideMark/>
          </w:tcPr>
          <w:p w14:paraId="3A9D58C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5" w:type="dxa"/>
            <w:tcBorders>
              <w:top w:val="nil"/>
              <w:left w:val="nil"/>
              <w:bottom w:val="single" w:sz="4" w:space="0" w:color="auto"/>
              <w:right w:val="single" w:sz="4" w:space="0" w:color="auto"/>
            </w:tcBorders>
            <w:shd w:val="clear" w:color="auto" w:fill="auto"/>
            <w:noWrap/>
            <w:vAlign w:val="center"/>
            <w:hideMark/>
          </w:tcPr>
          <w:p w14:paraId="4164393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4" w:type="dxa"/>
            <w:tcBorders>
              <w:top w:val="nil"/>
              <w:left w:val="nil"/>
              <w:bottom w:val="single" w:sz="4" w:space="0" w:color="auto"/>
              <w:right w:val="single" w:sz="4" w:space="0" w:color="auto"/>
            </w:tcBorders>
            <w:shd w:val="clear" w:color="auto" w:fill="auto"/>
            <w:noWrap/>
            <w:vAlign w:val="center"/>
            <w:hideMark/>
          </w:tcPr>
          <w:p w14:paraId="3CF4BCA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w:t>
            </w:r>
          </w:p>
        </w:tc>
        <w:tc>
          <w:tcPr>
            <w:tcW w:w="1234" w:type="dxa"/>
            <w:tcBorders>
              <w:top w:val="nil"/>
              <w:left w:val="nil"/>
              <w:bottom w:val="single" w:sz="4" w:space="0" w:color="auto"/>
              <w:right w:val="single" w:sz="4" w:space="0" w:color="auto"/>
            </w:tcBorders>
            <w:shd w:val="clear" w:color="auto" w:fill="auto"/>
            <w:noWrap/>
            <w:vAlign w:val="center"/>
            <w:hideMark/>
          </w:tcPr>
          <w:p w14:paraId="13F6A7F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w:t>
            </w:r>
          </w:p>
        </w:tc>
        <w:tc>
          <w:tcPr>
            <w:tcW w:w="1235" w:type="dxa"/>
            <w:tcBorders>
              <w:top w:val="nil"/>
              <w:left w:val="nil"/>
              <w:bottom w:val="single" w:sz="4" w:space="0" w:color="auto"/>
              <w:right w:val="single" w:sz="4" w:space="0" w:color="auto"/>
            </w:tcBorders>
            <w:shd w:val="clear" w:color="auto" w:fill="auto"/>
            <w:noWrap/>
            <w:vAlign w:val="center"/>
            <w:hideMark/>
          </w:tcPr>
          <w:p w14:paraId="789773C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5</w:t>
            </w:r>
          </w:p>
        </w:tc>
      </w:tr>
      <w:tr w:rsidR="00CC66B7" w:rsidRPr="00D93D2D" w14:paraId="6DAD28CB"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F2BF860"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two-day test coverage w/ 1 GX4</w:t>
            </w:r>
          </w:p>
        </w:tc>
        <w:tc>
          <w:tcPr>
            <w:tcW w:w="1234" w:type="dxa"/>
            <w:tcBorders>
              <w:top w:val="nil"/>
              <w:left w:val="nil"/>
              <w:bottom w:val="single" w:sz="4" w:space="0" w:color="auto"/>
              <w:right w:val="single" w:sz="4" w:space="0" w:color="auto"/>
            </w:tcBorders>
            <w:shd w:val="clear" w:color="auto" w:fill="auto"/>
            <w:noWrap/>
            <w:vAlign w:val="center"/>
            <w:hideMark/>
          </w:tcPr>
          <w:p w14:paraId="24E442C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63E3C10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99%</w:t>
            </w:r>
          </w:p>
        </w:tc>
        <w:tc>
          <w:tcPr>
            <w:tcW w:w="1234" w:type="dxa"/>
            <w:tcBorders>
              <w:top w:val="nil"/>
              <w:left w:val="nil"/>
              <w:bottom w:val="single" w:sz="4" w:space="0" w:color="auto"/>
              <w:right w:val="single" w:sz="4" w:space="0" w:color="auto"/>
            </w:tcBorders>
            <w:shd w:val="clear" w:color="auto" w:fill="auto"/>
            <w:noWrap/>
            <w:vAlign w:val="center"/>
            <w:hideMark/>
          </w:tcPr>
          <w:p w14:paraId="33724FB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76%</w:t>
            </w:r>
          </w:p>
        </w:tc>
        <w:tc>
          <w:tcPr>
            <w:tcW w:w="1235" w:type="dxa"/>
            <w:tcBorders>
              <w:top w:val="nil"/>
              <w:left w:val="nil"/>
              <w:bottom w:val="single" w:sz="4" w:space="0" w:color="auto"/>
              <w:right w:val="single" w:sz="4" w:space="0" w:color="auto"/>
            </w:tcBorders>
            <w:shd w:val="clear" w:color="auto" w:fill="auto"/>
            <w:noWrap/>
            <w:vAlign w:val="center"/>
            <w:hideMark/>
          </w:tcPr>
          <w:p w14:paraId="4367FAB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w:t>
            </w:r>
          </w:p>
        </w:tc>
        <w:tc>
          <w:tcPr>
            <w:tcW w:w="1234" w:type="dxa"/>
            <w:tcBorders>
              <w:top w:val="nil"/>
              <w:left w:val="nil"/>
              <w:bottom w:val="single" w:sz="4" w:space="0" w:color="auto"/>
              <w:right w:val="single" w:sz="4" w:space="0" w:color="auto"/>
            </w:tcBorders>
            <w:shd w:val="clear" w:color="auto" w:fill="auto"/>
            <w:noWrap/>
            <w:vAlign w:val="center"/>
            <w:hideMark/>
          </w:tcPr>
          <w:p w14:paraId="070A07E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4" w:type="dxa"/>
            <w:tcBorders>
              <w:top w:val="nil"/>
              <w:left w:val="nil"/>
              <w:bottom w:val="single" w:sz="4" w:space="0" w:color="auto"/>
              <w:right w:val="single" w:sz="4" w:space="0" w:color="auto"/>
            </w:tcBorders>
            <w:shd w:val="clear" w:color="auto" w:fill="auto"/>
            <w:noWrap/>
            <w:vAlign w:val="center"/>
            <w:hideMark/>
          </w:tcPr>
          <w:p w14:paraId="26DE4FC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c>
          <w:tcPr>
            <w:tcW w:w="1235" w:type="dxa"/>
            <w:tcBorders>
              <w:top w:val="nil"/>
              <w:left w:val="nil"/>
              <w:bottom w:val="single" w:sz="4" w:space="0" w:color="auto"/>
              <w:right w:val="single" w:sz="4" w:space="0" w:color="auto"/>
            </w:tcBorders>
            <w:shd w:val="clear" w:color="auto" w:fill="auto"/>
            <w:noWrap/>
            <w:vAlign w:val="center"/>
            <w:hideMark/>
          </w:tcPr>
          <w:p w14:paraId="39A7993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0%</w:t>
            </w:r>
          </w:p>
        </w:tc>
      </w:tr>
      <w:tr w:rsidR="00CC66B7" w:rsidRPr="00D93D2D" w14:paraId="4682534E"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2702E9D6"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two day test coverage w/ 2 GX4</w:t>
            </w:r>
          </w:p>
        </w:tc>
        <w:tc>
          <w:tcPr>
            <w:tcW w:w="1234" w:type="dxa"/>
            <w:tcBorders>
              <w:top w:val="nil"/>
              <w:left w:val="nil"/>
              <w:bottom w:val="single" w:sz="4" w:space="0" w:color="auto"/>
              <w:right w:val="single" w:sz="4" w:space="0" w:color="auto"/>
            </w:tcBorders>
            <w:shd w:val="clear" w:color="auto" w:fill="auto"/>
            <w:noWrap/>
            <w:vAlign w:val="center"/>
            <w:hideMark/>
          </w:tcPr>
          <w:p w14:paraId="35D1746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3F6BA66D"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1FDC8BF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6AF2AA4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94%</w:t>
            </w:r>
          </w:p>
        </w:tc>
        <w:tc>
          <w:tcPr>
            <w:tcW w:w="1234" w:type="dxa"/>
            <w:tcBorders>
              <w:top w:val="nil"/>
              <w:left w:val="nil"/>
              <w:bottom w:val="single" w:sz="4" w:space="0" w:color="auto"/>
              <w:right w:val="single" w:sz="4" w:space="0" w:color="auto"/>
            </w:tcBorders>
            <w:shd w:val="clear" w:color="auto" w:fill="auto"/>
            <w:noWrap/>
            <w:vAlign w:val="center"/>
            <w:hideMark/>
          </w:tcPr>
          <w:p w14:paraId="7A7AF89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42%</w:t>
            </w:r>
          </w:p>
        </w:tc>
        <w:tc>
          <w:tcPr>
            <w:tcW w:w="1234" w:type="dxa"/>
            <w:tcBorders>
              <w:top w:val="nil"/>
              <w:left w:val="nil"/>
              <w:bottom w:val="single" w:sz="4" w:space="0" w:color="auto"/>
              <w:right w:val="single" w:sz="4" w:space="0" w:color="auto"/>
            </w:tcBorders>
            <w:shd w:val="clear" w:color="auto" w:fill="auto"/>
            <w:noWrap/>
            <w:vAlign w:val="center"/>
            <w:hideMark/>
          </w:tcPr>
          <w:p w14:paraId="5A9FF63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42%</w:t>
            </w:r>
          </w:p>
        </w:tc>
        <w:tc>
          <w:tcPr>
            <w:tcW w:w="1235" w:type="dxa"/>
            <w:tcBorders>
              <w:top w:val="nil"/>
              <w:left w:val="nil"/>
              <w:bottom w:val="single" w:sz="4" w:space="0" w:color="auto"/>
              <w:right w:val="single" w:sz="4" w:space="0" w:color="auto"/>
            </w:tcBorders>
            <w:shd w:val="clear" w:color="auto" w:fill="auto"/>
            <w:noWrap/>
            <w:vAlign w:val="center"/>
            <w:hideMark/>
          </w:tcPr>
          <w:p w14:paraId="45B4DCA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42%</w:t>
            </w:r>
          </w:p>
        </w:tc>
      </w:tr>
      <w:tr w:rsidR="00CC66B7" w:rsidRPr="00D93D2D" w14:paraId="582A4A5B"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0C2A03F"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two day test coverage w/ 3 GX4</w:t>
            </w:r>
          </w:p>
        </w:tc>
        <w:tc>
          <w:tcPr>
            <w:tcW w:w="1234" w:type="dxa"/>
            <w:tcBorders>
              <w:top w:val="nil"/>
              <w:left w:val="nil"/>
              <w:bottom w:val="single" w:sz="4" w:space="0" w:color="auto"/>
              <w:right w:val="single" w:sz="4" w:space="0" w:color="auto"/>
            </w:tcBorders>
            <w:shd w:val="clear" w:color="auto" w:fill="auto"/>
            <w:noWrap/>
            <w:vAlign w:val="center"/>
            <w:hideMark/>
          </w:tcPr>
          <w:p w14:paraId="158A3A4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72E966E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7F1E0BA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3EB1EE3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4B0BB6A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98%</w:t>
            </w:r>
          </w:p>
        </w:tc>
        <w:tc>
          <w:tcPr>
            <w:tcW w:w="1234" w:type="dxa"/>
            <w:tcBorders>
              <w:top w:val="nil"/>
              <w:left w:val="nil"/>
              <w:bottom w:val="single" w:sz="4" w:space="0" w:color="auto"/>
              <w:right w:val="single" w:sz="4" w:space="0" w:color="auto"/>
            </w:tcBorders>
            <w:shd w:val="clear" w:color="auto" w:fill="auto"/>
            <w:noWrap/>
            <w:vAlign w:val="center"/>
            <w:hideMark/>
          </w:tcPr>
          <w:p w14:paraId="1B69F66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98%</w:t>
            </w:r>
          </w:p>
        </w:tc>
        <w:tc>
          <w:tcPr>
            <w:tcW w:w="1235" w:type="dxa"/>
            <w:tcBorders>
              <w:top w:val="nil"/>
              <w:left w:val="nil"/>
              <w:bottom w:val="single" w:sz="4" w:space="0" w:color="auto"/>
              <w:right w:val="single" w:sz="4" w:space="0" w:color="auto"/>
            </w:tcBorders>
            <w:shd w:val="clear" w:color="auto" w:fill="auto"/>
            <w:noWrap/>
            <w:vAlign w:val="center"/>
            <w:hideMark/>
          </w:tcPr>
          <w:p w14:paraId="4B1DFAC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98%</w:t>
            </w:r>
          </w:p>
        </w:tc>
      </w:tr>
      <w:tr w:rsidR="00CC66B7" w:rsidRPr="00D93D2D" w14:paraId="426F2EC5"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9736963"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of GX 4 Unites required</w:t>
            </w:r>
          </w:p>
        </w:tc>
        <w:tc>
          <w:tcPr>
            <w:tcW w:w="1234" w:type="dxa"/>
            <w:tcBorders>
              <w:top w:val="nil"/>
              <w:left w:val="nil"/>
              <w:bottom w:val="single" w:sz="4" w:space="0" w:color="auto"/>
              <w:right w:val="single" w:sz="4" w:space="0" w:color="auto"/>
            </w:tcBorders>
            <w:shd w:val="clear" w:color="auto" w:fill="auto"/>
            <w:noWrap/>
            <w:vAlign w:val="center"/>
            <w:hideMark/>
          </w:tcPr>
          <w:p w14:paraId="0B9EDD2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1234" w:type="dxa"/>
            <w:tcBorders>
              <w:top w:val="nil"/>
              <w:left w:val="nil"/>
              <w:bottom w:val="single" w:sz="4" w:space="0" w:color="auto"/>
              <w:right w:val="single" w:sz="4" w:space="0" w:color="auto"/>
            </w:tcBorders>
            <w:shd w:val="clear" w:color="auto" w:fill="auto"/>
            <w:noWrap/>
            <w:vAlign w:val="center"/>
            <w:hideMark/>
          </w:tcPr>
          <w:p w14:paraId="6895C62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1234" w:type="dxa"/>
            <w:tcBorders>
              <w:top w:val="nil"/>
              <w:left w:val="nil"/>
              <w:bottom w:val="single" w:sz="4" w:space="0" w:color="auto"/>
              <w:right w:val="single" w:sz="4" w:space="0" w:color="auto"/>
            </w:tcBorders>
            <w:shd w:val="clear" w:color="auto" w:fill="auto"/>
            <w:noWrap/>
            <w:vAlign w:val="center"/>
            <w:hideMark/>
          </w:tcPr>
          <w:p w14:paraId="54DFA27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1235" w:type="dxa"/>
            <w:tcBorders>
              <w:top w:val="nil"/>
              <w:left w:val="nil"/>
              <w:bottom w:val="single" w:sz="4" w:space="0" w:color="auto"/>
              <w:right w:val="single" w:sz="4" w:space="0" w:color="auto"/>
            </w:tcBorders>
            <w:shd w:val="clear" w:color="auto" w:fill="auto"/>
            <w:noWrap/>
            <w:vAlign w:val="center"/>
            <w:hideMark/>
          </w:tcPr>
          <w:p w14:paraId="22691A2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1234" w:type="dxa"/>
            <w:tcBorders>
              <w:top w:val="nil"/>
              <w:left w:val="nil"/>
              <w:bottom w:val="single" w:sz="4" w:space="0" w:color="auto"/>
              <w:right w:val="single" w:sz="4" w:space="0" w:color="auto"/>
            </w:tcBorders>
            <w:shd w:val="clear" w:color="auto" w:fill="auto"/>
            <w:noWrap/>
            <w:vAlign w:val="center"/>
            <w:hideMark/>
          </w:tcPr>
          <w:p w14:paraId="351C4ED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1234" w:type="dxa"/>
            <w:tcBorders>
              <w:top w:val="nil"/>
              <w:left w:val="nil"/>
              <w:bottom w:val="single" w:sz="4" w:space="0" w:color="auto"/>
              <w:right w:val="single" w:sz="4" w:space="0" w:color="auto"/>
            </w:tcBorders>
            <w:shd w:val="clear" w:color="auto" w:fill="auto"/>
            <w:noWrap/>
            <w:vAlign w:val="center"/>
            <w:hideMark/>
          </w:tcPr>
          <w:p w14:paraId="1A09425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1235" w:type="dxa"/>
            <w:tcBorders>
              <w:top w:val="nil"/>
              <w:left w:val="nil"/>
              <w:bottom w:val="single" w:sz="4" w:space="0" w:color="auto"/>
              <w:right w:val="single" w:sz="4" w:space="0" w:color="auto"/>
            </w:tcBorders>
            <w:shd w:val="clear" w:color="auto" w:fill="auto"/>
            <w:noWrap/>
            <w:vAlign w:val="center"/>
            <w:hideMark/>
          </w:tcPr>
          <w:p w14:paraId="7042818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r>
      <w:tr w:rsidR="00CC66B7" w:rsidRPr="00D93D2D" w14:paraId="6EA21EE6" w14:textId="77777777" w:rsidTr="00CC66B7">
        <w:trPr>
          <w:trHeight w:val="292"/>
        </w:trPr>
        <w:tc>
          <w:tcPr>
            <w:tcW w:w="2515" w:type="dxa"/>
            <w:tcBorders>
              <w:top w:val="nil"/>
              <w:left w:val="single" w:sz="4" w:space="0" w:color="auto"/>
              <w:bottom w:val="single" w:sz="4" w:space="0" w:color="auto"/>
              <w:right w:val="single" w:sz="4" w:space="0" w:color="auto"/>
            </w:tcBorders>
            <w:shd w:val="clear" w:color="000000" w:fill="DBDBDB"/>
            <w:noWrap/>
            <w:vAlign w:val="center"/>
            <w:hideMark/>
          </w:tcPr>
          <w:p w14:paraId="3E620D9D"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w:t>
            </w:r>
          </w:p>
        </w:tc>
        <w:tc>
          <w:tcPr>
            <w:tcW w:w="8640" w:type="dxa"/>
            <w:gridSpan w:val="7"/>
            <w:tcBorders>
              <w:top w:val="single" w:sz="4" w:space="0" w:color="auto"/>
              <w:left w:val="nil"/>
              <w:bottom w:val="single" w:sz="4" w:space="0" w:color="auto"/>
              <w:right w:val="single" w:sz="4" w:space="0" w:color="auto"/>
            </w:tcBorders>
            <w:shd w:val="clear" w:color="000000" w:fill="DBDBDB"/>
            <w:noWrap/>
            <w:vAlign w:val="center"/>
            <w:hideMark/>
          </w:tcPr>
          <w:p w14:paraId="52B115E7" w14:textId="77777777" w:rsidR="00CC66B7" w:rsidRPr="00D93D2D" w:rsidRDefault="00CC66B7" w:rsidP="00CC66B7">
            <w:pPr>
              <w:spacing w:after="0" w:line="240" w:lineRule="auto"/>
              <w:jc w:val="center"/>
              <w:rPr>
                <w:rFonts w:eastAsia="Times New Roman" w:cstheme="minorHAnsi"/>
                <w:i/>
                <w:iCs/>
                <w:color w:val="000000"/>
                <w:sz w:val="16"/>
              </w:rPr>
            </w:pPr>
            <w:r w:rsidRPr="00D93D2D">
              <w:rPr>
                <w:rFonts w:eastAsia="Times New Roman" w:cstheme="minorHAnsi"/>
                <w:i/>
                <w:iCs/>
                <w:color w:val="000000"/>
                <w:sz w:val="16"/>
              </w:rPr>
              <w:t xml:space="preserve">Cost Estimates </w:t>
            </w:r>
          </w:p>
        </w:tc>
      </w:tr>
      <w:tr w:rsidR="00CC66B7" w:rsidRPr="00D93D2D" w14:paraId="59A0006B"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C88518B"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Annual EQA cost</w:t>
            </w:r>
          </w:p>
        </w:tc>
        <w:tc>
          <w:tcPr>
            <w:tcW w:w="1234" w:type="dxa"/>
            <w:tcBorders>
              <w:top w:val="nil"/>
              <w:left w:val="nil"/>
              <w:bottom w:val="single" w:sz="4" w:space="0" w:color="auto"/>
              <w:right w:val="single" w:sz="4" w:space="0" w:color="auto"/>
            </w:tcBorders>
            <w:shd w:val="clear" w:color="auto" w:fill="auto"/>
            <w:noWrap/>
            <w:vAlign w:val="center"/>
            <w:hideMark/>
          </w:tcPr>
          <w:p w14:paraId="74AD223A"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$461</w:t>
            </w:r>
          </w:p>
        </w:tc>
        <w:tc>
          <w:tcPr>
            <w:tcW w:w="1234" w:type="dxa"/>
            <w:tcBorders>
              <w:top w:val="nil"/>
              <w:left w:val="nil"/>
              <w:bottom w:val="single" w:sz="4" w:space="0" w:color="auto"/>
              <w:right w:val="single" w:sz="4" w:space="0" w:color="auto"/>
            </w:tcBorders>
            <w:shd w:val="clear" w:color="auto" w:fill="auto"/>
            <w:noWrap/>
            <w:vAlign w:val="center"/>
            <w:hideMark/>
          </w:tcPr>
          <w:p w14:paraId="3106F80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$461</w:t>
            </w:r>
          </w:p>
        </w:tc>
        <w:tc>
          <w:tcPr>
            <w:tcW w:w="1234" w:type="dxa"/>
            <w:tcBorders>
              <w:top w:val="nil"/>
              <w:left w:val="nil"/>
              <w:bottom w:val="single" w:sz="4" w:space="0" w:color="auto"/>
              <w:right w:val="single" w:sz="4" w:space="0" w:color="auto"/>
            </w:tcBorders>
            <w:shd w:val="clear" w:color="auto" w:fill="auto"/>
            <w:noWrap/>
            <w:vAlign w:val="center"/>
            <w:hideMark/>
          </w:tcPr>
          <w:p w14:paraId="73658F7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$922</w:t>
            </w:r>
          </w:p>
        </w:tc>
        <w:tc>
          <w:tcPr>
            <w:tcW w:w="1235" w:type="dxa"/>
            <w:tcBorders>
              <w:top w:val="nil"/>
              <w:left w:val="nil"/>
              <w:bottom w:val="single" w:sz="4" w:space="0" w:color="auto"/>
              <w:right w:val="single" w:sz="4" w:space="0" w:color="auto"/>
            </w:tcBorders>
            <w:shd w:val="clear" w:color="auto" w:fill="auto"/>
            <w:noWrap/>
            <w:vAlign w:val="center"/>
            <w:hideMark/>
          </w:tcPr>
          <w:p w14:paraId="1A3E86A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$922</w:t>
            </w:r>
          </w:p>
        </w:tc>
        <w:tc>
          <w:tcPr>
            <w:tcW w:w="1234" w:type="dxa"/>
            <w:tcBorders>
              <w:top w:val="nil"/>
              <w:left w:val="nil"/>
              <w:bottom w:val="single" w:sz="4" w:space="0" w:color="auto"/>
              <w:right w:val="single" w:sz="4" w:space="0" w:color="auto"/>
            </w:tcBorders>
            <w:shd w:val="clear" w:color="auto" w:fill="auto"/>
            <w:noWrap/>
            <w:vAlign w:val="center"/>
            <w:hideMark/>
          </w:tcPr>
          <w:p w14:paraId="6BC173C9"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$1,383</w:t>
            </w:r>
          </w:p>
        </w:tc>
        <w:tc>
          <w:tcPr>
            <w:tcW w:w="1234" w:type="dxa"/>
            <w:tcBorders>
              <w:top w:val="nil"/>
              <w:left w:val="nil"/>
              <w:bottom w:val="single" w:sz="4" w:space="0" w:color="auto"/>
              <w:right w:val="single" w:sz="4" w:space="0" w:color="auto"/>
            </w:tcBorders>
            <w:shd w:val="clear" w:color="auto" w:fill="auto"/>
            <w:noWrap/>
            <w:vAlign w:val="center"/>
            <w:hideMark/>
          </w:tcPr>
          <w:p w14:paraId="7783D72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$1,383</w:t>
            </w:r>
          </w:p>
        </w:tc>
        <w:tc>
          <w:tcPr>
            <w:tcW w:w="1235" w:type="dxa"/>
            <w:tcBorders>
              <w:top w:val="nil"/>
              <w:left w:val="nil"/>
              <w:bottom w:val="single" w:sz="4" w:space="0" w:color="auto"/>
              <w:right w:val="single" w:sz="4" w:space="0" w:color="auto"/>
            </w:tcBorders>
            <w:shd w:val="clear" w:color="auto" w:fill="auto"/>
            <w:noWrap/>
            <w:vAlign w:val="center"/>
            <w:hideMark/>
          </w:tcPr>
          <w:p w14:paraId="17E22487"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$1,383</w:t>
            </w:r>
          </w:p>
        </w:tc>
      </w:tr>
      <w:tr w:rsidR="00CC66B7" w:rsidRPr="00D93D2D" w14:paraId="29C3CACA"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A3CFD9B"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Total Cost</w:t>
            </w:r>
          </w:p>
        </w:tc>
        <w:tc>
          <w:tcPr>
            <w:tcW w:w="1234" w:type="dxa"/>
            <w:tcBorders>
              <w:top w:val="nil"/>
              <w:left w:val="nil"/>
              <w:bottom w:val="single" w:sz="4" w:space="0" w:color="auto"/>
              <w:right w:val="single" w:sz="4" w:space="0" w:color="auto"/>
            </w:tcBorders>
            <w:shd w:val="clear" w:color="auto" w:fill="auto"/>
            <w:noWrap/>
            <w:vAlign w:val="center"/>
            <w:hideMark/>
          </w:tcPr>
          <w:p w14:paraId="40DA235C"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$37,111</w:t>
            </w:r>
          </w:p>
        </w:tc>
        <w:tc>
          <w:tcPr>
            <w:tcW w:w="1234" w:type="dxa"/>
            <w:tcBorders>
              <w:top w:val="nil"/>
              <w:left w:val="nil"/>
              <w:bottom w:val="single" w:sz="4" w:space="0" w:color="auto"/>
              <w:right w:val="single" w:sz="4" w:space="0" w:color="auto"/>
            </w:tcBorders>
            <w:shd w:val="clear" w:color="auto" w:fill="auto"/>
            <w:noWrap/>
            <w:vAlign w:val="center"/>
            <w:hideMark/>
          </w:tcPr>
          <w:p w14:paraId="0B8B6A86"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$68,768</w:t>
            </w:r>
          </w:p>
        </w:tc>
        <w:tc>
          <w:tcPr>
            <w:tcW w:w="1234" w:type="dxa"/>
            <w:tcBorders>
              <w:top w:val="nil"/>
              <w:left w:val="nil"/>
              <w:bottom w:val="single" w:sz="4" w:space="0" w:color="auto"/>
              <w:right w:val="single" w:sz="4" w:space="0" w:color="auto"/>
            </w:tcBorders>
            <w:shd w:val="clear" w:color="auto" w:fill="auto"/>
            <w:noWrap/>
            <w:vAlign w:val="center"/>
            <w:hideMark/>
          </w:tcPr>
          <w:p w14:paraId="7E8251F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$124,096</w:t>
            </w:r>
          </w:p>
        </w:tc>
        <w:tc>
          <w:tcPr>
            <w:tcW w:w="1235" w:type="dxa"/>
            <w:tcBorders>
              <w:top w:val="nil"/>
              <w:left w:val="nil"/>
              <w:bottom w:val="single" w:sz="4" w:space="0" w:color="auto"/>
              <w:right w:val="single" w:sz="4" w:space="0" w:color="auto"/>
            </w:tcBorders>
            <w:shd w:val="clear" w:color="auto" w:fill="auto"/>
            <w:noWrap/>
            <w:vAlign w:val="center"/>
            <w:hideMark/>
          </w:tcPr>
          <w:p w14:paraId="688EA4C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$139,272</w:t>
            </w:r>
          </w:p>
        </w:tc>
        <w:tc>
          <w:tcPr>
            <w:tcW w:w="1234" w:type="dxa"/>
            <w:tcBorders>
              <w:top w:val="nil"/>
              <w:left w:val="nil"/>
              <w:bottom w:val="single" w:sz="4" w:space="0" w:color="auto"/>
              <w:right w:val="single" w:sz="4" w:space="0" w:color="auto"/>
            </w:tcBorders>
            <w:shd w:val="clear" w:color="auto" w:fill="auto"/>
            <w:noWrap/>
            <w:vAlign w:val="center"/>
            <w:hideMark/>
          </w:tcPr>
          <w:p w14:paraId="4353530F"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$190,753</w:t>
            </w:r>
          </w:p>
        </w:tc>
        <w:tc>
          <w:tcPr>
            <w:tcW w:w="1234" w:type="dxa"/>
            <w:tcBorders>
              <w:top w:val="nil"/>
              <w:left w:val="nil"/>
              <w:bottom w:val="single" w:sz="4" w:space="0" w:color="auto"/>
              <w:right w:val="single" w:sz="4" w:space="0" w:color="auto"/>
            </w:tcBorders>
            <w:shd w:val="clear" w:color="auto" w:fill="auto"/>
            <w:noWrap/>
            <w:vAlign w:val="center"/>
            <w:hideMark/>
          </w:tcPr>
          <w:p w14:paraId="6EA6433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$208,535</w:t>
            </w:r>
          </w:p>
        </w:tc>
        <w:tc>
          <w:tcPr>
            <w:tcW w:w="1235" w:type="dxa"/>
            <w:tcBorders>
              <w:top w:val="nil"/>
              <w:left w:val="nil"/>
              <w:bottom w:val="single" w:sz="4" w:space="0" w:color="auto"/>
              <w:right w:val="single" w:sz="4" w:space="0" w:color="auto"/>
            </w:tcBorders>
            <w:shd w:val="clear" w:color="auto" w:fill="auto"/>
            <w:noWrap/>
            <w:vAlign w:val="center"/>
            <w:hideMark/>
          </w:tcPr>
          <w:p w14:paraId="7B6D438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$240,533</w:t>
            </w:r>
          </w:p>
        </w:tc>
      </w:tr>
      <w:tr w:rsidR="00CC66B7" w:rsidRPr="00D93D2D" w14:paraId="01B0D1B2"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74764E6"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 EQA</w:t>
            </w:r>
          </w:p>
        </w:tc>
        <w:tc>
          <w:tcPr>
            <w:tcW w:w="1234" w:type="dxa"/>
            <w:tcBorders>
              <w:top w:val="nil"/>
              <w:left w:val="nil"/>
              <w:bottom w:val="single" w:sz="4" w:space="0" w:color="auto"/>
              <w:right w:val="single" w:sz="4" w:space="0" w:color="auto"/>
            </w:tcBorders>
            <w:shd w:val="clear" w:color="auto" w:fill="auto"/>
            <w:noWrap/>
            <w:vAlign w:val="center"/>
            <w:hideMark/>
          </w:tcPr>
          <w:p w14:paraId="68F6AA43"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1234" w:type="dxa"/>
            <w:tcBorders>
              <w:top w:val="nil"/>
              <w:left w:val="nil"/>
              <w:bottom w:val="single" w:sz="4" w:space="0" w:color="auto"/>
              <w:right w:val="single" w:sz="4" w:space="0" w:color="auto"/>
            </w:tcBorders>
            <w:shd w:val="clear" w:color="auto" w:fill="auto"/>
            <w:noWrap/>
            <w:vAlign w:val="center"/>
            <w:hideMark/>
          </w:tcPr>
          <w:p w14:paraId="59EEBCF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1234" w:type="dxa"/>
            <w:tcBorders>
              <w:top w:val="nil"/>
              <w:left w:val="nil"/>
              <w:bottom w:val="single" w:sz="4" w:space="0" w:color="auto"/>
              <w:right w:val="single" w:sz="4" w:space="0" w:color="auto"/>
            </w:tcBorders>
            <w:shd w:val="clear" w:color="auto" w:fill="auto"/>
            <w:noWrap/>
            <w:vAlign w:val="center"/>
            <w:hideMark/>
          </w:tcPr>
          <w:p w14:paraId="36D3DD12"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1235" w:type="dxa"/>
            <w:tcBorders>
              <w:top w:val="nil"/>
              <w:left w:val="nil"/>
              <w:bottom w:val="single" w:sz="4" w:space="0" w:color="auto"/>
              <w:right w:val="single" w:sz="4" w:space="0" w:color="auto"/>
            </w:tcBorders>
            <w:shd w:val="clear" w:color="auto" w:fill="auto"/>
            <w:noWrap/>
            <w:vAlign w:val="center"/>
            <w:hideMark/>
          </w:tcPr>
          <w:p w14:paraId="78D4BBC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1234" w:type="dxa"/>
            <w:tcBorders>
              <w:top w:val="nil"/>
              <w:left w:val="nil"/>
              <w:bottom w:val="single" w:sz="4" w:space="0" w:color="auto"/>
              <w:right w:val="single" w:sz="4" w:space="0" w:color="auto"/>
            </w:tcBorders>
            <w:shd w:val="clear" w:color="auto" w:fill="auto"/>
            <w:noWrap/>
            <w:vAlign w:val="center"/>
            <w:hideMark/>
          </w:tcPr>
          <w:p w14:paraId="1433A824"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1234" w:type="dxa"/>
            <w:tcBorders>
              <w:top w:val="nil"/>
              <w:left w:val="nil"/>
              <w:bottom w:val="single" w:sz="4" w:space="0" w:color="auto"/>
              <w:right w:val="single" w:sz="4" w:space="0" w:color="auto"/>
            </w:tcBorders>
            <w:shd w:val="clear" w:color="auto" w:fill="auto"/>
            <w:noWrap/>
            <w:vAlign w:val="center"/>
            <w:hideMark/>
          </w:tcPr>
          <w:p w14:paraId="1CC63C6E"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1235" w:type="dxa"/>
            <w:tcBorders>
              <w:top w:val="nil"/>
              <w:left w:val="nil"/>
              <w:bottom w:val="single" w:sz="4" w:space="0" w:color="auto"/>
              <w:right w:val="single" w:sz="4" w:space="0" w:color="auto"/>
            </w:tcBorders>
            <w:shd w:val="clear" w:color="auto" w:fill="auto"/>
            <w:noWrap/>
            <w:vAlign w:val="center"/>
            <w:hideMark/>
          </w:tcPr>
          <w:p w14:paraId="7C09092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r>
      <w:tr w:rsidR="00CC66B7" w:rsidRPr="00D93D2D" w14:paraId="50867145" w14:textId="77777777" w:rsidTr="00CC66B7">
        <w:trPr>
          <w:trHeight w:val="292"/>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76959E0" w14:textId="77777777" w:rsidR="00CC66B7" w:rsidRPr="00D93D2D" w:rsidRDefault="00CC66B7" w:rsidP="00CC66B7">
            <w:pPr>
              <w:spacing w:after="0" w:line="240" w:lineRule="auto"/>
              <w:rPr>
                <w:rFonts w:eastAsia="Times New Roman" w:cstheme="minorHAnsi"/>
                <w:color w:val="000000"/>
                <w:sz w:val="16"/>
              </w:rPr>
            </w:pPr>
            <w:r w:rsidRPr="00D93D2D">
              <w:rPr>
                <w:rFonts w:eastAsia="Times New Roman" w:cstheme="minorHAnsi"/>
                <w:color w:val="000000"/>
                <w:sz w:val="16"/>
              </w:rPr>
              <w:t>Average Cost / Test</w:t>
            </w:r>
          </w:p>
        </w:tc>
        <w:tc>
          <w:tcPr>
            <w:tcW w:w="1234" w:type="dxa"/>
            <w:tcBorders>
              <w:top w:val="nil"/>
              <w:left w:val="nil"/>
              <w:bottom w:val="single" w:sz="4" w:space="0" w:color="auto"/>
              <w:right w:val="single" w:sz="4" w:space="0" w:color="auto"/>
            </w:tcBorders>
            <w:shd w:val="clear" w:color="auto" w:fill="auto"/>
            <w:noWrap/>
            <w:vAlign w:val="center"/>
            <w:hideMark/>
          </w:tcPr>
          <w:p w14:paraId="1FA9D9C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$14.99</w:t>
            </w:r>
          </w:p>
        </w:tc>
        <w:tc>
          <w:tcPr>
            <w:tcW w:w="1234" w:type="dxa"/>
            <w:tcBorders>
              <w:top w:val="nil"/>
              <w:left w:val="nil"/>
              <w:bottom w:val="single" w:sz="4" w:space="0" w:color="auto"/>
              <w:right w:val="single" w:sz="4" w:space="0" w:color="auto"/>
            </w:tcBorders>
            <w:shd w:val="clear" w:color="auto" w:fill="auto"/>
            <w:noWrap/>
            <w:vAlign w:val="center"/>
            <w:hideMark/>
          </w:tcPr>
          <w:p w14:paraId="52141AA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$13.87</w:t>
            </w:r>
          </w:p>
        </w:tc>
        <w:tc>
          <w:tcPr>
            <w:tcW w:w="1234" w:type="dxa"/>
            <w:tcBorders>
              <w:top w:val="nil"/>
              <w:left w:val="nil"/>
              <w:bottom w:val="single" w:sz="4" w:space="0" w:color="auto"/>
              <w:right w:val="single" w:sz="4" w:space="0" w:color="auto"/>
            </w:tcBorders>
            <w:shd w:val="clear" w:color="auto" w:fill="auto"/>
            <w:noWrap/>
            <w:vAlign w:val="center"/>
            <w:hideMark/>
          </w:tcPr>
          <w:p w14:paraId="684E77F0"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$16.76</w:t>
            </w:r>
          </w:p>
        </w:tc>
        <w:tc>
          <w:tcPr>
            <w:tcW w:w="1235" w:type="dxa"/>
            <w:tcBorders>
              <w:top w:val="nil"/>
              <w:left w:val="nil"/>
              <w:bottom w:val="single" w:sz="4" w:space="0" w:color="auto"/>
              <w:right w:val="single" w:sz="4" w:space="0" w:color="auto"/>
            </w:tcBorders>
            <w:shd w:val="clear" w:color="auto" w:fill="auto"/>
            <w:noWrap/>
            <w:vAlign w:val="center"/>
            <w:hideMark/>
          </w:tcPr>
          <w:p w14:paraId="255C3025"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$14.03</w:t>
            </w:r>
          </w:p>
        </w:tc>
        <w:tc>
          <w:tcPr>
            <w:tcW w:w="1234" w:type="dxa"/>
            <w:tcBorders>
              <w:top w:val="nil"/>
              <w:left w:val="nil"/>
              <w:bottom w:val="single" w:sz="4" w:space="0" w:color="auto"/>
              <w:right w:val="single" w:sz="4" w:space="0" w:color="auto"/>
            </w:tcBorders>
            <w:shd w:val="clear" w:color="auto" w:fill="auto"/>
            <w:noWrap/>
            <w:vAlign w:val="center"/>
            <w:hideMark/>
          </w:tcPr>
          <w:p w14:paraId="5CAFBBE1"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$15.19</w:t>
            </w:r>
          </w:p>
        </w:tc>
        <w:tc>
          <w:tcPr>
            <w:tcW w:w="1234" w:type="dxa"/>
            <w:tcBorders>
              <w:top w:val="nil"/>
              <w:left w:val="nil"/>
              <w:bottom w:val="single" w:sz="4" w:space="0" w:color="auto"/>
              <w:right w:val="single" w:sz="4" w:space="0" w:color="auto"/>
            </w:tcBorders>
            <w:shd w:val="clear" w:color="auto" w:fill="auto"/>
            <w:noWrap/>
            <w:vAlign w:val="center"/>
            <w:hideMark/>
          </w:tcPr>
          <w:p w14:paraId="5CC788AB"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$13.99</w:t>
            </w:r>
          </w:p>
        </w:tc>
        <w:tc>
          <w:tcPr>
            <w:tcW w:w="1235" w:type="dxa"/>
            <w:tcBorders>
              <w:top w:val="nil"/>
              <w:left w:val="nil"/>
              <w:bottom w:val="single" w:sz="4" w:space="0" w:color="auto"/>
              <w:right w:val="single" w:sz="4" w:space="0" w:color="auto"/>
            </w:tcBorders>
            <w:shd w:val="clear" w:color="auto" w:fill="auto"/>
            <w:noWrap/>
            <w:vAlign w:val="center"/>
            <w:hideMark/>
          </w:tcPr>
          <w:p w14:paraId="6DD2F178" w14:textId="77777777" w:rsidR="00CC66B7" w:rsidRPr="00D93D2D" w:rsidRDefault="00CC66B7" w:rsidP="00CC66B7">
            <w:pPr>
              <w:spacing w:after="0" w:line="240" w:lineRule="auto"/>
              <w:jc w:val="right"/>
              <w:rPr>
                <w:rFonts w:eastAsia="Times New Roman" w:cstheme="minorHAnsi"/>
                <w:color w:val="000000"/>
                <w:sz w:val="16"/>
              </w:rPr>
            </w:pPr>
            <w:r w:rsidRPr="00D93D2D">
              <w:rPr>
                <w:rFonts w:eastAsia="Times New Roman" w:cstheme="minorHAnsi"/>
                <w:color w:val="000000"/>
                <w:sz w:val="16"/>
              </w:rPr>
              <w:t>$13.82</w:t>
            </w:r>
          </w:p>
        </w:tc>
      </w:tr>
    </w:tbl>
    <w:p w14:paraId="549F958B" w14:textId="7663AA23" w:rsidR="00C84B57" w:rsidRPr="00D93D2D" w:rsidRDefault="00C84B57" w:rsidP="00060BF2">
      <w:pPr>
        <w:tabs>
          <w:tab w:val="left" w:pos="2430"/>
        </w:tabs>
        <w:jc w:val="both"/>
        <w:rPr>
          <w:rFonts w:cstheme="minorHAnsi"/>
        </w:rPr>
      </w:pPr>
    </w:p>
    <w:p w14:paraId="0938CEE4" w14:textId="74200B0D" w:rsidR="00C84B57" w:rsidRPr="00D93D2D" w:rsidRDefault="00C84B57" w:rsidP="00060BF2">
      <w:pPr>
        <w:tabs>
          <w:tab w:val="left" w:pos="2430"/>
        </w:tabs>
        <w:jc w:val="both"/>
        <w:rPr>
          <w:rFonts w:cstheme="minorHAnsi"/>
          <w:sz w:val="20"/>
        </w:rPr>
      </w:pPr>
      <w:r w:rsidRPr="00D93D2D">
        <w:rPr>
          <w:rFonts w:cstheme="minorHAnsi"/>
          <w:b/>
          <w:sz w:val="20"/>
        </w:rPr>
        <w:t xml:space="preserve">Table </w:t>
      </w:r>
      <w:r w:rsidR="00576824" w:rsidRPr="00D93D2D">
        <w:rPr>
          <w:rFonts w:cstheme="minorHAnsi"/>
          <w:b/>
          <w:sz w:val="20"/>
        </w:rPr>
        <w:t>S</w:t>
      </w:r>
      <w:r w:rsidR="00CC66B7" w:rsidRPr="00D93D2D">
        <w:rPr>
          <w:rFonts w:cstheme="minorHAnsi"/>
          <w:b/>
          <w:sz w:val="20"/>
        </w:rPr>
        <w:t>4</w:t>
      </w:r>
      <w:r w:rsidRPr="00D93D2D">
        <w:rPr>
          <w:rFonts w:cstheme="minorHAnsi"/>
          <w:b/>
          <w:sz w:val="20"/>
        </w:rPr>
        <w:t>.</w:t>
      </w:r>
      <w:r w:rsidRPr="00D93D2D">
        <w:rPr>
          <w:rFonts w:cstheme="minorHAnsi"/>
          <w:sz w:val="20"/>
        </w:rPr>
        <w:t xml:space="preserve"> A summary table of assumptions used in centralized Xpert</w:t>
      </w:r>
      <w:r w:rsidR="00AD30E4" w:rsidRPr="00D93D2D">
        <w:rPr>
          <w:rFonts w:cstheme="minorHAnsi"/>
          <w:sz w:val="20"/>
        </w:rPr>
        <w:t xml:space="preserve"> </w:t>
      </w:r>
      <w:r w:rsidRPr="00D93D2D">
        <w:rPr>
          <w:rFonts w:cstheme="minorHAnsi"/>
          <w:sz w:val="20"/>
        </w:rPr>
        <w:t xml:space="preserve">using </w:t>
      </w:r>
      <w:r w:rsidR="00AD30E4" w:rsidRPr="00D93D2D">
        <w:rPr>
          <w:rFonts w:cstheme="minorHAnsi"/>
          <w:sz w:val="20"/>
        </w:rPr>
        <w:t>GX4</w:t>
      </w:r>
      <w:r w:rsidRPr="00D93D2D">
        <w:rPr>
          <w:rFonts w:cstheme="minorHAnsi"/>
          <w:sz w:val="20"/>
        </w:rPr>
        <w:t xml:space="preserve"> and average per-test results for district </w:t>
      </w:r>
      <w:r w:rsidR="00AD30E4" w:rsidRPr="00D93D2D">
        <w:rPr>
          <w:rFonts w:cstheme="minorHAnsi"/>
          <w:sz w:val="20"/>
        </w:rPr>
        <w:t>TB</w:t>
      </w:r>
      <w:r w:rsidRPr="00D93D2D">
        <w:rPr>
          <w:rFonts w:cstheme="minorHAnsi"/>
          <w:sz w:val="20"/>
        </w:rPr>
        <w:t xml:space="preserve"> centers</w:t>
      </w:r>
      <w:r w:rsidR="00AD30E4" w:rsidRPr="00D93D2D">
        <w:rPr>
          <w:rFonts w:cstheme="minorHAnsi"/>
          <w:sz w:val="20"/>
        </w:rPr>
        <w:t xml:space="preserve"> (DTC)</w:t>
      </w:r>
      <w:r w:rsidRPr="00D93D2D">
        <w:rPr>
          <w:rFonts w:cstheme="minorHAnsi"/>
          <w:sz w:val="20"/>
        </w:rPr>
        <w:t xml:space="preserve"> with different </w:t>
      </w:r>
      <w:r w:rsidR="00BE6C6C" w:rsidRPr="00D93D2D">
        <w:rPr>
          <w:rFonts w:cstheme="minorHAnsi"/>
          <w:sz w:val="20"/>
        </w:rPr>
        <w:t xml:space="preserve">mean </w:t>
      </w:r>
      <w:r w:rsidRPr="00D93D2D">
        <w:rPr>
          <w:rFonts w:cstheme="minorHAnsi"/>
          <w:sz w:val="20"/>
        </w:rPr>
        <w:t>daily workloads</w:t>
      </w:r>
      <w:r w:rsidR="00AD30E4" w:rsidRPr="00D93D2D">
        <w:rPr>
          <w:rFonts w:cstheme="minorHAnsi"/>
          <w:sz w:val="20"/>
        </w:rPr>
        <w:t xml:space="preserve"> (not including sample transport cost)</w:t>
      </w:r>
      <w:r w:rsidR="00BE6C6C" w:rsidRPr="00D93D2D">
        <w:rPr>
          <w:rFonts w:cstheme="minorHAnsi"/>
          <w:sz w:val="20"/>
        </w:rPr>
        <w:t xml:space="preserve"> in parentheses</w:t>
      </w:r>
      <w:r w:rsidRPr="00D93D2D">
        <w:rPr>
          <w:rFonts w:cstheme="minorHAnsi"/>
          <w:sz w:val="20"/>
        </w:rPr>
        <w:t>.</w:t>
      </w:r>
    </w:p>
    <w:p w14:paraId="5F9DB205" w14:textId="77777777" w:rsidR="00576824" w:rsidRPr="00D93D2D" w:rsidRDefault="00576824" w:rsidP="00060BF2">
      <w:pPr>
        <w:tabs>
          <w:tab w:val="left" w:pos="2430"/>
        </w:tabs>
        <w:jc w:val="both"/>
        <w:rPr>
          <w:rFonts w:cstheme="minorHAnsi"/>
          <w:i/>
        </w:rPr>
        <w:sectPr w:rsidR="00576824" w:rsidRPr="00D93D2D" w:rsidSect="009A3C9B">
          <w:footerReference w:type="default" r:id="rId9"/>
          <w:pgSz w:w="15840" w:h="12240" w:orient="landscape"/>
          <w:pgMar w:top="1440" w:right="1440" w:bottom="1440" w:left="1440" w:header="720" w:footer="720" w:gutter="0"/>
          <w:cols w:space="720"/>
          <w:docGrid w:linePitch="360"/>
        </w:sectPr>
      </w:pPr>
    </w:p>
    <w:p w14:paraId="3E5C9710" w14:textId="27A26E58" w:rsidR="00E43DA3" w:rsidRPr="00D93D2D" w:rsidRDefault="009A3C9B" w:rsidP="00060BF2">
      <w:pPr>
        <w:pStyle w:val="Heading2"/>
        <w:tabs>
          <w:tab w:val="left" w:pos="2430"/>
        </w:tabs>
        <w:jc w:val="both"/>
        <w:rPr>
          <w:rFonts w:cstheme="minorHAnsi"/>
        </w:rPr>
      </w:pPr>
      <w:bookmarkStart w:id="4" w:name="_Toc12877758"/>
      <w:r w:rsidRPr="00D93D2D">
        <w:rPr>
          <w:rFonts w:cstheme="minorHAnsi"/>
        </w:rPr>
        <w:lastRenderedPageBreak/>
        <w:t>Calculating</w:t>
      </w:r>
      <w:r w:rsidR="00576824" w:rsidRPr="00D93D2D">
        <w:rPr>
          <w:rFonts w:cstheme="minorHAnsi"/>
        </w:rPr>
        <w:t xml:space="preserve"> </w:t>
      </w:r>
      <w:r w:rsidR="00C82E3D" w:rsidRPr="00D93D2D">
        <w:rPr>
          <w:rFonts w:cstheme="minorHAnsi"/>
        </w:rPr>
        <w:t>sample transport cost</w:t>
      </w:r>
      <w:r w:rsidR="00576824" w:rsidRPr="00D93D2D">
        <w:rPr>
          <w:rFonts w:cstheme="minorHAnsi"/>
        </w:rPr>
        <w:t>s</w:t>
      </w:r>
      <w:bookmarkEnd w:id="4"/>
      <w:r w:rsidR="00C82E3D" w:rsidRPr="00D93D2D">
        <w:rPr>
          <w:rFonts w:cstheme="minorHAnsi"/>
        </w:rPr>
        <w:t xml:space="preserve"> </w:t>
      </w:r>
    </w:p>
    <w:p w14:paraId="01D42D27" w14:textId="39813565" w:rsidR="002862BC" w:rsidRPr="00D93D2D" w:rsidRDefault="00E43DA3" w:rsidP="002862BC">
      <w:pPr>
        <w:tabs>
          <w:tab w:val="left" w:pos="2430"/>
        </w:tabs>
        <w:jc w:val="both"/>
        <w:rPr>
          <w:rFonts w:cstheme="minorHAnsi"/>
        </w:rPr>
      </w:pPr>
      <w:r w:rsidRPr="00D93D2D">
        <w:rPr>
          <w:rFonts w:cstheme="minorHAnsi"/>
        </w:rPr>
        <w:t xml:space="preserve">To assess the complete </w:t>
      </w:r>
      <w:r w:rsidR="005C035F" w:rsidRPr="00D93D2D">
        <w:rPr>
          <w:rFonts w:cstheme="minorHAnsi"/>
        </w:rPr>
        <w:t>centralized Xpert</w:t>
      </w:r>
      <w:r w:rsidRPr="00D93D2D">
        <w:rPr>
          <w:rFonts w:cstheme="minorHAnsi"/>
        </w:rPr>
        <w:t xml:space="preserve"> testing costs inclusive of sample transport, we first assessed the Indian TB health system</w:t>
      </w:r>
      <w:r w:rsidR="00A829C5" w:rsidRPr="00D93D2D">
        <w:rPr>
          <w:rFonts w:cstheme="minorHAnsi"/>
        </w:rPr>
        <w:t xml:space="preserve"> and test volumes under the 2015 NSP to develop</w:t>
      </w:r>
      <w:r w:rsidR="00A92483" w:rsidRPr="00D93D2D">
        <w:rPr>
          <w:rFonts w:cstheme="minorHAnsi"/>
        </w:rPr>
        <w:t xml:space="preserve"> four key variables</w:t>
      </w:r>
      <w:r w:rsidR="00A829C5" w:rsidRPr="00D93D2D">
        <w:rPr>
          <w:rFonts w:cstheme="minorHAnsi"/>
        </w:rPr>
        <w:t xml:space="preserve"> to determine transport costs (Table S</w:t>
      </w:r>
      <w:r w:rsidR="001E22FE" w:rsidRPr="00D93D2D">
        <w:rPr>
          <w:rFonts w:cstheme="minorHAnsi"/>
        </w:rPr>
        <w:t>5</w:t>
      </w:r>
      <w:r w:rsidR="00A829C5" w:rsidRPr="00D93D2D">
        <w:rPr>
          <w:rFonts w:cstheme="minorHAnsi"/>
        </w:rPr>
        <w:t>): average number of DMCs per DTC</w:t>
      </w:r>
      <w:r w:rsidR="00BE6C6C" w:rsidRPr="00D93D2D">
        <w:rPr>
          <w:rFonts w:cstheme="minorHAnsi"/>
        </w:rPr>
        <w:t>,</w:t>
      </w:r>
      <w:r w:rsidR="00A829C5" w:rsidRPr="00D93D2D">
        <w:rPr>
          <w:rFonts w:cstheme="minorHAnsi"/>
        </w:rPr>
        <w:t xml:space="preserve"> average distance between facilities, range of number of samples from DMC (0.1 to 12 samples per clinic), and % TB sample volume per sample transport (ranging between 5% to 100%, where the percentage indicates exclusiveness of sample transport network for TB).</w:t>
      </w:r>
      <w:r w:rsidR="00A829C5" w:rsidRPr="00D93D2D">
        <w:rPr>
          <w:rFonts w:cstheme="minorHAnsi"/>
        </w:rPr>
        <w:fldChar w:fldCharType="begin" w:fldLock="1"/>
      </w:r>
      <w:r w:rsidR="009A35D4">
        <w:rPr>
          <w:rFonts w:cstheme="minorHAnsi"/>
        </w:rPr>
        <w:instrText>ADDIN CSL_CITATION {"citationItems":[{"id":"ITEM-1","itemData":{"author":[{"dropping-particle":"","family":"Central TB Division","given":"","non-dropping-particle":"","parse-names":false,"suffix":""}],"id":"ITEM-1","issued":{"date-parts":[["2015"]]},"title":"TB India 2015, annual status report","type":"report"},"uris":["http://www.mendeley.com/documents/?uuid=3a769e0d-ae1e-4c67-9abb-2197e71465b2"]},{"id":"ITEM-2","itemData":{"author":[{"dropping-particle":"","family":"RNTCP","given":"","non-dropping-particle":"","parse-names":false,"suffix":""}],"id":"ITEM-2","issue":"March","issued":{"date-parts":[["2017"]]},"title":"NATIONAL STRATEGIC PLAN FOR TUBERCULOSIS ELIMINATION","type":"report"},"uris":["http://www.mendeley.com/documents/?uuid=97356077-4518-4497-8d92-5e5b2e75d42e"]}],"mendeley":{"formattedCitation":"[6, 7]","plainTextFormattedCitation":"[6, 7]","previouslyFormattedCitation":"[6, 7]"},"properties":{"noteIndex":0},"schema":"https://github.com/citation-style-language/schema/raw/master/csl-citation.json"}</w:instrText>
      </w:r>
      <w:r w:rsidR="00A829C5" w:rsidRPr="00D93D2D">
        <w:rPr>
          <w:rFonts w:cstheme="minorHAnsi"/>
        </w:rPr>
        <w:fldChar w:fldCharType="separate"/>
      </w:r>
      <w:r w:rsidR="009A35D4" w:rsidRPr="009A35D4">
        <w:rPr>
          <w:rFonts w:cstheme="minorHAnsi"/>
          <w:noProof/>
        </w:rPr>
        <w:t>[6, 7]</w:t>
      </w:r>
      <w:r w:rsidR="00A829C5" w:rsidRPr="00D93D2D">
        <w:rPr>
          <w:rFonts w:cstheme="minorHAnsi"/>
        </w:rPr>
        <w:fldChar w:fldCharType="end"/>
      </w:r>
      <w:r w:rsidR="00A829C5" w:rsidRPr="00D93D2D">
        <w:rPr>
          <w:rFonts w:cstheme="minorHAnsi"/>
        </w:rPr>
        <w:t xml:space="preserve"> Key cost parameters – direct (overhead) and indirect (fuel, HR, materials) – were derived from a TB patient outreach by community health workers in rural India conducted by one of the authors.</w:t>
      </w:r>
      <w:r w:rsidR="00A829C5" w:rsidRPr="00D93D2D">
        <w:rPr>
          <w:rFonts w:cstheme="minorHAnsi"/>
        </w:rPr>
        <w:fldChar w:fldCharType="begin" w:fldLock="1"/>
      </w:r>
      <w:r w:rsidR="009A35D4">
        <w:rPr>
          <w:rFonts w:cstheme="minorHAnsi"/>
        </w:rPr>
        <w:instrText>ADDIN CSL_CITATION {"citationItems":[{"id":"ITEM-1","itemData":{"author":[{"dropping-particle":"","family":"Sohn","given":"Hojoon","non-dropping-particle":"","parse-names":false,"suffix":""},{"dropping-particle":"","family":"Vyas","given":"Ashvini","non-dropping-particle":"","parse-names":false,"suffix":""},{"dropping-particle":"","family":"Puri","given":"Lekha","non-dropping-particle":"","parse-names":false,"suffix":""},{"dropping-particle":"","family":"Gupta","given":"Sanket","non-dropping-particle":"","parse-names":false,"suffix":""},{"dropping-particle":"","family":"Qin","given":"Zhi Zhen","non-dropping-particle":"","parse-names":false,"suffix":""},{"dropping-particle":"","family":"Codlin","given":"Andrew","non-dropping-particle":"","parse-names":false,"suffix":""},{"dropping-particle":"","family":"Creswell","given":"Jacob","non-dropping-particle":"","parse-names":false,"suffix":""}],"container-title":"Public Health Action (Submitted for review)","id":"ITEM-1","issued":{"date-parts":[["0"]]},"title":"Costs and Operation Management of Community Outreach Program for Tuberculosis in Tribal Populations in India","type":"article-journal"},"uris":["http://www.mendeley.com/documents/?uuid=02d39204-a6a2-47de-bd1d-b7db1c588f57"]}],"mendeley":{"formattedCitation":"[8]","plainTextFormattedCitation":"[8]","previouslyFormattedCitation":"[8]"},"properties":{"noteIndex":0},"schema":"https://github.com/citation-style-language/schema/raw/master/csl-citation.json"}</w:instrText>
      </w:r>
      <w:r w:rsidR="00A829C5" w:rsidRPr="00D93D2D">
        <w:rPr>
          <w:rFonts w:cstheme="minorHAnsi"/>
        </w:rPr>
        <w:fldChar w:fldCharType="separate"/>
      </w:r>
      <w:r w:rsidR="009A35D4" w:rsidRPr="009A35D4">
        <w:rPr>
          <w:rFonts w:cstheme="minorHAnsi"/>
          <w:noProof/>
        </w:rPr>
        <w:t>[8]</w:t>
      </w:r>
      <w:r w:rsidR="00A829C5" w:rsidRPr="00D93D2D">
        <w:rPr>
          <w:rFonts w:cstheme="minorHAnsi"/>
        </w:rPr>
        <w:fldChar w:fldCharType="end"/>
      </w:r>
      <w:r w:rsidR="00F52D57" w:rsidRPr="00D93D2D">
        <w:rPr>
          <w:rFonts w:cstheme="minorHAnsi"/>
        </w:rPr>
        <w:t xml:space="preserve"> </w:t>
      </w:r>
    </w:p>
    <w:p w14:paraId="76E0AEAE" w14:textId="77777777" w:rsidR="00F52D57" w:rsidRPr="00D93D2D" w:rsidRDefault="00F52D57" w:rsidP="00060BF2">
      <w:pPr>
        <w:tabs>
          <w:tab w:val="left" w:pos="2430"/>
        </w:tabs>
        <w:jc w:val="both"/>
        <w:rPr>
          <w:rFonts w:cstheme="minorHAnsi"/>
          <w:b/>
        </w:rPr>
      </w:pPr>
      <w:r w:rsidRPr="00D93D2D">
        <w:rPr>
          <w:rFonts w:cstheme="minorHAnsi"/>
          <w:noProof/>
          <w:lang w:eastAsia="en-US"/>
        </w:rPr>
        <w:drawing>
          <wp:inline distT="0" distB="0" distL="0" distR="0" wp14:anchorId="0A7CAF1D" wp14:editId="2584451D">
            <wp:extent cx="4601633" cy="18178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3544" cy="1830418"/>
                    </a:xfrm>
                    <a:prstGeom prst="rect">
                      <a:avLst/>
                    </a:prstGeom>
                    <a:noFill/>
                    <a:ln>
                      <a:noFill/>
                    </a:ln>
                  </pic:spPr>
                </pic:pic>
              </a:graphicData>
            </a:graphic>
          </wp:inline>
        </w:drawing>
      </w:r>
    </w:p>
    <w:p w14:paraId="655BFE77" w14:textId="4ED2D9B8" w:rsidR="00A829C5" w:rsidRPr="00D93D2D" w:rsidRDefault="002665F4" w:rsidP="00060BF2">
      <w:pPr>
        <w:tabs>
          <w:tab w:val="left" w:pos="2430"/>
        </w:tabs>
        <w:jc w:val="both"/>
        <w:rPr>
          <w:rFonts w:cstheme="minorHAnsi"/>
          <w:b/>
          <w:sz w:val="20"/>
          <w:szCs w:val="20"/>
        </w:rPr>
      </w:pPr>
      <w:r w:rsidRPr="00D93D2D">
        <w:rPr>
          <w:rFonts w:cstheme="minorHAnsi"/>
          <w:b/>
          <w:sz w:val="20"/>
          <w:szCs w:val="20"/>
        </w:rPr>
        <w:t>Table S</w:t>
      </w:r>
      <w:r w:rsidR="00CC66B7" w:rsidRPr="00D93D2D">
        <w:rPr>
          <w:rFonts w:cstheme="minorHAnsi"/>
          <w:b/>
          <w:sz w:val="20"/>
          <w:szCs w:val="20"/>
        </w:rPr>
        <w:t>5</w:t>
      </w:r>
      <w:r w:rsidRPr="00D93D2D">
        <w:rPr>
          <w:rFonts w:cstheme="minorHAnsi"/>
          <w:b/>
          <w:sz w:val="20"/>
          <w:szCs w:val="20"/>
        </w:rPr>
        <w:t>.</w:t>
      </w:r>
      <w:r w:rsidRPr="00D93D2D">
        <w:rPr>
          <w:rFonts w:cstheme="minorHAnsi"/>
          <w:sz w:val="20"/>
          <w:szCs w:val="20"/>
        </w:rPr>
        <w:t xml:space="preserve"> </w:t>
      </w:r>
      <w:r w:rsidR="00F52D57" w:rsidRPr="00D93D2D">
        <w:rPr>
          <w:rFonts w:cstheme="minorHAnsi"/>
          <w:sz w:val="20"/>
          <w:szCs w:val="20"/>
        </w:rPr>
        <w:t>Scenarios and cost parameters used for Simulated Specimen Transport Networks in India.</w:t>
      </w:r>
    </w:p>
    <w:p w14:paraId="434E371D" w14:textId="77777777" w:rsidR="005C035F" w:rsidRPr="00D93D2D" w:rsidRDefault="005C035F" w:rsidP="00060BF2">
      <w:pPr>
        <w:tabs>
          <w:tab w:val="left" w:pos="2430"/>
        </w:tabs>
        <w:jc w:val="both"/>
        <w:rPr>
          <w:rFonts w:cstheme="minorHAnsi"/>
          <w:b/>
          <w:sz w:val="20"/>
          <w:szCs w:val="20"/>
        </w:rPr>
      </w:pPr>
    </w:p>
    <w:p w14:paraId="5236B76C" w14:textId="4F0515C3" w:rsidR="00E225FC" w:rsidRPr="00D93D2D" w:rsidRDefault="00D75BBB" w:rsidP="00060BF2">
      <w:pPr>
        <w:tabs>
          <w:tab w:val="left" w:pos="2430"/>
        </w:tabs>
        <w:jc w:val="both"/>
        <w:rPr>
          <w:rFonts w:cstheme="minorHAnsi"/>
        </w:rPr>
      </w:pPr>
      <w:r w:rsidRPr="00D93D2D">
        <w:rPr>
          <w:rFonts w:cstheme="minorHAnsi"/>
        </w:rPr>
        <w:t>For each DMC sample category (nu</w:t>
      </w:r>
      <w:r w:rsidR="002B2EEF" w:rsidRPr="00D93D2D">
        <w:rPr>
          <w:rFonts w:cstheme="minorHAnsi"/>
        </w:rPr>
        <w:t xml:space="preserve">mber of samples sent from a DMC – </w:t>
      </w:r>
      <w:r w:rsidR="00E225FC" w:rsidRPr="00D93D2D">
        <w:rPr>
          <w:rFonts w:cstheme="minorHAnsi"/>
        </w:rPr>
        <w:t>5 unique scenarios of 3, 10, 18, 27, and 39 DMCs per DTC)</w:t>
      </w:r>
      <w:r w:rsidR="00BE6C6C" w:rsidRPr="00D93D2D">
        <w:rPr>
          <w:rFonts w:cstheme="minorHAnsi"/>
        </w:rPr>
        <w:t>,</w:t>
      </w:r>
      <w:r w:rsidR="00E225FC" w:rsidRPr="00D93D2D">
        <w:rPr>
          <w:rFonts w:cstheme="minorHAnsi"/>
        </w:rPr>
        <w:t xml:space="preserve"> </w:t>
      </w:r>
      <w:r w:rsidR="002B2EEF" w:rsidRPr="00D93D2D">
        <w:rPr>
          <w:rFonts w:cstheme="minorHAnsi"/>
        </w:rPr>
        <w:t xml:space="preserve">a total of </w:t>
      </w:r>
      <w:r w:rsidR="00E225FC" w:rsidRPr="00D93D2D">
        <w:rPr>
          <w:rFonts w:cstheme="minorHAnsi"/>
        </w:rPr>
        <w:t xml:space="preserve">100 possible </w:t>
      </w:r>
      <w:r w:rsidR="002B2EEF" w:rsidRPr="00D93D2D">
        <w:rPr>
          <w:rFonts w:cstheme="minorHAnsi"/>
        </w:rPr>
        <w:t xml:space="preserve">sample transport cost </w:t>
      </w:r>
      <w:r w:rsidR="00E225FC" w:rsidRPr="00D93D2D">
        <w:rPr>
          <w:rFonts w:cstheme="minorHAnsi"/>
        </w:rPr>
        <w:t>combinations</w:t>
      </w:r>
      <w:r w:rsidR="002B2EEF" w:rsidRPr="00D93D2D">
        <w:rPr>
          <w:rFonts w:cstheme="minorHAnsi"/>
        </w:rPr>
        <w:t xml:space="preserve"> were created based on independent variation of three key variables: </w:t>
      </w:r>
      <w:r w:rsidR="00E225FC" w:rsidRPr="00D93D2D">
        <w:rPr>
          <w:rFonts w:cstheme="minorHAnsi"/>
        </w:rPr>
        <w:t xml:space="preserve">distance (5 categories), number of patient samples (5 categories) and </w:t>
      </w:r>
      <w:r w:rsidR="00A829C5" w:rsidRPr="00D93D2D">
        <w:rPr>
          <w:rFonts w:cstheme="minorHAnsi"/>
        </w:rPr>
        <w:t>percent</w:t>
      </w:r>
      <w:r w:rsidR="00E225FC" w:rsidRPr="00D93D2D">
        <w:rPr>
          <w:rFonts w:cstheme="minorHAnsi"/>
        </w:rPr>
        <w:t xml:space="preserve"> TB volume </w:t>
      </w:r>
      <w:r w:rsidR="001F5A78" w:rsidRPr="00D93D2D">
        <w:rPr>
          <w:rFonts w:cstheme="minorHAnsi"/>
        </w:rPr>
        <w:t xml:space="preserve">per transport </w:t>
      </w:r>
      <w:r w:rsidR="002B2EEF" w:rsidRPr="00D93D2D">
        <w:rPr>
          <w:rFonts w:cstheme="minorHAnsi"/>
        </w:rPr>
        <w:t>(4 categories</w:t>
      </w:r>
      <w:r w:rsidR="001F5A78" w:rsidRPr="00D93D2D">
        <w:rPr>
          <w:rStyle w:val="FootnoteReference"/>
          <w:rFonts w:cstheme="minorHAnsi"/>
        </w:rPr>
        <w:footnoteReference w:id="2"/>
      </w:r>
      <w:r w:rsidR="002B2EEF" w:rsidRPr="00D93D2D">
        <w:rPr>
          <w:rFonts w:cstheme="minorHAnsi"/>
        </w:rPr>
        <w:t xml:space="preserve">). For each combination, we calculated </w:t>
      </w:r>
      <w:r w:rsidR="00A829C5" w:rsidRPr="00D93D2D">
        <w:rPr>
          <w:rFonts w:cstheme="minorHAnsi"/>
        </w:rPr>
        <w:t xml:space="preserve">the total </w:t>
      </w:r>
      <w:r w:rsidR="002B2EEF" w:rsidRPr="00D93D2D">
        <w:rPr>
          <w:rFonts w:cstheme="minorHAnsi"/>
        </w:rPr>
        <w:t xml:space="preserve">variable and </w:t>
      </w:r>
      <w:r w:rsidR="00A829C5" w:rsidRPr="00D93D2D">
        <w:rPr>
          <w:rFonts w:cstheme="minorHAnsi"/>
        </w:rPr>
        <w:t>fix</w:t>
      </w:r>
      <w:r w:rsidR="00BE6C6C" w:rsidRPr="00D93D2D">
        <w:rPr>
          <w:rFonts w:cstheme="minorHAnsi"/>
        </w:rPr>
        <w:t>ed</w:t>
      </w:r>
      <w:r w:rsidR="002B2EEF" w:rsidRPr="00D93D2D">
        <w:rPr>
          <w:rFonts w:cstheme="minorHAnsi"/>
        </w:rPr>
        <w:t xml:space="preserve"> cost (total fixed cost per day + total variable costs) for</w:t>
      </w:r>
      <w:r w:rsidR="00A829C5" w:rsidRPr="00D93D2D">
        <w:rPr>
          <w:rFonts w:cstheme="minorHAnsi"/>
        </w:rPr>
        <w:t xml:space="preserve"> </w:t>
      </w:r>
      <w:r w:rsidR="00BE6C6C" w:rsidRPr="00D93D2D">
        <w:rPr>
          <w:rFonts w:cstheme="minorHAnsi"/>
        </w:rPr>
        <w:t xml:space="preserve">four </w:t>
      </w:r>
      <w:r w:rsidR="002B2EEF" w:rsidRPr="00D93D2D">
        <w:rPr>
          <w:rFonts w:cstheme="minorHAnsi"/>
        </w:rPr>
        <w:t>scenarios</w:t>
      </w:r>
      <w:r w:rsidR="00BE6C6C" w:rsidRPr="00D93D2D">
        <w:rPr>
          <w:rFonts w:cstheme="minorHAnsi"/>
        </w:rPr>
        <w:t xml:space="preserve"> of sample transport percentage devoted to Xpert</w:t>
      </w:r>
      <w:r w:rsidR="002B2EEF" w:rsidRPr="00D93D2D">
        <w:rPr>
          <w:rFonts w:cstheme="minorHAnsi"/>
        </w:rPr>
        <w:t xml:space="preserve"> (5, 10, 50, and 100%). This process was repeated for remining 4 DMC sample categories. </w:t>
      </w:r>
      <w:r w:rsidR="00E225FC" w:rsidRPr="00D93D2D">
        <w:rPr>
          <w:rFonts w:cstheme="minorHAnsi"/>
        </w:rPr>
        <w:t xml:space="preserve">One </w:t>
      </w:r>
      <w:r w:rsidR="002B2EEF" w:rsidRPr="00D93D2D">
        <w:rPr>
          <w:rFonts w:cstheme="minorHAnsi"/>
        </w:rPr>
        <w:t>complete set of transport</w:t>
      </w:r>
      <w:r w:rsidR="00E225FC" w:rsidRPr="00D93D2D">
        <w:rPr>
          <w:rFonts w:cstheme="minorHAnsi"/>
        </w:rPr>
        <w:t xml:space="preserve"> calculations</w:t>
      </w:r>
      <w:r w:rsidR="002B2EEF" w:rsidRPr="00D93D2D">
        <w:rPr>
          <w:rFonts w:cstheme="minorHAnsi"/>
        </w:rPr>
        <w:t xml:space="preserve"> (for DMC sample category</w:t>
      </w:r>
      <w:r w:rsidR="00BE6C6C" w:rsidRPr="00D93D2D">
        <w:rPr>
          <w:rFonts w:cstheme="minorHAnsi"/>
        </w:rPr>
        <w:t xml:space="preserve"> 3</w:t>
      </w:r>
      <w:r w:rsidR="002B2EEF" w:rsidRPr="00D93D2D">
        <w:rPr>
          <w:rFonts w:cstheme="minorHAnsi"/>
        </w:rPr>
        <w:t>)</w:t>
      </w:r>
      <w:r w:rsidR="00E225FC" w:rsidRPr="00D93D2D">
        <w:rPr>
          <w:rFonts w:cstheme="minorHAnsi"/>
        </w:rPr>
        <w:t xml:space="preserve"> is show</w:t>
      </w:r>
      <w:r w:rsidR="00BE6C6C" w:rsidRPr="00D93D2D">
        <w:rPr>
          <w:rFonts w:cstheme="minorHAnsi"/>
        </w:rPr>
        <w:t>n</w:t>
      </w:r>
      <w:r w:rsidR="00E225FC" w:rsidRPr="00D93D2D">
        <w:rPr>
          <w:rFonts w:cstheme="minorHAnsi"/>
        </w:rPr>
        <w:t xml:space="preserve"> in Table </w:t>
      </w:r>
      <w:r w:rsidR="008A1FC3" w:rsidRPr="00D93D2D">
        <w:rPr>
          <w:rFonts w:cstheme="minorHAnsi"/>
        </w:rPr>
        <w:t>S</w:t>
      </w:r>
      <w:r w:rsidR="001E22FE" w:rsidRPr="00D93D2D">
        <w:rPr>
          <w:rFonts w:cstheme="minorHAnsi"/>
        </w:rPr>
        <w:t>6</w:t>
      </w:r>
      <w:r w:rsidR="00E225FC" w:rsidRPr="00D93D2D">
        <w:rPr>
          <w:rFonts w:cstheme="minorHAnsi"/>
        </w:rPr>
        <w:t>.</w:t>
      </w:r>
    </w:p>
    <w:p w14:paraId="28C104E8" w14:textId="2F26C58C" w:rsidR="008A1FC3" w:rsidRPr="00D93D2D" w:rsidRDefault="001F5A78" w:rsidP="00060BF2">
      <w:pPr>
        <w:tabs>
          <w:tab w:val="left" w:pos="2430"/>
        </w:tabs>
        <w:jc w:val="both"/>
        <w:rPr>
          <w:rFonts w:cstheme="minorHAnsi"/>
        </w:rPr>
      </w:pPr>
      <w:r w:rsidRPr="00D93D2D">
        <w:rPr>
          <w:rFonts w:cstheme="minorHAnsi"/>
        </w:rPr>
        <w:t xml:space="preserve">A complete overview (a total of 500 cost sets) and trend of per-sample transport cost for each DTC (λ) based on transport sample volume is shown in Figure S1. </w:t>
      </w:r>
      <w:r w:rsidR="008A1FC3" w:rsidRPr="00D93D2D">
        <w:rPr>
          <w:rFonts w:cstheme="minorHAnsi"/>
        </w:rPr>
        <w:t xml:space="preserve">Of </w:t>
      </w:r>
      <w:r w:rsidRPr="00D93D2D">
        <w:rPr>
          <w:rFonts w:cstheme="minorHAnsi"/>
        </w:rPr>
        <w:t>these</w:t>
      </w:r>
      <w:r w:rsidR="008A1FC3" w:rsidRPr="00D93D2D">
        <w:rPr>
          <w:rFonts w:cstheme="minorHAnsi"/>
        </w:rPr>
        <w:t>, we eliminated scenarios that carried more than 100 TB samples (sputum) and total travel distance greater than 250 km/day as these scenarios are highly unlikely in the Indian setting (260 sets). Remaining scenarios were then categorized based on the number of TB sample</w:t>
      </w:r>
      <w:r w:rsidR="00BE6C6C" w:rsidRPr="00D93D2D">
        <w:rPr>
          <w:rFonts w:cstheme="minorHAnsi"/>
        </w:rPr>
        <w:t>s</w:t>
      </w:r>
      <w:r w:rsidR="008A1FC3" w:rsidRPr="00D93D2D">
        <w:rPr>
          <w:rFonts w:cstheme="minorHAnsi"/>
        </w:rPr>
        <w:t xml:space="preserve"> transported (we repeated this exercise for minimum, inter-quartile ranges (1Q, median, 3Q), and maximum of sample transport costs). </w:t>
      </w:r>
    </w:p>
    <w:p w14:paraId="2D15A79C" w14:textId="4B221271" w:rsidR="00066DF3" w:rsidRDefault="001F5A78" w:rsidP="004704F0">
      <w:pPr>
        <w:tabs>
          <w:tab w:val="left" w:pos="2430"/>
        </w:tabs>
        <w:jc w:val="both"/>
        <w:rPr>
          <w:rFonts w:cstheme="minorHAnsi"/>
        </w:rPr>
      </w:pPr>
      <w:r w:rsidRPr="00D93D2D">
        <w:rPr>
          <w:rFonts w:cstheme="minorHAnsi"/>
        </w:rPr>
        <w:t xml:space="preserve">Mean per-sample costs were </w:t>
      </w:r>
      <w:r w:rsidR="00F30A1D" w:rsidRPr="00D93D2D">
        <w:rPr>
          <w:rFonts w:cstheme="minorHAnsi"/>
        </w:rPr>
        <w:t xml:space="preserve">individually </w:t>
      </w:r>
      <w:r w:rsidRPr="00D93D2D">
        <w:rPr>
          <w:rFonts w:cstheme="minorHAnsi"/>
        </w:rPr>
        <w:t xml:space="preserve">matched </w:t>
      </w:r>
      <w:r w:rsidR="00F30A1D" w:rsidRPr="00D93D2D">
        <w:rPr>
          <w:rFonts w:cstheme="minorHAnsi"/>
        </w:rPr>
        <w:t xml:space="preserve">to the daily test volumes from the DTC (λ) distribution set for relevant DTC scenarios (10 to  &gt;70). For example, if DTC 20 (center tests a mean of 20 tests per day) on day 10 of the 250 daily test volume sets indicate 16 samples (16 tests performed), we matched the </w:t>
      </w:r>
      <w:r w:rsidR="00F30A1D" w:rsidRPr="00D93D2D">
        <w:rPr>
          <w:rFonts w:cstheme="minorHAnsi"/>
        </w:rPr>
        <w:lastRenderedPageBreak/>
        <w:t xml:space="preserve">mean sample transport cost according to the sample transport definition range </w:t>
      </w:r>
      <w:r w:rsidR="00120864" w:rsidRPr="00D93D2D">
        <w:rPr>
          <w:rFonts w:cstheme="minorHAnsi"/>
        </w:rPr>
        <w:t>shown in Table S</w:t>
      </w:r>
      <w:r w:rsidR="001E22FE" w:rsidRPr="00D93D2D">
        <w:rPr>
          <w:rFonts w:cstheme="minorHAnsi"/>
        </w:rPr>
        <w:t>7</w:t>
      </w:r>
      <w:r w:rsidR="008A1FC3" w:rsidRPr="00D93D2D">
        <w:rPr>
          <w:rFonts w:cstheme="minorHAnsi"/>
        </w:rPr>
        <w:t xml:space="preserve">. </w:t>
      </w:r>
      <w:r w:rsidR="00F30A1D" w:rsidRPr="00D93D2D">
        <w:rPr>
          <w:rFonts w:cstheme="minorHAnsi"/>
        </w:rPr>
        <w:t xml:space="preserve">Thus, </w:t>
      </w:r>
      <w:r w:rsidR="00120864" w:rsidRPr="00D93D2D">
        <w:rPr>
          <w:rFonts w:cstheme="minorHAnsi"/>
        </w:rPr>
        <w:t>observation included unique Xpert testing cost and sample transport costs</w:t>
      </w:r>
      <w:r w:rsidR="00BE6C6C" w:rsidRPr="00D93D2D">
        <w:rPr>
          <w:rFonts w:cstheme="minorHAnsi"/>
        </w:rPr>
        <w:t>,</w:t>
      </w:r>
      <w:r w:rsidR="00120864" w:rsidRPr="00D93D2D">
        <w:rPr>
          <w:rFonts w:cstheme="minorHAnsi"/>
        </w:rPr>
        <w:t xml:space="preserve"> and these were </w:t>
      </w:r>
      <w:r w:rsidR="008A1FC3" w:rsidRPr="00D93D2D">
        <w:rPr>
          <w:rFonts w:cstheme="minorHAnsi"/>
        </w:rPr>
        <w:t xml:space="preserve">summed (also with annual EQA costs) </w:t>
      </w:r>
      <w:r w:rsidR="00120864" w:rsidRPr="00D93D2D">
        <w:rPr>
          <w:rFonts w:cstheme="minorHAnsi"/>
        </w:rPr>
        <w:t>across</w:t>
      </w:r>
      <w:r w:rsidR="008A1FC3" w:rsidRPr="00D93D2D">
        <w:rPr>
          <w:rFonts w:cstheme="minorHAnsi"/>
        </w:rPr>
        <w:t xml:space="preserve"> 250 </w:t>
      </w:r>
      <w:r w:rsidR="00120864" w:rsidRPr="00D93D2D">
        <w:rPr>
          <w:rFonts w:cstheme="minorHAnsi"/>
        </w:rPr>
        <w:t>data points for each DTC to compute</w:t>
      </w:r>
      <w:r w:rsidR="008A1FC3" w:rsidRPr="00D93D2D">
        <w:rPr>
          <w:rFonts w:cstheme="minorHAnsi"/>
        </w:rPr>
        <w:t xml:space="preserve"> </w:t>
      </w:r>
      <w:r w:rsidR="00120864" w:rsidRPr="00D93D2D">
        <w:rPr>
          <w:rFonts w:cstheme="minorHAnsi"/>
        </w:rPr>
        <w:t xml:space="preserve">total </w:t>
      </w:r>
      <w:r w:rsidR="008A1FC3" w:rsidRPr="00D93D2D">
        <w:rPr>
          <w:rFonts w:cstheme="minorHAnsi"/>
        </w:rPr>
        <w:t>annual cost. These were then divided by the total number of patient samples tested across the 250 samples for each DTC (λ) to calculate mean per-test cost</w:t>
      </w:r>
      <w:r w:rsidR="00BE6C6C" w:rsidRPr="00D93D2D">
        <w:rPr>
          <w:rFonts w:cstheme="minorHAnsi"/>
        </w:rPr>
        <w:t xml:space="preserve"> in the centralized testing scenario</w:t>
      </w:r>
      <w:r w:rsidR="008A1FC3" w:rsidRPr="00D93D2D">
        <w:rPr>
          <w:rFonts w:cstheme="minorHAnsi"/>
        </w:rPr>
        <w:t xml:space="preserve">. </w:t>
      </w:r>
      <w:r w:rsidR="00F17AE8" w:rsidRPr="00D93D2D">
        <w:rPr>
          <w:rFonts w:cstheme="minorHAnsi"/>
        </w:rPr>
        <w:t xml:space="preserve">A graphic illustration of the step-by-step process of assessing unit costs inclusive of sample transport costs </w:t>
      </w:r>
      <w:r w:rsidR="00BE6C6C" w:rsidRPr="00D93D2D">
        <w:rPr>
          <w:rFonts w:cstheme="minorHAnsi"/>
        </w:rPr>
        <w:t>is</w:t>
      </w:r>
      <w:r w:rsidR="00F17AE8" w:rsidRPr="00D93D2D">
        <w:rPr>
          <w:rFonts w:cstheme="minorHAnsi"/>
        </w:rPr>
        <w:t xml:space="preserve"> shown in Figure S2</w:t>
      </w:r>
      <w:r w:rsidR="00BE6C6C" w:rsidRPr="00D93D2D">
        <w:rPr>
          <w:rFonts w:cstheme="minorHAnsi"/>
        </w:rPr>
        <w:t>,</w:t>
      </w:r>
      <w:r w:rsidR="00F17AE8" w:rsidRPr="00D93D2D">
        <w:rPr>
          <w:rFonts w:cstheme="minorHAnsi"/>
        </w:rPr>
        <w:t xml:space="preserve"> and a</w:t>
      </w:r>
      <w:r w:rsidR="008A1FC3" w:rsidRPr="00D93D2D">
        <w:rPr>
          <w:rFonts w:cstheme="minorHAnsi"/>
        </w:rPr>
        <w:t xml:space="preserve"> sample </w:t>
      </w:r>
      <w:r w:rsidR="00F17AE8" w:rsidRPr="00D93D2D">
        <w:rPr>
          <w:rFonts w:cstheme="minorHAnsi"/>
        </w:rPr>
        <w:t>full summary of</w:t>
      </w:r>
      <w:r w:rsidR="008A1FC3" w:rsidRPr="00D93D2D">
        <w:rPr>
          <w:rFonts w:cstheme="minorHAnsi"/>
        </w:rPr>
        <w:t xml:space="preserve"> mean per-test cost </w:t>
      </w:r>
      <w:r w:rsidR="00F17AE8" w:rsidRPr="00D93D2D">
        <w:rPr>
          <w:rFonts w:cstheme="minorHAnsi"/>
        </w:rPr>
        <w:t>is</w:t>
      </w:r>
      <w:r w:rsidR="008A1FC3" w:rsidRPr="00D93D2D">
        <w:rPr>
          <w:rFonts w:cstheme="minorHAnsi"/>
        </w:rPr>
        <w:t xml:space="preserve"> shown in Table </w:t>
      </w:r>
      <w:r w:rsidR="00120864" w:rsidRPr="00D93D2D">
        <w:rPr>
          <w:rFonts w:cstheme="minorHAnsi"/>
        </w:rPr>
        <w:t>S</w:t>
      </w:r>
      <w:r w:rsidR="001E22FE" w:rsidRPr="00D93D2D">
        <w:rPr>
          <w:rFonts w:cstheme="minorHAnsi"/>
        </w:rPr>
        <w:t>8</w:t>
      </w:r>
      <w:r w:rsidR="008A1FC3" w:rsidRPr="00D93D2D">
        <w:rPr>
          <w:rFonts w:cstheme="minorHAnsi"/>
        </w:rPr>
        <w:t xml:space="preserve"> </w:t>
      </w:r>
      <w:r w:rsidR="00F17AE8" w:rsidRPr="00D93D2D">
        <w:rPr>
          <w:rFonts w:cstheme="minorHAnsi"/>
        </w:rPr>
        <w:t xml:space="preserve">(used to calculate the cost difference between </w:t>
      </w:r>
      <w:r w:rsidR="00BE6C6C" w:rsidRPr="00D93D2D">
        <w:rPr>
          <w:rFonts w:cstheme="minorHAnsi"/>
        </w:rPr>
        <w:t>centralized</w:t>
      </w:r>
      <w:r w:rsidR="00F17AE8" w:rsidRPr="00D93D2D">
        <w:rPr>
          <w:rFonts w:cstheme="minorHAnsi"/>
        </w:rPr>
        <w:t xml:space="preserve"> and </w:t>
      </w:r>
      <w:r w:rsidR="00BE6C6C" w:rsidRPr="00D93D2D">
        <w:rPr>
          <w:rFonts w:cstheme="minorHAnsi"/>
        </w:rPr>
        <w:t>decentralized testing</w:t>
      </w:r>
      <w:r w:rsidR="00F17AE8" w:rsidRPr="00D93D2D">
        <w:rPr>
          <w:rFonts w:cstheme="minorHAnsi"/>
        </w:rPr>
        <w:t>).</w:t>
      </w:r>
    </w:p>
    <w:p w14:paraId="5526C360" w14:textId="72001A6A" w:rsidR="004704F0" w:rsidRPr="00D93D2D" w:rsidRDefault="00066DF3" w:rsidP="00066DF3">
      <w:pPr>
        <w:rPr>
          <w:rFonts w:cstheme="minorHAnsi"/>
        </w:rPr>
      </w:pPr>
      <w:r>
        <w:rPr>
          <w:rFonts w:cstheme="minorHAnsi"/>
        </w:rPr>
        <w:br w:type="page"/>
      </w:r>
    </w:p>
    <w:p w14:paraId="32CBDFF8" w14:textId="156FECB3" w:rsidR="004704F0" w:rsidRPr="00D93D2D" w:rsidRDefault="004704F0" w:rsidP="004704F0">
      <w:pPr>
        <w:pStyle w:val="Heading2"/>
        <w:jc w:val="both"/>
        <w:rPr>
          <w:rFonts w:cstheme="minorHAnsi"/>
        </w:rPr>
      </w:pPr>
      <w:bookmarkStart w:id="5" w:name="_Toc12877759"/>
      <w:r w:rsidRPr="00D93D2D">
        <w:rPr>
          <w:rFonts w:cstheme="minorHAnsi"/>
        </w:rPr>
        <w:lastRenderedPageBreak/>
        <w:t xml:space="preserve">Calculating the cost difference between </w:t>
      </w:r>
      <w:r w:rsidR="00BE6C6C" w:rsidRPr="00D93D2D">
        <w:rPr>
          <w:rFonts w:cstheme="minorHAnsi"/>
        </w:rPr>
        <w:t>decentralized Xpert (</w:t>
      </w:r>
      <w:r w:rsidRPr="00D93D2D">
        <w:rPr>
          <w:rFonts w:cstheme="minorHAnsi"/>
        </w:rPr>
        <w:t>DXP</w:t>
      </w:r>
      <w:r w:rsidR="00BE6C6C" w:rsidRPr="00D93D2D">
        <w:rPr>
          <w:rFonts w:cstheme="minorHAnsi"/>
        </w:rPr>
        <w:t>)</w:t>
      </w:r>
      <w:r w:rsidRPr="00D93D2D">
        <w:rPr>
          <w:rFonts w:cstheme="minorHAnsi"/>
        </w:rPr>
        <w:t xml:space="preserve"> and </w:t>
      </w:r>
      <w:r w:rsidR="00BE6C6C" w:rsidRPr="00D93D2D">
        <w:rPr>
          <w:rFonts w:cstheme="minorHAnsi"/>
        </w:rPr>
        <w:t>centralized Xpert (</w:t>
      </w:r>
      <w:r w:rsidRPr="00D93D2D">
        <w:rPr>
          <w:rFonts w:cstheme="minorHAnsi"/>
        </w:rPr>
        <w:t>CXP</w:t>
      </w:r>
      <w:r w:rsidR="00BE6C6C" w:rsidRPr="00D93D2D">
        <w:rPr>
          <w:rFonts w:cstheme="minorHAnsi"/>
        </w:rPr>
        <w:t>)</w:t>
      </w:r>
      <w:bookmarkEnd w:id="5"/>
      <w:r w:rsidRPr="00D93D2D">
        <w:rPr>
          <w:rFonts w:cstheme="minorHAnsi"/>
        </w:rPr>
        <w:t xml:space="preserve"> </w:t>
      </w:r>
    </w:p>
    <w:p w14:paraId="435CAA6B" w14:textId="1B4BA88C" w:rsidR="004704F0" w:rsidRPr="00D93D2D" w:rsidRDefault="004704F0" w:rsidP="00060BF2">
      <w:pPr>
        <w:tabs>
          <w:tab w:val="left" w:pos="2430"/>
        </w:tabs>
        <w:jc w:val="both"/>
        <w:rPr>
          <w:rFonts w:cstheme="minorHAnsi"/>
        </w:rPr>
      </w:pPr>
      <w:r w:rsidRPr="00D93D2D">
        <w:rPr>
          <w:rFonts w:cstheme="minorHAnsi"/>
        </w:rPr>
        <w:t xml:space="preserve">We used Table S3 (mean DMC Xpert per-test costs) and Table S8 (mean DTC Xpert per-test costs, inclusive of sample transport) to compute unit cost difference between the DXP and CXP scenarios. This was assessed based three main components: 1) DMC testing volume (range between 0.1 to 10 samples per-day – a total of 15 categories), 2) DTC testing volumes (between 10 to 70 or more per day – a total of 7 categories), and 3) exclusivity of TB sample in sample transport operations (between 5 and 100% - a total of 4 categories). We represent this using heat map analysis of a combined 15 sets of </w:t>
      </w:r>
      <w:r w:rsidR="00202599" w:rsidRPr="00D93D2D">
        <w:rPr>
          <w:rFonts w:cstheme="minorHAnsi"/>
        </w:rPr>
        <w:t>cost difference comparisons between varied levels of DTC testing volume and the exclusivity of TB sample in sample transport operations (Figure S3). Red represents cost difference favoring CXP (DMC Xpert per-test costs higher than that of the DTC) whereas blue represents costs favoring DXP (DMC Xpert per-test costs lower than that of the DTC).</w:t>
      </w:r>
      <w:r w:rsidRPr="00D93D2D">
        <w:rPr>
          <w:rFonts w:cstheme="minorHAnsi"/>
        </w:rPr>
        <w:t xml:space="preserve"> </w:t>
      </w:r>
    </w:p>
    <w:p w14:paraId="502DA92B" w14:textId="7701F42C" w:rsidR="008A1FC3" w:rsidRPr="00D93D2D" w:rsidRDefault="00202599" w:rsidP="00202599">
      <w:pPr>
        <w:rPr>
          <w:rFonts w:cstheme="minorHAnsi"/>
        </w:rPr>
      </w:pPr>
      <w:r w:rsidRPr="00D93D2D">
        <w:rPr>
          <w:rFonts w:cstheme="minorHAnsi"/>
        </w:rPr>
        <w:br w:type="page"/>
      </w:r>
    </w:p>
    <w:tbl>
      <w:tblPr>
        <w:tblW w:w="8958" w:type="dxa"/>
        <w:tblLook w:val="04A0" w:firstRow="1" w:lastRow="0" w:firstColumn="1" w:lastColumn="0" w:noHBand="0" w:noVBand="1"/>
      </w:tblPr>
      <w:tblGrid>
        <w:gridCol w:w="1023"/>
        <w:gridCol w:w="684"/>
        <w:gridCol w:w="717"/>
        <w:gridCol w:w="702"/>
        <w:gridCol w:w="702"/>
        <w:gridCol w:w="673"/>
        <w:gridCol w:w="673"/>
        <w:gridCol w:w="673"/>
        <w:gridCol w:w="674"/>
        <w:gridCol w:w="673"/>
        <w:gridCol w:w="673"/>
        <w:gridCol w:w="673"/>
        <w:gridCol w:w="675"/>
      </w:tblGrid>
      <w:tr w:rsidR="00AF70E1" w:rsidRPr="00D93D2D" w14:paraId="1A466653" w14:textId="77777777" w:rsidTr="00AF70E1">
        <w:trPr>
          <w:trHeight w:val="226"/>
        </w:trPr>
        <w:tc>
          <w:tcPr>
            <w:tcW w:w="846" w:type="dxa"/>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14:paraId="7BF468C4" w14:textId="77777777" w:rsidR="00AF70E1" w:rsidRPr="00D93D2D" w:rsidRDefault="00AF70E1" w:rsidP="00AF70E1">
            <w:pPr>
              <w:spacing w:after="0" w:line="240" w:lineRule="auto"/>
              <w:jc w:val="center"/>
              <w:rPr>
                <w:rFonts w:eastAsia="Times New Roman" w:cstheme="minorHAnsi"/>
                <w:b/>
                <w:bCs/>
                <w:color w:val="000000"/>
                <w:sz w:val="14"/>
              </w:rPr>
            </w:pPr>
            <w:r w:rsidRPr="00D93D2D">
              <w:rPr>
                <w:rFonts w:eastAsia="Times New Roman" w:cstheme="minorHAnsi"/>
                <w:b/>
                <w:bCs/>
                <w:color w:val="000000"/>
                <w:sz w:val="14"/>
              </w:rPr>
              <w:lastRenderedPageBreak/>
              <w:t>Scenario Combinations</w:t>
            </w:r>
          </w:p>
        </w:tc>
        <w:tc>
          <w:tcPr>
            <w:tcW w:w="684" w:type="dxa"/>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14:paraId="6A6412A6" w14:textId="77777777" w:rsidR="00AF70E1" w:rsidRPr="00D93D2D" w:rsidRDefault="00AF70E1" w:rsidP="00AF70E1">
            <w:pPr>
              <w:spacing w:after="0" w:line="240" w:lineRule="auto"/>
              <w:jc w:val="center"/>
              <w:rPr>
                <w:rFonts w:eastAsia="Times New Roman" w:cstheme="minorHAnsi"/>
                <w:b/>
                <w:bCs/>
                <w:color w:val="000000"/>
                <w:sz w:val="14"/>
              </w:rPr>
            </w:pPr>
            <w:r w:rsidRPr="00D93D2D">
              <w:rPr>
                <w:rFonts w:eastAsia="Times New Roman" w:cstheme="minorHAnsi"/>
                <w:b/>
                <w:bCs/>
                <w:color w:val="000000"/>
                <w:sz w:val="14"/>
              </w:rPr>
              <w:t># of Clinics visited        (1)</w:t>
            </w:r>
          </w:p>
        </w:tc>
        <w:tc>
          <w:tcPr>
            <w:tcW w:w="684" w:type="dxa"/>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14:paraId="1C2C566E" w14:textId="77777777" w:rsidR="00AF70E1" w:rsidRPr="00D93D2D" w:rsidRDefault="00AF70E1" w:rsidP="00AF70E1">
            <w:pPr>
              <w:spacing w:after="0" w:line="240" w:lineRule="auto"/>
              <w:jc w:val="center"/>
              <w:rPr>
                <w:rFonts w:eastAsia="Times New Roman" w:cstheme="minorHAnsi"/>
                <w:b/>
                <w:bCs/>
                <w:color w:val="000000"/>
                <w:sz w:val="14"/>
              </w:rPr>
            </w:pPr>
            <w:r w:rsidRPr="00D93D2D">
              <w:rPr>
                <w:rFonts w:eastAsia="Times New Roman" w:cstheme="minorHAnsi"/>
                <w:b/>
                <w:bCs/>
                <w:color w:val="000000"/>
                <w:sz w:val="14"/>
              </w:rPr>
              <w:t>Total Distance     (2)</w:t>
            </w:r>
          </w:p>
        </w:tc>
        <w:tc>
          <w:tcPr>
            <w:tcW w:w="684" w:type="dxa"/>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14:paraId="6BFC718E" w14:textId="77777777" w:rsidR="00AF70E1" w:rsidRPr="00D93D2D" w:rsidRDefault="00AF70E1" w:rsidP="00AF70E1">
            <w:pPr>
              <w:spacing w:after="0" w:line="240" w:lineRule="auto"/>
              <w:jc w:val="center"/>
              <w:rPr>
                <w:rFonts w:eastAsia="Times New Roman" w:cstheme="minorHAnsi"/>
                <w:b/>
                <w:bCs/>
                <w:color w:val="000000"/>
                <w:sz w:val="14"/>
              </w:rPr>
            </w:pPr>
            <w:r w:rsidRPr="00D93D2D">
              <w:rPr>
                <w:rFonts w:eastAsia="Times New Roman" w:cstheme="minorHAnsi"/>
                <w:b/>
                <w:bCs/>
                <w:color w:val="000000"/>
                <w:sz w:val="14"/>
              </w:rPr>
              <w:t>Average # of Samples (3)</w:t>
            </w:r>
          </w:p>
        </w:tc>
        <w:tc>
          <w:tcPr>
            <w:tcW w:w="673" w:type="dxa"/>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14:paraId="4E9D4C3F" w14:textId="77777777" w:rsidR="00AF70E1" w:rsidRPr="00D93D2D" w:rsidRDefault="00AF70E1" w:rsidP="00AF70E1">
            <w:pPr>
              <w:spacing w:after="0" w:line="240" w:lineRule="auto"/>
              <w:jc w:val="center"/>
              <w:rPr>
                <w:rFonts w:eastAsia="Times New Roman" w:cstheme="minorHAnsi"/>
                <w:b/>
                <w:bCs/>
                <w:color w:val="000000"/>
                <w:sz w:val="14"/>
              </w:rPr>
            </w:pPr>
            <w:r w:rsidRPr="00D93D2D">
              <w:rPr>
                <w:rFonts w:eastAsia="Times New Roman" w:cstheme="minorHAnsi"/>
                <w:b/>
                <w:bCs/>
                <w:color w:val="000000"/>
                <w:sz w:val="14"/>
              </w:rPr>
              <w:t>Total Variable Cost (4)</w:t>
            </w:r>
          </w:p>
        </w:tc>
        <w:tc>
          <w:tcPr>
            <w:tcW w:w="2693" w:type="dxa"/>
            <w:gridSpan w:val="4"/>
            <w:tcBorders>
              <w:top w:val="single" w:sz="4" w:space="0" w:color="auto"/>
              <w:left w:val="nil"/>
              <w:bottom w:val="single" w:sz="4" w:space="0" w:color="auto"/>
              <w:right w:val="single" w:sz="4" w:space="0" w:color="auto"/>
            </w:tcBorders>
            <w:shd w:val="clear" w:color="000000" w:fill="C9C9C9"/>
            <w:noWrap/>
            <w:vAlign w:val="center"/>
            <w:hideMark/>
          </w:tcPr>
          <w:p w14:paraId="0382E9E0" w14:textId="77777777" w:rsidR="00AF70E1" w:rsidRPr="00D93D2D" w:rsidRDefault="00AF70E1" w:rsidP="00AF70E1">
            <w:pPr>
              <w:spacing w:after="0" w:line="240" w:lineRule="auto"/>
              <w:jc w:val="center"/>
              <w:rPr>
                <w:rFonts w:eastAsia="Times New Roman" w:cstheme="minorHAnsi"/>
                <w:b/>
                <w:bCs/>
                <w:color w:val="000000"/>
                <w:sz w:val="14"/>
              </w:rPr>
            </w:pPr>
            <w:r w:rsidRPr="00D93D2D">
              <w:rPr>
                <w:rFonts w:eastAsia="Times New Roman" w:cstheme="minorHAnsi"/>
                <w:b/>
                <w:bCs/>
                <w:color w:val="000000"/>
                <w:sz w:val="14"/>
              </w:rPr>
              <w:t xml:space="preserve">Total Cost </w:t>
            </w:r>
          </w:p>
        </w:tc>
        <w:tc>
          <w:tcPr>
            <w:tcW w:w="2693" w:type="dxa"/>
            <w:gridSpan w:val="4"/>
            <w:tcBorders>
              <w:top w:val="single" w:sz="4" w:space="0" w:color="auto"/>
              <w:left w:val="nil"/>
              <w:bottom w:val="single" w:sz="4" w:space="0" w:color="auto"/>
              <w:right w:val="single" w:sz="4" w:space="0" w:color="auto"/>
            </w:tcBorders>
            <w:shd w:val="clear" w:color="000000" w:fill="C9C9C9"/>
            <w:noWrap/>
            <w:vAlign w:val="center"/>
            <w:hideMark/>
          </w:tcPr>
          <w:p w14:paraId="5052F9CF" w14:textId="77777777" w:rsidR="00AF70E1" w:rsidRPr="00D93D2D" w:rsidRDefault="00AF70E1" w:rsidP="00AF70E1">
            <w:pPr>
              <w:spacing w:after="0" w:line="240" w:lineRule="auto"/>
              <w:jc w:val="center"/>
              <w:rPr>
                <w:rFonts w:eastAsia="Times New Roman" w:cstheme="minorHAnsi"/>
                <w:b/>
                <w:bCs/>
                <w:color w:val="000000"/>
                <w:sz w:val="14"/>
              </w:rPr>
            </w:pPr>
            <w:r w:rsidRPr="00D93D2D">
              <w:rPr>
                <w:rFonts w:eastAsia="Times New Roman" w:cstheme="minorHAnsi"/>
                <w:b/>
                <w:bCs/>
                <w:color w:val="000000"/>
                <w:sz w:val="14"/>
              </w:rPr>
              <w:t>Cost / Specimen transported</w:t>
            </w:r>
          </w:p>
        </w:tc>
      </w:tr>
      <w:tr w:rsidR="00AF70E1" w:rsidRPr="00D93D2D" w14:paraId="5F94F977" w14:textId="77777777" w:rsidTr="00AF70E1">
        <w:trPr>
          <w:trHeight w:val="226"/>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D035C0" w14:textId="77777777" w:rsidR="00AF70E1" w:rsidRPr="00D93D2D" w:rsidRDefault="00AF70E1" w:rsidP="00AF70E1">
            <w:pPr>
              <w:spacing w:after="0" w:line="240" w:lineRule="auto"/>
              <w:rPr>
                <w:rFonts w:eastAsia="Times New Roman" w:cstheme="minorHAnsi"/>
                <w:b/>
                <w:bCs/>
                <w:color w:val="000000"/>
                <w:sz w:val="14"/>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63AAD80C" w14:textId="77777777" w:rsidR="00AF70E1" w:rsidRPr="00D93D2D" w:rsidRDefault="00AF70E1" w:rsidP="00AF70E1">
            <w:pPr>
              <w:spacing w:after="0" w:line="240" w:lineRule="auto"/>
              <w:rPr>
                <w:rFonts w:eastAsia="Times New Roman" w:cstheme="minorHAnsi"/>
                <w:b/>
                <w:bCs/>
                <w:color w:val="000000"/>
                <w:sz w:val="14"/>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2C2F2146" w14:textId="77777777" w:rsidR="00AF70E1" w:rsidRPr="00D93D2D" w:rsidRDefault="00AF70E1" w:rsidP="00AF70E1">
            <w:pPr>
              <w:spacing w:after="0" w:line="240" w:lineRule="auto"/>
              <w:rPr>
                <w:rFonts w:eastAsia="Times New Roman" w:cstheme="minorHAnsi"/>
                <w:b/>
                <w:bCs/>
                <w:color w:val="000000"/>
                <w:sz w:val="14"/>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271C36E6" w14:textId="77777777" w:rsidR="00AF70E1" w:rsidRPr="00D93D2D" w:rsidRDefault="00AF70E1" w:rsidP="00AF70E1">
            <w:pPr>
              <w:spacing w:after="0" w:line="240" w:lineRule="auto"/>
              <w:rPr>
                <w:rFonts w:eastAsia="Times New Roman" w:cstheme="minorHAnsi"/>
                <w:b/>
                <w:bCs/>
                <w:color w:val="000000"/>
                <w:sz w:val="14"/>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0072DF70" w14:textId="77777777" w:rsidR="00AF70E1" w:rsidRPr="00D93D2D" w:rsidRDefault="00AF70E1" w:rsidP="00AF70E1">
            <w:pPr>
              <w:spacing w:after="0" w:line="240" w:lineRule="auto"/>
              <w:rPr>
                <w:rFonts w:eastAsia="Times New Roman" w:cstheme="minorHAnsi"/>
                <w:b/>
                <w:bCs/>
                <w:color w:val="000000"/>
                <w:sz w:val="14"/>
              </w:rPr>
            </w:pPr>
          </w:p>
        </w:tc>
        <w:tc>
          <w:tcPr>
            <w:tcW w:w="5387" w:type="dxa"/>
            <w:gridSpan w:val="8"/>
            <w:tcBorders>
              <w:top w:val="single" w:sz="4" w:space="0" w:color="auto"/>
              <w:left w:val="nil"/>
              <w:bottom w:val="single" w:sz="4" w:space="0" w:color="auto"/>
              <w:right w:val="single" w:sz="4" w:space="0" w:color="auto"/>
            </w:tcBorders>
            <w:shd w:val="clear" w:color="000000" w:fill="DBDBDB"/>
            <w:noWrap/>
            <w:vAlign w:val="center"/>
            <w:hideMark/>
          </w:tcPr>
          <w:p w14:paraId="51F282E9" w14:textId="77777777" w:rsidR="00AF70E1" w:rsidRPr="00D93D2D" w:rsidRDefault="00AF70E1" w:rsidP="00AF70E1">
            <w:pPr>
              <w:spacing w:after="0" w:line="240" w:lineRule="auto"/>
              <w:jc w:val="center"/>
              <w:rPr>
                <w:rFonts w:eastAsia="Times New Roman" w:cstheme="minorHAnsi"/>
                <w:color w:val="000000"/>
                <w:sz w:val="14"/>
              </w:rPr>
            </w:pPr>
            <w:r w:rsidRPr="00D93D2D">
              <w:rPr>
                <w:rFonts w:eastAsia="Times New Roman" w:cstheme="minorHAnsi"/>
                <w:color w:val="000000"/>
                <w:sz w:val="14"/>
              </w:rPr>
              <w:t>% TB sample volume (5-100%)</w:t>
            </w:r>
          </w:p>
        </w:tc>
      </w:tr>
      <w:tr w:rsidR="00AF70E1" w:rsidRPr="00D93D2D" w14:paraId="662ECB9E" w14:textId="77777777" w:rsidTr="00AF70E1">
        <w:trPr>
          <w:trHeight w:val="91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13320D8" w14:textId="77777777" w:rsidR="00AF70E1" w:rsidRPr="00D93D2D" w:rsidRDefault="00AF70E1" w:rsidP="00AF70E1">
            <w:pPr>
              <w:spacing w:after="0" w:line="240" w:lineRule="auto"/>
              <w:rPr>
                <w:rFonts w:eastAsia="Times New Roman" w:cstheme="minorHAnsi"/>
                <w:b/>
                <w:bCs/>
                <w:color w:val="000000"/>
                <w:sz w:val="14"/>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517FFDC5" w14:textId="77777777" w:rsidR="00AF70E1" w:rsidRPr="00D93D2D" w:rsidRDefault="00AF70E1" w:rsidP="00AF70E1">
            <w:pPr>
              <w:spacing w:after="0" w:line="240" w:lineRule="auto"/>
              <w:rPr>
                <w:rFonts w:eastAsia="Times New Roman" w:cstheme="minorHAnsi"/>
                <w:b/>
                <w:bCs/>
                <w:color w:val="000000"/>
                <w:sz w:val="14"/>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36375FC9" w14:textId="77777777" w:rsidR="00AF70E1" w:rsidRPr="00D93D2D" w:rsidRDefault="00AF70E1" w:rsidP="00AF70E1">
            <w:pPr>
              <w:spacing w:after="0" w:line="240" w:lineRule="auto"/>
              <w:rPr>
                <w:rFonts w:eastAsia="Times New Roman" w:cstheme="minorHAnsi"/>
                <w:b/>
                <w:bCs/>
                <w:color w:val="000000"/>
                <w:sz w:val="14"/>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0562671B" w14:textId="77777777" w:rsidR="00AF70E1" w:rsidRPr="00D93D2D" w:rsidRDefault="00AF70E1" w:rsidP="00AF70E1">
            <w:pPr>
              <w:spacing w:after="0" w:line="240" w:lineRule="auto"/>
              <w:rPr>
                <w:rFonts w:eastAsia="Times New Roman" w:cstheme="minorHAnsi"/>
                <w:b/>
                <w:bCs/>
                <w:color w:val="000000"/>
                <w:sz w:val="14"/>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2B1A3C6B" w14:textId="77777777" w:rsidR="00AF70E1" w:rsidRPr="00D93D2D" w:rsidRDefault="00AF70E1" w:rsidP="00AF70E1">
            <w:pPr>
              <w:spacing w:after="0" w:line="240" w:lineRule="auto"/>
              <w:rPr>
                <w:rFonts w:eastAsia="Times New Roman" w:cstheme="minorHAnsi"/>
                <w:b/>
                <w:bCs/>
                <w:color w:val="000000"/>
                <w:sz w:val="14"/>
              </w:rPr>
            </w:pPr>
          </w:p>
        </w:tc>
        <w:tc>
          <w:tcPr>
            <w:tcW w:w="673" w:type="dxa"/>
            <w:tcBorders>
              <w:top w:val="nil"/>
              <w:left w:val="nil"/>
              <w:bottom w:val="single" w:sz="4" w:space="0" w:color="auto"/>
              <w:right w:val="single" w:sz="4" w:space="0" w:color="auto"/>
            </w:tcBorders>
            <w:shd w:val="clear" w:color="000000" w:fill="EDEDED"/>
            <w:vAlign w:val="center"/>
            <w:hideMark/>
          </w:tcPr>
          <w:p w14:paraId="288CA4E5" w14:textId="77777777" w:rsidR="00AF70E1" w:rsidRPr="00D93D2D" w:rsidRDefault="00AF70E1" w:rsidP="00AF70E1">
            <w:pPr>
              <w:spacing w:after="0" w:line="240" w:lineRule="auto"/>
              <w:jc w:val="center"/>
              <w:rPr>
                <w:rFonts w:eastAsia="Times New Roman" w:cstheme="minorHAnsi"/>
                <w:color w:val="000000"/>
                <w:sz w:val="14"/>
              </w:rPr>
            </w:pPr>
            <w:r w:rsidRPr="00D93D2D">
              <w:rPr>
                <w:rFonts w:eastAsia="Times New Roman" w:cstheme="minorHAnsi"/>
                <w:color w:val="000000"/>
                <w:sz w:val="14"/>
              </w:rPr>
              <w:t>5%</w:t>
            </w:r>
          </w:p>
        </w:tc>
        <w:tc>
          <w:tcPr>
            <w:tcW w:w="673" w:type="dxa"/>
            <w:tcBorders>
              <w:top w:val="nil"/>
              <w:left w:val="nil"/>
              <w:bottom w:val="single" w:sz="4" w:space="0" w:color="auto"/>
              <w:right w:val="single" w:sz="4" w:space="0" w:color="auto"/>
            </w:tcBorders>
            <w:shd w:val="clear" w:color="000000" w:fill="EDEDED"/>
            <w:vAlign w:val="center"/>
            <w:hideMark/>
          </w:tcPr>
          <w:p w14:paraId="369EBEBB" w14:textId="77777777" w:rsidR="00AF70E1" w:rsidRPr="00D93D2D" w:rsidRDefault="00AF70E1" w:rsidP="00AF70E1">
            <w:pPr>
              <w:spacing w:after="0" w:line="240" w:lineRule="auto"/>
              <w:jc w:val="center"/>
              <w:rPr>
                <w:rFonts w:eastAsia="Times New Roman" w:cstheme="minorHAnsi"/>
                <w:color w:val="000000"/>
                <w:sz w:val="14"/>
              </w:rPr>
            </w:pPr>
            <w:r w:rsidRPr="00D93D2D">
              <w:rPr>
                <w:rFonts w:eastAsia="Times New Roman" w:cstheme="minorHAnsi"/>
                <w:color w:val="000000"/>
                <w:sz w:val="14"/>
              </w:rPr>
              <w:t>10%</w:t>
            </w:r>
          </w:p>
        </w:tc>
        <w:tc>
          <w:tcPr>
            <w:tcW w:w="673" w:type="dxa"/>
            <w:tcBorders>
              <w:top w:val="nil"/>
              <w:left w:val="nil"/>
              <w:bottom w:val="single" w:sz="4" w:space="0" w:color="auto"/>
              <w:right w:val="single" w:sz="4" w:space="0" w:color="auto"/>
            </w:tcBorders>
            <w:shd w:val="clear" w:color="000000" w:fill="EDEDED"/>
            <w:vAlign w:val="center"/>
            <w:hideMark/>
          </w:tcPr>
          <w:p w14:paraId="0307E819" w14:textId="77777777" w:rsidR="00AF70E1" w:rsidRPr="00D93D2D" w:rsidRDefault="00AF70E1" w:rsidP="00AF70E1">
            <w:pPr>
              <w:spacing w:after="0" w:line="240" w:lineRule="auto"/>
              <w:jc w:val="center"/>
              <w:rPr>
                <w:rFonts w:eastAsia="Times New Roman" w:cstheme="minorHAnsi"/>
                <w:color w:val="000000"/>
                <w:sz w:val="14"/>
              </w:rPr>
            </w:pPr>
            <w:r w:rsidRPr="00D93D2D">
              <w:rPr>
                <w:rFonts w:eastAsia="Times New Roman" w:cstheme="minorHAnsi"/>
                <w:color w:val="000000"/>
                <w:sz w:val="14"/>
              </w:rPr>
              <w:t>50%</w:t>
            </w:r>
          </w:p>
        </w:tc>
        <w:tc>
          <w:tcPr>
            <w:tcW w:w="673" w:type="dxa"/>
            <w:tcBorders>
              <w:top w:val="nil"/>
              <w:left w:val="nil"/>
              <w:bottom w:val="single" w:sz="4" w:space="0" w:color="auto"/>
              <w:right w:val="single" w:sz="4" w:space="0" w:color="auto"/>
            </w:tcBorders>
            <w:shd w:val="clear" w:color="000000" w:fill="EDEDED"/>
            <w:vAlign w:val="center"/>
            <w:hideMark/>
          </w:tcPr>
          <w:p w14:paraId="615FCA97" w14:textId="77777777" w:rsidR="00AF70E1" w:rsidRPr="00D93D2D" w:rsidRDefault="00AF70E1" w:rsidP="00AF70E1">
            <w:pPr>
              <w:spacing w:after="0" w:line="240" w:lineRule="auto"/>
              <w:jc w:val="center"/>
              <w:rPr>
                <w:rFonts w:eastAsia="Times New Roman" w:cstheme="minorHAnsi"/>
                <w:color w:val="000000"/>
                <w:sz w:val="14"/>
              </w:rPr>
            </w:pPr>
            <w:r w:rsidRPr="00D93D2D">
              <w:rPr>
                <w:rFonts w:eastAsia="Times New Roman" w:cstheme="minorHAnsi"/>
                <w:color w:val="000000"/>
                <w:sz w:val="14"/>
              </w:rPr>
              <w:t>100%</w:t>
            </w:r>
          </w:p>
        </w:tc>
        <w:tc>
          <w:tcPr>
            <w:tcW w:w="673" w:type="dxa"/>
            <w:tcBorders>
              <w:top w:val="nil"/>
              <w:left w:val="nil"/>
              <w:bottom w:val="single" w:sz="4" w:space="0" w:color="auto"/>
              <w:right w:val="single" w:sz="4" w:space="0" w:color="auto"/>
            </w:tcBorders>
            <w:shd w:val="clear" w:color="000000" w:fill="EDEDED"/>
            <w:vAlign w:val="center"/>
            <w:hideMark/>
          </w:tcPr>
          <w:p w14:paraId="32EBF5F3" w14:textId="77777777" w:rsidR="00AF70E1" w:rsidRPr="00D93D2D" w:rsidRDefault="00AF70E1" w:rsidP="00AF70E1">
            <w:pPr>
              <w:spacing w:after="0" w:line="240" w:lineRule="auto"/>
              <w:jc w:val="center"/>
              <w:rPr>
                <w:rFonts w:eastAsia="Times New Roman" w:cstheme="minorHAnsi"/>
                <w:color w:val="000000"/>
                <w:sz w:val="14"/>
              </w:rPr>
            </w:pPr>
            <w:r w:rsidRPr="00D93D2D">
              <w:rPr>
                <w:rFonts w:eastAsia="Times New Roman" w:cstheme="minorHAnsi"/>
                <w:color w:val="000000"/>
                <w:sz w:val="14"/>
              </w:rPr>
              <w:t>5%</w:t>
            </w:r>
          </w:p>
        </w:tc>
        <w:tc>
          <w:tcPr>
            <w:tcW w:w="673" w:type="dxa"/>
            <w:tcBorders>
              <w:top w:val="nil"/>
              <w:left w:val="nil"/>
              <w:bottom w:val="single" w:sz="4" w:space="0" w:color="auto"/>
              <w:right w:val="single" w:sz="4" w:space="0" w:color="auto"/>
            </w:tcBorders>
            <w:shd w:val="clear" w:color="000000" w:fill="EDEDED"/>
            <w:vAlign w:val="center"/>
            <w:hideMark/>
          </w:tcPr>
          <w:p w14:paraId="214735C2" w14:textId="77777777" w:rsidR="00AF70E1" w:rsidRPr="00D93D2D" w:rsidRDefault="00AF70E1" w:rsidP="00AF70E1">
            <w:pPr>
              <w:spacing w:after="0" w:line="240" w:lineRule="auto"/>
              <w:jc w:val="center"/>
              <w:rPr>
                <w:rFonts w:eastAsia="Times New Roman" w:cstheme="minorHAnsi"/>
                <w:color w:val="000000"/>
                <w:sz w:val="14"/>
              </w:rPr>
            </w:pPr>
            <w:r w:rsidRPr="00D93D2D">
              <w:rPr>
                <w:rFonts w:eastAsia="Times New Roman" w:cstheme="minorHAnsi"/>
                <w:color w:val="000000"/>
                <w:sz w:val="14"/>
              </w:rPr>
              <w:t>10%</w:t>
            </w:r>
          </w:p>
        </w:tc>
        <w:tc>
          <w:tcPr>
            <w:tcW w:w="673" w:type="dxa"/>
            <w:tcBorders>
              <w:top w:val="nil"/>
              <w:left w:val="nil"/>
              <w:bottom w:val="single" w:sz="4" w:space="0" w:color="auto"/>
              <w:right w:val="single" w:sz="4" w:space="0" w:color="auto"/>
            </w:tcBorders>
            <w:shd w:val="clear" w:color="000000" w:fill="EDEDED"/>
            <w:vAlign w:val="center"/>
            <w:hideMark/>
          </w:tcPr>
          <w:p w14:paraId="43E61C15" w14:textId="77777777" w:rsidR="00AF70E1" w:rsidRPr="00D93D2D" w:rsidRDefault="00AF70E1" w:rsidP="00AF70E1">
            <w:pPr>
              <w:spacing w:after="0" w:line="240" w:lineRule="auto"/>
              <w:jc w:val="center"/>
              <w:rPr>
                <w:rFonts w:eastAsia="Times New Roman" w:cstheme="minorHAnsi"/>
                <w:color w:val="000000"/>
                <w:sz w:val="14"/>
              </w:rPr>
            </w:pPr>
            <w:r w:rsidRPr="00D93D2D">
              <w:rPr>
                <w:rFonts w:eastAsia="Times New Roman" w:cstheme="minorHAnsi"/>
                <w:color w:val="000000"/>
                <w:sz w:val="14"/>
              </w:rPr>
              <w:t>50%</w:t>
            </w:r>
          </w:p>
        </w:tc>
        <w:tc>
          <w:tcPr>
            <w:tcW w:w="673" w:type="dxa"/>
            <w:tcBorders>
              <w:top w:val="nil"/>
              <w:left w:val="nil"/>
              <w:bottom w:val="single" w:sz="4" w:space="0" w:color="auto"/>
              <w:right w:val="single" w:sz="4" w:space="0" w:color="auto"/>
            </w:tcBorders>
            <w:shd w:val="clear" w:color="000000" w:fill="EDEDED"/>
            <w:vAlign w:val="center"/>
            <w:hideMark/>
          </w:tcPr>
          <w:p w14:paraId="6DD02BD7" w14:textId="77777777" w:rsidR="00AF70E1" w:rsidRPr="00D93D2D" w:rsidRDefault="00AF70E1" w:rsidP="00AF70E1">
            <w:pPr>
              <w:spacing w:after="0" w:line="240" w:lineRule="auto"/>
              <w:jc w:val="center"/>
              <w:rPr>
                <w:rFonts w:eastAsia="Times New Roman" w:cstheme="minorHAnsi"/>
                <w:color w:val="000000"/>
                <w:sz w:val="14"/>
              </w:rPr>
            </w:pPr>
            <w:r w:rsidRPr="00D93D2D">
              <w:rPr>
                <w:rFonts w:eastAsia="Times New Roman" w:cstheme="minorHAnsi"/>
                <w:color w:val="000000"/>
                <w:sz w:val="14"/>
              </w:rPr>
              <w:t>100%</w:t>
            </w:r>
          </w:p>
        </w:tc>
      </w:tr>
      <w:tr w:rsidR="00AF70E1" w:rsidRPr="00D93D2D" w14:paraId="1989AFBA"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46579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w:t>
            </w:r>
          </w:p>
        </w:tc>
        <w:tc>
          <w:tcPr>
            <w:tcW w:w="684" w:type="dxa"/>
            <w:tcBorders>
              <w:top w:val="nil"/>
              <w:left w:val="nil"/>
              <w:bottom w:val="single" w:sz="4" w:space="0" w:color="auto"/>
              <w:right w:val="single" w:sz="4" w:space="0" w:color="auto"/>
            </w:tcBorders>
            <w:shd w:val="clear" w:color="auto" w:fill="auto"/>
            <w:noWrap/>
            <w:vAlign w:val="center"/>
            <w:hideMark/>
          </w:tcPr>
          <w:p w14:paraId="219C45D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032FB268"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15.33</w:t>
            </w:r>
          </w:p>
        </w:tc>
        <w:tc>
          <w:tcPr>
            <w:tcW w:w="684" w:type="dxa"/>
            <w:tcBorders>
              <w:top w:val="nil"/>
              <w:left w:val="nil"/>
              <w:bottom w:val="single" w:sz="4" w:space="0" w:color="auto"/>
              <w:right w:val="single" w:sz="4" w:space="0" w:color="auto"/>
            </w:tcBorders>
            <w:shd w:val="clear" w:color="auto" w:fill="auto"/>
            <w:noWrap/>
            <w:vAlign w:val="center"/>
            <w:hideMark/>
          </w:tcPr>
          <w:p w14:paraId="57DBF1D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0.35</w:t>
            </w:r>
          </w:p>
        </w:tc>
        <w:tc>
          <w:tcPr>
            <w:tcW w:w="673" w:type="dxa"/>
            <w:tcBorders>
              <w:top w:val="nil"/>
              <w:left w:val="nil"/>
              <w:bottom w:val="single" w:sz="4" w:space="0" w:color="auto"/>
              <w:right w:val="single" w:sz="4" w:space="0" w:color="auto"/>
            </w:tcBorders>
            <w:shd w:val="clear" w:color="auto" w:fill="auto"/>
            <w:noWrap/>
            <w:vAlign w:val="center"/>
            <w:hideMark/>
          </w:tcPr>
          <w:p w14:paraId="2BD95F1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32.81</w:t>
            </w:r>
          </w:p>
        </w:tc>
        <w:tc>
          <w:tcPr>
            <w:tcW w:w="673" w:type="dxa"/>
            <w:tcBorders>
              <w:top w:val="nil"/>
              <w:left w:val="nil"/>
              <w:bottom w:val="single" w:sz="4" w:space="0" w:color="auto"/>
              <w:right w:val="single" w:sz="4" w:space="0" w:color="auto"/>
            </w:tcBorders>
            <w:shd w:val="clear" w:color="auto" w:fill="auto"/>
            <w:noWrap/>
            <w:vAlign w:val="center"/>
            <w:hideMark/>
          </w:tcPr>
          <w:p w14:paraId="4D2280C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5.59</w:t>
            </w:r>
          </w:p>
        </w:tc>
        <w:tc>
          <w:tcPr>
            <w:tcW w:w="673" w:type="dxa"/>
            <w:tcBorders>
              <w:top w:val="nil"/>
              <w:left w:val="nil"/>
              <w:bottom w:val="single" w:sz="4" w:space="0" w:color="auto"/>
              <w:right w:val="single" w:sz="4" w:space="0" w:color="auto"/>
            </w:tcBorders>
            <w:shd w:val="clear" w:color="auto" w:fill="auto"/>
            <w:noWrap/>
            <w:vAlign w:val="center"/>
            <w:hideMark/>
          </w:tcPr>
          <w:p w14:paraId="3FB3105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w:t>
            </w:r>
          </w:p>
        </w:tc>
        <w:tc>
          <w:tcPr>
            <w:tcW w:w="673" w:type="dxa"/>
            <w:tcBorders>
              <w:top w:val="nil"/>
              <w:left w:val="nil"/>
              <w:bottom w:val="single" w:sz="4" w:space="0" w:color="auto"/>
              <w:right w:val="single" w:sz="4" w:space="0" w:color="auto"/>
            </w:tcBorders>
            <w:shd w:val="clear" w:color="auto" w:fill="auto"/>
            <w:noWrap/>
            <w:vAlign w:val="center"/>
            <w:hideMark/>
          </w:tcPr>
          <w:p w14:paraId="5386760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55.85</w:t>
            </w:r>
          </w:p>
        </w:tc>
        <w:tc>
          <w:tcPr>
            <w:tcW w:w="673" w:type="dxa"/>
            <w:tcBorders>
              <w:top w:val="nil"/>
              <w:left w:val="nil"/>
              <w:bottom w:val="single" w:sz="4" w:space="0" w:color="auto"/>
              <w:right w:val="single" w:sz="4" w:space="0" w:color="auto"/>
            </w:tcBorders>
            <w:shd w:val="clear" w:color="auto" w:fill="auto"/>
            <w:noWrap/>
            <w:vAlign w:val="center"/>
            <w:hideMark/>
          </w:tcPr>
          <w:p w14:paraId="6869D82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111.70</w:t>
            </w:r>
          </w:p>
        </w:tc>
        <w:tc>
          <w:tcPr>
            <w:tcW w:w="673" w:type="dxa"/>
            <w:tcBorders>
              <w:top w:val="nil"/>
              <w:left w:val="nil"/>
              <w:bottom w:val="single" w:sz="4" w:space="0" w:color="auto"/>
              <w:right w:val="single" w:sz="4" w:space="0" w:color="auto"/>
            </w:tcBorders>
            <w:shd w:val="clear" w:color="auto" w:fill="auto"/>
            <w:noWrap/>
            <w:vAlign w:val="center"/>
            <w:hideMark/>
          </w:tcPr>
          <w:p w14:paraId="3F956D0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16.13</w:t>
            </w:r>
          </w:p>
        </w:tc>
        <w:tc>
          <w:tcPr>
            <w:tcW w:w="673" w:type="dxa"/>
            <w:tcBorders>
              <w:top w:val="nil"/>
              <w:left w:val="nil"/>
              <w:bottom w:val="single" w:sz="4" w:space="0" w:color="auto"/>
              <w:right w:val="single" w:sz="4" w:space="0" w:color="auto"/>
            </w:tcBorders>
            <w:shd w:val="clear" w:color="auto" w:fill="auto"/>
            <w:noWrap/>
            <w:vAlign w:val="center"/>
            <w:hideMark/>
          </w:tcPr>
          <w:p w14:paraId="6284E68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32.26</w:t>
            </w:r>
          </w:p>
        </w:tc>
        <w:tc>
          <w:tcPr>
            <w:tcW w:w="673" w:type="dxa"/>
            <w:tcBorders>
              <w:top w:val="nil"/>
              <w:left w:val="nil"/>
              <w:bottom w:val="single" w:sz="4" w:space="0" w:color="auto"/>
              <w:right w:val="single" w:sz="4" w:space="0" w:color="auto"/>
            </w:tcBorders>
            <w:shd w:val="clear" w:color="auto" w:fill="auto"/>
            <w:noWrap/>
            <w:vAlign w:val="center"/>
            <w:hideMark/>
          </w:tcPr>
          <w:p w14:paraId="1F8DD23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161.32</w:t>
            </w:r>
          </w:p>
        </w:tc>
        <w:tc>
          <w:tcPr>
            <w:tcW w:w="673" w:type="dxa"/>
            <w:tcBorders>
              <w:top w:val="nil"/>
              <w:left w:val="nil"/>
              <w:bottom w:val="single" w:sz="4" w:space="0" w:color="auto"/>
              <w:right w:val="single" w:sz="4" w:space="0" w:color="auto"/>
            </w:tcBorders>
            <w:shd w:val="clear" w:color="auto" w:fill="auto"/>
            <w:noWrap/>
            <w:vAlign w:val="center"/>
            <w:hideMark/>
          </w:tcPr>
          <w:p w14:paraId="1EC57E44"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322.63</w:t>
            </w:r>
          </w:p>
        </w:tc>
      </w:tr>
      <w:tr w:rsidR="00AF70E1" w:rsidRPr="00D93D2D" w14:paraId="36371D5E"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272ED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21</w:t>
            </w:r>
          </w:p>
        </w:tc>
        <w:tc>
          <w:tcPr>
            <w:tcW w:w="684" w:type="dxa"/>
            <w:tcBorders>
              <w:top w:val="nil"/>
              <w:left w:val="nil"/>
              <w:bottom w:val="single" w:sz="4" w:space="0" w:color="auto"/>
              <w:right w:val="single" w:sz="4" w:space="0" w:color="auto"/>
            </w:tcBorders>
            <w:shd w:val="clear" w:color="auto" w:fill="auto"/>
            <w:noWrap/>
            <w:vAlign w:val="center"/>
            <w:hideMark/>
          </w:tcPr>
          <w:p w14:paraId="443BBCE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42CAAD8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30.30</w:t>
            </w:r>
          </w:p>
        </w:tc>
        <w:tc>
          <w:tcPr>
            <w:tcW w:w="684" w:type="dxa"/>
            <w:tcBorders>
              <w:top w:val="nil"/>
              <w:left w:val="nil"/>
              <w:bottom w:val="single" w:sz="4" w:space="0" w:color="auto"/>
              <w:right w:val="single" w:sz="4" w:space="0" w:color="auto"/>
            </w:tcBorders>
            <w:shd w:val="clear" w:color="auto" w:fill="auto"/>
            <w:noWrap/>
            <w:vAlign w:val="center"/>
            <w:hideMark/>
          </w:tcPr>
          <w:p w14:paraId="746F018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0.35</w:t>
            </w:r>
          </w:p>
        </w:tc>
        <w:tc>
          <w:tcPr>
            <w:tcW w:w="673" w:type="dxa"/>
            <w:tcBorders>
              <w:top w:val="nil"/>
              <w:left w:val="nil"/>
              <w:bottom w:val="single" w:sz="4" w:space="0" w:color="auto"/>
              <w:right w:val="single" w:sz="4" w:space="0" w:color="auto"/>
            </w:tcBorders>
            <w:shd w:val="clear" w:color="auto" w:fill="auto"/>
            <w:noWrap/>
            <w:vAlign w:val="center"/>
            <w:hideMark/>
          </w:tcPr>
          <w:p w14:paraId="619BA0A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64.84</w:t>
            </w:r>
          </w:p>
        </w:tc>
        <w:tc>
          <w:tcPr>
            <w:tcW w:w="673" w:type="dxa"/>
            <w:tcBorders>
              <w:top w:val="nil"/>
              <w:left w:val="nil"/>
              <w:bottom w:val="single" w:sz="4" w:space="0" w:color="auto"/>
              <w:right w:val="single" w:sz="4" w:space="0" w:color="auto"/>
            </w:tcBorders>
            <w:shd w:val="clear" w:color="auto" w:fill="auto"/>
            <w:noWrap/>
            <w:vAlign w:val="center"/>
            <w:hideMark/>
          </w:tcPr>
          <w:p w14:paraId="2A6F922B"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7.19</w:t>
            </w:r>
          </w:p>
        </w:tc>
        <w:tc>
          <w:tcPr>
            <w:tcW w:w="673" w:type="dxa"/>
            <w:tcBorders>
              <w:top w:val="nil"/>
              <w:left w:val="nil"/>
              <w:bottom w:val="single" w:sz="4" w:space="0" w:color="auto"/>
              <w:right w:val="single" w:sz="4" w:space="0" w:color="auto"/>
            </w:tcBorders>
            <w:shd w:val="clear" w:color="auto" w:fill="auto"/>
            <w:noWrap/>
            <w:vAlign w:val="center"/>
            <w:hideMark/>
          </w:tcPr>
          <w:p w14:paraId="1547517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w:t>
            </w:r>
          </w:p>
        </w:tc>
        <w:tc>
          <w:tcPr>
            <w:tcW w:w="673" w:type="dxa"/>
            <w:tcBorders>
              <w:top w:val="nil"/>
              <w:left w:val="nil"/>
              <w:bottom w:val="single" w:sz="4" w:space="0" w:color="auto"/>
              <w:right w:val="single" w:sz="4" w:space="0" w:color="auto"/>
            </w:tcBorders>
            <w:shd w:val="clear" w:color="auto" w:fill="auto"/>
            <w:noWrap/>
            <w:vAlign w:val="center"/>
            <w:hideMark/>
          </w:tcPr>
          <w:p w14:paraId="6C0E0864"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71.87</w:t>
            </w:r>
          </w:p>
        </w:tc>
        <w:tc>
          <w:tcPr>
            <w:tcW w:w="673" w:type="dxa"/>
            <w:tcBorders>
              <w:top w:val="nil"/>
              <w:left w:val="nil"/>
              <w:bottom w:val="single" w:sz="4" w:space="0" w:color="auto"/>
              <w:right w:val="single" w:sz="4" w:space="0" w:color="auto"/>
            </w:tcBorders>
            <w:shd w:val="clear" w:color="auto" w:fill="auto"/>
            <w:noWrap/>
            <w:vAlign w:val="center"/>
            <w:hideMark/>
          </w:tcPr>
          <w:p w14:paraId="7164D85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143.73</w:t>
            </w:r>
          </w:p>
        </w:tc>
        <w:tc>
          <w:tcPr>
            <w:tcW w:w="673" w:type="dxa"/>
            <w:tcBorders>
              <w:top w:val="nil"/>
              <w:left w:val="nil"/>
              <w:bottom w:val="single" w:sz="4" w:space="0" w:color="auto"/>
              <w:right w:val="single" w:sz="4" w:space="0" w:color="auto"/>
            </w:tcBorders>
            <w:shd w:val="clear" w:color="auto" w:fill="auto"/>
            <w:noWrap/>
            <w:vAlign w:val="center"/>
            <w:hideMark/>
          </w:tcPr>
          <w:p w14:paraId="44CB7C2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20.76</w:t>
            </w:r>
          </w:p>
        </w:tc>
        <w:tc>
          <w:tcPr>
            <w:tcW w:w="673" w:type="dxa"/>
            <w:tcBorders>
              <w:top w:val="nil"/>
              <w:left w:val="nil"/>
              <w:bottom w:val="single" w:sz="4" w:space="0" w:color="auto"/>
              <w:right w:val="single" w:sz="4" w:space="0" w:color="auto"/>
            </w:tcBorders>
            <w:shd w:val="clear" w:color="auto" w:fill="auto"/>
            <w:noWrap/>
            <w:vAlign w:val="center"/>
            <w:hideMark/>
          </w:tcPr>
          <w:p w14:paraId="4D66F78D"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41.51</w:t>
            </w:r>
          </w:p>
        </w:tc>
        <w:tc>
          <w:tcPr>
            <w:tcW w:w="673" w:type="dxa"/>
            <w:tcBorders>
              <w:top w:val="nil"/>
              <w:left w:val="nil"/>
              <w:bottom w:val="single" w:sz="4" w:space="0" w:color="auto"/>
              <w:right w:val="single" w:sz="4" w:space="0" w:color="auto"/>
            </w:tcBorders>
            <w:shd w:val="clear" w:color="auto" w:fill="auto"/>
            <w:noWrap/>
            <w:vAlign w:val="center"/>
            <w:hideMark/>
          </w:tcPr>
          <w:p w14:paraId="0233C11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207.57</w:t>
            </w:r>
          </w:p>
        </w:tc>
        <w:tc>
          <w:tcPr>
            <w:tcW w:w="673" w:type="dxa"/>
            <w:tcBorders>
              <w:top w:val="nil"/>
              <w:left w:val="nil"/>
              <w:bottom w:val="single" w:sz="4" w:space="0" w:color="auto"/>
              <w:right w:val="single" w:sz="4" w:space="0" w:color="auto"/>
            </w:tcBorders>
            <w:shd w:val="clear" w:color="auto" w:fill="auto"/>
            <w:noWrap/>
            <w:vAlign w:val="center"/>
            <w:hideMark/>
          </w:tcPr>
          <w:p w14:paraId="1682E27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415.14</w:t>
            </w:r>
          </w:p>
        </w:tc>
      </w:tr>
      <w:tr w:rsidR="00AF70E1" w:rsidRPr="00D93D2D" w14:paraId="76D4DD21"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6E6EB8"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31</w:t>
            </w:r>
          </w:p>
        </w:tc>
        <w:tc>
          <w:tcPr>
            <w:tcW w:w="684" w:type="dxa"/>
            <w:tcBorders>
              <w:top w:val="nil"/>
              <w:left w:val="nil"/>
              <w:bottom w:val="single" w:sz="4" w:space="0" w:color="auto"/>
              <w:right w:val="single" w:sz="4" w:space="0" w:color="auto"/>
            </w:tcBorders>
            <w:shd w:val="clear" w:color="auto" w:fill="auto"/>
            <w:noWrap/>
            <w:vAlign w:val="center"/>
            <w:hideMark/>
          </w:tcPr>
          <w:p w14:paraId="569A854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00F8A994"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39.22</w:t>
            </w:r>
          </w:p>
        </w:tc>
        <w:tc>
          <w:tcPr>
            <w:tcW w:w="684" w:type="dxa"/>
            <w:tcBorders>
              <w:top w:val="nil"/>
              <w:left w:val="nil"/>
              <w:bottom w:val="single" w:sz="4" w:space="0" w:color="auto"/>
              <w:right w:val="single" w:sz="4" w:space="0" w:color="auto"/>
            </w:tcBorders>
            <w:shd w:val="clear" w:color="auto" w:fill="auto"/>
            <w:noWrap/>
            <w:vAlign w:val="center"/>
            <w:hideMark/>
          </w:tcPr>
          <w:p w14:paraId="5E8E34A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0.35</w:t>
            </w:r>
          </w:p>
        </w:tc>
        <w:tc>
          <w:tcPr>
            <w:tcW w:w="673" w:type="dxa"/>
            <w:tcBorders>
              <w:top w:val="nil"/>
              <w:left w:val="nil"/>
              <w:bottom w:val="single" w:sz="4" w:space="0" w:color="auto"/>
              <w:right w:val="single" w:sz="4" w:space="0" w:color="auto"/>
            </w:tcBorders>
            <w:shd w:val="clear" w:color="auto" w:fill="auto"/>
            <w:noWrap/>
            <w:vAlign w:val="center"/>
            <w:hideMark/>
          </w:tcPr>
          <w:p w14:paraId="10860897"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83.93</w:t>
            </w:r>
          </w:p>
        </w:tc>
        <w:tc>
          <w:tcPr>
            <w:tcW w:w="673" w:type="dxa"/>
            <w:tcBorders>
              <w:top w:val="nil"/>
              <w:left w:val="nil"/>
              <w:bottom w:val="single" w:sz="4" w:space="0" w:color="auto"/>
              <w:right w:val="single" w:sz="4" w:space="0" w:color="auto"/>
            </w:tcBorders>
            <w:shd w:val="clear" w:color="auto" w:fill="auto"/>
            <w:noWrap/>
            <w:vAlign w:val="center"/>
            <w:hideMark/>
          </w:tcPr>
          <w:p w14:paraId="010450B7"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w:t>
            </w:r>
          </w:p>
        </w:tc>
        <w:tc>
          <w:tcPr>
            <w:tcW w:w="673" w:type="dxa"/>
            <w:tcBorders>
              <w:top w:val="nil"/>
              <w:left w:val="nil"/>
              <w:bottom w:val="single" w:sz="4" w:space="0" w:color="auto"/>
              <w:right w:val="single" w:sz="4" w:space="0" w:color="auto"/>
            </w:tcBorders>
            <w:shd w:val="clear" w:color="auto" w:fill="auto"/>
            <w:noWrap/>
            <w:vAlign w:val="center"/>
            <w:hideMark/>
          </w:tcPr>
          <w:p w14:paraId="1D99376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w:t>
            </w:r>
          </w:p>
        </w:tc>
        <w:tc>
          <w:tcPr>
            <w:tcW w:w="673" w:type="dxa"/>
            <w:tcBorders>
              <w:top w:val="nil"/>
              <w:left w:val="nil"/>
              <w:bottom w:val="single" w:sz="4" w:space="0" w:color="auto"/>
              <w:right w:val="single" w:sz="4" w:space="0" w:color="auto"/>
            </w:tcBorders>
            <w:shd w:val="clear" w:color="auto" w:fill="auto"/>
            <w:noWrap/>
            <w:vAlign w:val="center"/>
            <w:hideMark/>
          </w:tcPr>
          <w:p w14:paraId="19EE2EE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81.41</w:t>
            </w:r>
          </w:p>
        </w:tc>
        <w:tc>
          <w:tcPr>
            <w:tcW w:w="673" w:type="dxa"/>
            <w:tcBorders>
              <w:top w:val="nil"/>
              <w:left w:val="nil"/>
              <w:bottom w:val="single" w:sz="4" w:space="0" w:color="auto"/>
              <w:right w:val="single" w:sz="4" w:space="0" w:color="auto"/>
            </w:tcBorders>
            <w:shd w:val="clear" w:color="auto" w:fill="auto"/>
            <w:noWrap/>
            <w:vAlign w:val="center"/>
            <w:hideMark/>
          </w:tcPr>
          <w:p w14:paraId="618913E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162.83</w:t>
            </w:r>
          </w:p>
        </w:tc>
        <w:tc>
          <w:tcPr>
            <w:tcW w:w="673" w:type="dxa"/>
            <w:tcBorders>
              <w:top w:val="nil"/>
              <w:left w:val="nil"/>
              <w:bottom w:val="single" w:sz="4" w:space="0" w:color="auto"/>
              <w:right w:val="single" w:sz="4" w:space="0" w:color="auto"/>
            </w:tcBorders>
            <w:shd w:val="clear" w:color="auto" w:fill="auto"/>
            <w:noWrap/>
            <w:vAlign w:val="center"/>
            <w:hideMark/>
          </w:tcPr>
          <w:p w14:paraId="62CDD39B"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23.52</w:t>
            </w:r>
          </w:p>
        </w:tc>
        <w:tc>
          <w:tcPr>
            <w:tcW w:w="673" w:type="dxa"/>
            <w:tcBorders>
              <w:top w:val="nil"/>
              <w:left w:val="nil"/>
              <w:bottom w:val="single" w:sz="4" w:space="0" w:color="auto"/>
              <w:right w:val="single" w:sz="4" w:space="0" w:color="auto"/>
            </w:tcBorders>
            <w:shd w:val="clear" w:color="auto" w:fill="auto"/>
            <w:noWrap/>
            <w:vAlign w:val="center"/>
            <w:hideMark/>
          </w:tcPr>
          <w:p w14:paraId="0D3BD08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47.03</w:t>
            </w:r>
          </w:p>
        </w:tc>
        <w:tc>
          <w:tcPr>
            <w:tcW w:w="673" w:type="dxa"/>
            <w:tcBorders>
              <w:top w:val="nil"/>
              <w:left w:val="nil"/>
              <w:bottom w:val="single" w:sz="4" w:space="0" w:color="auto"/>
              <w:right w:val="single" w:sz="4" w:space="0" w:color="auto"/>
            </w:tcBorders>
            <w:shd w:val="clear" w:color="auto" w:fill="auto"/>
            <w:noWrap/>
            <w:vAlign w:val="center"/>
            <w:hideMark/>
          </w:tcPr>
          <w:p w14:paraId="4ABAAD9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235.15</w:t>
            </w:r>
          </w:p>
        </w:tc>
        <w:tc>
          <w:tcPr>
            <w:tcW w:w="673" w:type="dxa"/>
            <w:tcBorders>
              <w:top w:val="nil"/>
              <w:left w:val="nil"/>
              <w:bottom w:val="single" w:sz="4" w:space="0" w:color="auto"/>
              <w:right w:val="single" w:sz="4" w:space="0" w:color="auto"/>
            </w:tcBorders>
            <w:shd w:val="clear" w:color="auto" w:fill="auto"/>
            <w:noWrap/>
            <w:vAlign w:val="center"/>
            <w:hideMark/>
          </w:tcPr>
          <w:p w14:paraId="76A36E8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470.31</w:t>
            </w:r>
          </w:p>
        </w:tc>
      </w:tr>
      <w:tr w:rsidR="00AF70E1" w:rsidRPr="00D93D2D" w14:paraId="28670D41"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3426F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41</w:t>
            </w:r>
          </w:p>
        </w:tc>
        <w:tc>
          <w:tcPr>
            <w:tcW w:w="684" w:type="dxa"/>
            <w:tcBorders>
              <w:top w:val="nil"/>
              <w:left w:val="nil"/>
              <w:bottom w:val="single" w:sz="4" w:space="0" w:color="auto"/>
              <w:right w:val="single" w:sz="4" w:space="0" w:color="auto"/>
            </w:tcBorders>
            <w:shd w:val="clear" w:color="auto" w:fill="auto"/>
            <w:noWrap/>
            <w:vAlign w:val="bottom"/>
            <w:hideMark/>
          </w:tcPr>
          <w:p w14:paraId="6EC77B7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75D864BC"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48.74</w:t>
            </w:r>
          </w:p>
        </w:tc>
        <w:tc>
          <w:tcPr>
            <w:tcW w:w="684" w:type="dxa"/>
            <w:tcBorders>
              <w:top w:val="nil"/>
              <w:left w:val="nil"/>
              <w:bottom w:val="single" w:sz="4" w:space="0" w:color="auto"/>
              <w:right w:val="single" w:sz="4" w:space="0" w:color="auto"/>
            </w:tcBorders>
            <w:shd w:val="clear" w:color="auto" w:fill="auto"/>
            <w:noWrap/>
            <w:vAlign w:val="bottom"/>
            <w:hideMark/>
          </w:tcPr>
          <w:p w14:paraId="099D7EB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0.35</w:t>
            </w:r>
          </w:p>
        </w:tc>
        <w:tc>
          <w:tcPr>
            <w:tcW w:w="673" w:type="dxa"/>
            <w:tcBorders>
              <w:top w:val="nil"/>
              <w:left w:val="nil"/>
              <w:bottom w:val="single" w:sz="4" w:space="0" w:color="auto"/>
              <w:right w:val="single" w:sz="4" w:space="0" w:color="auto"/>
            </w:tcBorders>
            <w:shd w:val="clear" w:color="auto" w:fill="auto"/>
            <w:noWrap/>
            <w:vAlign w:val="bottom"/>
            <w:hideMark/>
          </w:tcPr>
          <w:p w14:paraId="7A128359"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104.30</w:t>
            </w:r>
          </w:p>
        </w:tc>
        <w:tc>
          <w:tcPr>
            <w:tcW w:w="673" w:type="dxa"/>
            <w:tcBorders>
              <w:top w:val="nil"/>
              <w:left w:val="nil"/>
              <w:bottom w:val="single" w:sz="4" w:space="0" w:color="auto"/>
              <w:right w:val="single" w:sz="4" w:space="0" w:color="auto"/>
            </w:tcBorders>
            <w:shd w:val="clear" w:color="auto" w:fill="auto"/>
            <w:noWrap/>
            <w:vAlign w:val="bottom"/>
            <w:hideMark/>
          </w:tcPr>
          <w:p w14:paraId="3345E3DF"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w:t>
            </w:r>
          </w:p>
        </w:tc>
        <w:tc>
          <w:tcPr>
            <w:tcW w:w="673" w:type="dxa"/>
            <w:tcBorders>
              <w:top w:val="nil"/>
              <w:left w:val="nil"/>
              <w:bottom w:val="single" w:sz="4" w:space="0" w:color="auto"/>
              <w:right w:val="single" w:sz="4" w:space="0" w:color="auto"/>
            </w:tcBorders>
            <w:shd w:val="clear" w:color="auto" w:fill="auto"/>
            <w:noWrap/>
            <w:vAlign w:val="bottom"/>
            <w:hideMark/>
          </w:tcPr>
          <w:p w14:paraId="1B43A34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18.32</w:t>
            </w:r>
          </w:p>
        </w:tc>
        <w:tc>
          <w:tcPr>
            <w:tcW w:w="673" w:type="dxa"/>
            <w:tcBorders>
              <w:top w:val="nil"/>
              <w:left w:val="nil"/>
              <w:bottom w:val="single" w:sz="4" w:space="0" w:color="auto"/>
              <w:right w:val="single" w:sz="4" w:space="0" w:color="auto"/>
            </w:tcBorders>
            <w:shd w:val="clear" w:color="auto" w:fill="auto"/>
            <w:noWrap/>
            <w:vAlign w:val="bottom"/>
            <w:hideMark/>
          </w:tcPr>
          <w:p w14:paraId="0CDB964A"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91.60</w:t>
            </w:r>
          </w:p>
        </w:tc>
        <w:tc>
          <w:tcPr>
            <w:tcW w:w="673" w:type="dxa"/>
            <w:tcBorders>
              <w:top w:val="nil"/>
              <w:left w:val="nil"/>
              <w:bottom w:val="single" w:sz="4" w:space="0" w:color="auto"/>
              <w:right w:val="single" w:sz="4" w:space="0" w:color="auto"/>
            </w:tcBorders>
            <w:shd w:val="clear" w:color="auto" w:fill="auto"/>
            <w:noWrap/>
            <w:vAlign w:val="bottom"/>
            <w:hideMark/>
          </w:tcPr>
          <w:p w14:paraId="5F2150E6"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183.19</w:t>
            </w:r>
          </w:p>
        </w:tc>
        <w:tc>
          <w:tcPr>
            <w:tcW w:w="673" w:type="dxa"/>
            <w:tcBorders>
              <w:top w:val="nil"/>
              <w:left w:val="nil"/>
              <w:bottom w:val="single" w:sz="4" w:space="0" w:color="auto"/>
              <w:right w:val="single" w:sz="4" w:space="0" w:color="auto"/>
            </w:tcBorders>
            <w:shd w:val="clear" w:color="auto" w:fill="auto"/>
            <w:noWrap/>
            <w:vAlign w:val="bottom"/>
            <w:hideMark/>
          </w:tcPr>
          <w:p w14:paraId="1C29745A"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26.46</w:t>
            </w:r>
          </w:p>
        </w:tc>
        <w:tc>
          <w:tcPr>
            <w:tcW w:w="673" w:type="dxa"/>
            <w:tcBorders>
              <w:top w:val="nil"/>
              <w:left w:val="nil"/>
              <w:bottom w:val="single" w:sz="4" w:space="0" w:color="auto"/>
              <w:right w:val="single" w:sz="4" w:space="0" w:color="auto"/>
            </w:tcBorders>
            <w:shd w:val="clear" w:color="auto" w:fill="auto"/>
            <w:noWrap/>
            <w:vAlign w:val="bottom"/>
            <w:hideMark/>
          </w:tcPr>
          <w:p w14:paraId="7D6170A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52.91</w:t>
            </w:r>
          </w:p>
        </w:tc>
        <w:tc>
          <w:tcPr>
            <w:tcW w:w="673" w:type="dxa"/>
            <w:tcBorders>
              <w:top w:val="nil"/>
              <w:left w:val="nil"/>
              <w:bottom w:val="single" w:sz="4" w:space="0" w:color="auto"/>
              <w:right w:val="single" w:sz="4" w:space="0" w:color="auto"/>
            </w:tcBorders>
            <w:shd w:val="clear" w:color="auto" w:fill="auto"/>
            <w:noWrap/>
            <w:vAlign w:val="bottom"/>
            <w:hideMark/>
          </w:tcPr>
          <w:p w14:paraId="1E2B3C8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264.56</w:t>
            </w:r>
          </w:p>
        </w:tc>
        <w:tc>
          <w:tcPr>
            <w:tcW w:w="673" w:type="dxa"/>
            <w:tcBorders>
              <w:top w:val="nil"/>
              <w:left w:val="nil"/>
              <w:bottom w:val="single" w:sz="4" w:space="0" w:color="auto"/>
              <w:right w:val="single" w:sz="4" w:space="0" w:color="auto"/>
            </w:tcBorders>
            <w:shd w:val="clear" w:color="auto" w:fill="auto"/>
            <w:noWrap/>
            <w:vAlign w:val="bottom"/>
            <w:hideMark/>
          </w:tcPr>
          <w:p w14:paraId="7BBD4E0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529.12</w:t>
            </w:r>
          </w:p>
        </w:tc>
      </w:tr>
      <w:tr w:rsidR="00AF70E1" w:rsidRPr="00D93D2D" w14:paraId="2892EB8E"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4743EC6"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51</w:t>
            </w:r>
          </w:p>
        </w:tc>
        <w:tc>
          <w:tcPr>
            <w:tcW w:w="684" w:type="dxa"/>
            <w:tcBorders>
              <w:top w:val="nil"/>
              <w:left w:val="nil"/>
              <w:bottom w:val="single" w:sz="4" w:space="0" w:color="auto"/>
              <w:right w:val="single" w:sz="4" w:space="0" w:color="auto"/>
            </w:tcBorders>
            <w:shd w:val="clear" w:color="auto" w:fill="auto"/>
            <w:noWrap/>
            <w:vAlign w:val="bottom"/>
            <w:hideMark/>
          </w:tcPr>
          <w:p w14:paraId="4A98E25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662FBDC1"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90.38</w:t>
            </w:r>
          </w:p>
        </w:tc>
        <w:tc>
          <w:tcPr>
            <w:tcW w:w="684" w:type="dxa"/>
            <w:tcBorders>
              <w:top w:val="nil"/>
              <w:left w:val="nil"/>
              <w:bottom w:val="single" w:sz="4" w:space="0" w:color="auto"/>
              <w:right w:val="single" w:sz="4" w:space="0" w:color="auto"/>
            </w:tcBorders>
            <w:shd w:val="clear" w:color="auto" w:fill="auto"/>
            <w:noWrap/>
            <w:vAlign w:val="bottom"/>
            <w:hideMark/>
          </w:tcPr>
          <w:p w14:paraId="508F7E0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0.35</w:t>
            </w:r>
          </w:p>
        </w:tc>
        <w:tc>
          <w:tcPr>
            <w:tcW w:w="673" w:type="dxa"/>
            <w:tcBorders>
              <w:top w:val="nil"/>
              <w:left w:val="nil"/>
              <w:bottom w:val="single" w:sz="4" w:space="0" w:color="auto"/>
              <w:right w:val="single" w:sz="4" w:space="0" w:color="auto"/>
            </w:tcBorders>
            <w:shd w:val="clear" w:color="auto" w:fill="auto"/>
            <w:noWrap/>
            <w:vAlign w:val="bottom"/>
            <w:hideMark/>
          </w:tcPr>
          <w:p w14:paraId="2BE21E52"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193.41</w:t>
            </w:r>
          </w:p>
        </w:tc>
        <w:tc>
          <w:tcPr>
            <w:tcW w:w="673" w:type="dxa"/>
            <w:tcBorders>
              <w:top w:val="nil"/>
              <w:left w:val="nil"/>
              <w:bottom w:val="single" w:sz="4" w:space="0" w:color="auto"/>
              <w:right w:val="single" w:sz="4" w:space="0" w:color="auto"/>
            </w:tcBorders>
            <w:shd w:val="clear" w:color="auto" w:fill="auto"/>
            <w:noWrap/>
            <w:vAlign w:val="bottom"/>
            <w:hideMark/>
          </w:tcPr>
          <w:p w14:paraId="1CB1F27A"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13.62</w:t>
            </w:r>
          </w:p>
        </w:tc>
        <w:tc>
          <w:tcPr>
            <w:tcW w:w="673" w:type="dxa"/>
            <w:tcBorders>
              <w:top w:val="nil"/>
              <w:left w:val="nil"/>
              <w:bottom w:val="single" w:sz="4" w:space="0" w:color="auto"/>
              <w:right w:val="single" w:sz="4" w:space="0" w:color="auto"/>
            </w:tcBorders>
            <w:shd w:val="clear" w:color="auto" w:fill="auto"/>
            <w:noWrap/>
            <w:vAlign w:val="bottom"/>
            <w:hideMark/>
          </w:tcPr>
          <w:p w14:paraId="71AFFF1E"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w:t>
            </w:r>
          </w:p>
        </w:tc>
        <w:tc>
          <w:tcPr>
            <w:tcW w:w="673" w:type="dxa"/>
            <w:tcBorders>
              <w:top w:val="nil"/>
              <w:left w:val="nil"/>
              <w:bottom w:val="single" w:sz="4" w:space="0" w:color="auto"/>
              <w:right w:val="single" w:sz="4" w:space="0" w:color="auto"/>
            </w:tcBorders>
            <w:shd w:val="clear" w:color="auto" w:fill="auto"/>
            <w:noWrap/>
            <w:vAlign w:val="bottom"/>
            <w:hideMark/>
          </w:tcPr>
          <w:p w14:paraId="07DB291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136.15</w:t>
            </w:r>
          </w:p>
        </w:tc>
        <w:tc>
          <w:tcPr>
            <w:tcW w:w="673" w:type="dxa"/>
            <w:tcBorders>
              <w:top w:val="nil"/>
              <w:left w:val="nil"/>
              <w:bottom w:val="single" w:sz="4" w:space="0" w:color="auto"/>
              <w:right w:val="single" w:sz="4" w:space="0" w:color="auto"/>
            </w:tcBorders>
            <w:shd w:val="clear" w:color="auto" w:fill="auto"/>
            <w:noWrap/>
            <w:vAlign w:val="bottom"/>
            <w:hideMark/>
          </w:tcPr>
          <w:p w14:paraId="7DC36516"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272.30</w:t>
            </w:r>
          </w:p>
        </w:tc>
        <w:tc>
          <w:tcPr>
            <w:tcW w:w="673" w:type="dxa"/>
            <w:tcBorders>
              <w:top w:val="nil"/>
              <w:left w:val="nil"/>
              <w:bottom w:val="single" w:sz="4" w:space="0" w:color="auto"/>
              <w:right w:val="single" w:sz="4" w:space="0" w:color="auto"/>
            </w:tcBorders>
            <w:shd w:val="clear" w:color="auto" w:fill="auto"/>
            <w:noWrap/>
            <w:vAlign w:val="bottom"/>
            <w:hideMark/>
          </w:tcPr>
          <w:p w14:paraId="4C09FD1F"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39.33</w:t>
            </w:r>
          </w:p>
        </w:tc>
        <w:tc>
          <w:tcPr>
            <w:tcW w:w="673" w:type="dxa"/>
            <w:tcBorders>
              <w:top w:val="nil"/>
              <w:left w:val="nil"/>
              <w:bottom w:val="single" w:sz="4" w:space="0" w:color="auto"/>
              <w:right w:val="single" w:sz="4" w:space="0" w:color="auto"/>
            </w:tcBorders>
            <w:shd w:val="clear" w:color="auto" w:fill="auto"/>
            <w:noWrap/>
            <w:vAlign w:val="bottom"/>
            <w:hideMark/>
          </w:tcPr>
          <w:p w14:paraId="3640591E"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78.65</w:t>
            </w:r>
          </w:p>
        </w:tc>
        <w:tc>
          <w:tcPr>
            <w:tcW w:w="673" w:type="dxa"/>
            <w:tcBorders>
              <w:top w:val="nil"/>
              <w:left w:val="nil"/>
              <w:bottom w:val="single" w:sz="4" w:space="0" w:color="auto"/>
              <w:right w:val="single" w:sz="4" w:space="0" w:color="auto"/>
            </w:tcBorders>
            <w:shd w:val="clear" w:color="auto" w:fill="auto"/>
            <w:noWrap/>
            <w:vAlign w:val="bottom"/>
            <w:hideMark/>
          </w:tcPr>
          <w:p w14:paraId="5DA798FB"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393.25</w:t>
            </w:r>
          </w:p>
        </w:tc>
        <w:tc>
          <w:tcPr>
            <w:tcW w:w="673" w:type="dxa"/>
            <w:tcBorders>
              <w:top w:val="nil"/>
              <w:left w:val="nil"/>
              <w:bottom w:val="single" w:sz="4" w:space="0" w:color="auto"/>
              <w:right w:val="single" w:sz="4" w:space="0" w:color="auto"/>
            </w:tcBorders>
            <w:shd w:val="clear" w:color="auto" w:fill="auto"/>
            <w:noWrap/>
            <w:vAlign w:val="bottom"/>
            <w:hideMark/>
          </w:tcPr>
          <w:p w14:paraId="01A4C129"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786.51</w:t>
            </w:r>
          </w:p>
        </w:tc>
      </w:tr>
      <w:tr w:rsidR="00AF70E1" w:rsidRPr="00D93D2D" w14:paraId="4D5EDD27"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63802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12</w:t>
            </w:r>
          </w:p>
        </w:tc>
        <w:tc>
          <w:tcPr>
            <w:tcW w:w="684" w:type="dxa"/>
            <w:tcBorders>
              <w:top w:val="nil"/>
              <w:left w:val="nil"/>
              <w:bottom w:val="single" w:sz="4" w:space="0" w:color="auto"/>
              <w:right w:val="single" w:sz="4" w:space="0" w:color="auto"/>
            </w:tcBorders>
            <w:shd w:val="clear" w:color="auto" w:fill="auto"/>
            <w:noWrap/>
            <w:vAlign w:val="center"/>
            <w:hideMark/>
          </w:tcPr>
          <w:p w14:paraId="2F37334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73B7700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15.33</w:t>
            </w:r>
          </w:p>
        </w:tc>
        <w:tc>
          <w:tcPr>
            <w:tcW w:w="684" w:type="dxa"/>
            <w:tcBorders>
              <w:top w:val="nil"/>
              <w:left w:val="nil"/>
              <w:bottom w:val="single" w:sz="4" w:space="0" w:color="auto"/>
              <w:right w:val="single" w:sz="4" w:space="0" w:color="auto"/>
            </w:tcBorders>
            <w:shd w:val="clear" w:color="auto" w:fill="auto"/>
            <w:noWrap/>
            <w:vAlign w:val="center"/>
            <w:hideMark/>
          </w:tcPr>
          <w:p w14:paraId="5F52232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10.39</w:t>
            </w:r>
          </w:p>
        </w:tc>
        <w:tc>
          <w:tcPr>
            <w:tcW w:w="673" w:type="dxa"/>
            <w:tcBorders>
              <w:top w:val="nil"/>
              <w:left w:val="nil"/>
              <w:bottom w:val="single" w:sz="4" w:space="0" w:color="auto"/>
              <w:right w:val="single" w:sz="4" w:space="0" w:color="auto"/>
            </w:tcBorders>
            <w:shd w:val="clear" w:color="auto" w:fill="auto"/>
            <w:noWrap/>
            <w:vAlign w:val="center"/>
            <w:hideMark/>
          </w:tcPr>
          <w:p w14:paraId="6D1ABC5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32.81</w:t>
            </w:r>
          </w:p>
        </w:tc>
        <w:tc>
          <w:tcPr>
            <w:tcW w:w="673" w:type="dxa"/>
            <w:tcBorders>
              <w:top w:val="nil"/>
              <w:left w:val="nil"/>
              <w:bottom w:val="single" w:sz="4" w:space="0" w:color="auto"/>
              <w:right w:val="single" w:sz="4" w:space="0" w:color="auto"/>
            </w:tcBorders>
            <w:shd w:val="clear" w:color="auto" w:fill="auto"/>
            <w:noWrap/>
            <w:vAlign w:val="center"/>
            <w:hideMark/>
          </w:tcPr>
          <w:p w14:paraId="35B96D5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5.59</w:t>
            </w:r>
          </w:p>
        </w:tc>
        <w:tc>
          <w:tcPr>
            <w:tcW w:w="673" w:type="dxa"/>
            <w:tcBorders>
              <w:top w:val="nil"/>
              <w:left w:val="nil"/>
              <w:bottom w:val="single" w:sz="4" w:space="0" w:color="auto"/>
              <w:right w:val="single" w:sz="4" w:space="0" w:color="auto"/>
            </w:tcBorders>
            <w:shd w:val="clear" w:color="auto" w:fill="auto"/>
            <w:noWrap/>
            <w:vAlign w:val="center"/>
            <w:hideMark/>
          </w:tcPr>
          <w:p w14:paraId="25A5758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w:t>
            </w:r>
          </w:p>
        </w:tc>
        <w:tc>
          <w:tcPr>
            <w:tcW w:w="673" w:type="dxa"/>
            <w:tcBorders>
              <w:top w:val="nil"/>
              <w:left w:val="nil"/>
              <w:bottom w:val="single" w:sz="4" w:space="0" w:color="auto"/>
              <w:right w:val="single" w:sz="4" w:space="0" w:color="auto"/>
            </w:tcBorders>
            <w:shd w:val="clear" w:color="auto" w:fill="auto"/>
            <w:noWrap/>
            <w:vAlign w:val="center"/>
            <w:hideMark/>
          </w:tcPr>
          <w:p w14:paraId="5799C53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55.85</w:t>
            </w:r>
          </w:p>
        </w:tc>
        <w:tc>
          <w:tcPr>
            <w:tcW w:w="673" w:type="dxa"/>
            <w:tcBorders>
              <w:top w:val="nil"/>
              <w:left w:val="nil"/>
              <w:bottom w:val="single" w:sz="4" w:space="0" w:color="auto"/>
              <w:right w:val="single" w:sz="4" w:space="0" w:color="auto"/>
            </w:tcBorders>
            <w:shd w:val="clear" w:color="auto" w:fill="auto"/>
            <w:noWrap/>
            <w:vAlign w:val="center"/>
            <w:hideMark/>
          </w:tcPr>
          <w:p w14:paraId="412F58F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111.70</w:t>
            </w:r>
          </w:p>
        </w:tc>
        <w:tc>
          <w:tcPr>
            <w:tcW w:w="673" w:type="dxa"/>
            <w:tcBorders>
              <w:top w:val="nil"/>
              <w:left w:val="nil"/>
              <w:bottom w:val="single" w:sz="4" w:space="0" w:color="auto"/>
              <w:right w:val="single" w:sz="4" w:space="0" w:color="auto"/>
            </w:tcBorders>
            <w:shd w:val="clear" w:color="auto" w:fill="auto"/>
            <w:noWrap/>
            <w:vAlign w:val="center"/>
            <w:hideMark/>
          </w:tcPr>
          <w:p w14:paraId="50741BD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0.54</w:t>
            </w:r>
          </w:p>
        </w:tc>
        <w:tc>
          <w:tcPr>
            <w:tcW w:w="673" w:type="dxa"/>
            <w:tcBorders>
              <w:top w:val="nil"/>
              <w:left w:val="nil"/>
              <w:bottom w:val="single" w:sz="4" w:space="0" w:color="auto"/>
              <w:right w:val="single" w:sz="4" w:space="0" w:color="auto"/>
            </w:tcBorders>
            <w:shd w:val="clear" w:color="auto" w:fill="auto"/>
            <w:noWrap/>
            <w:vAlign w:val="center"/>
            <w:hideMark/>
          </w:tcPr>
          <w:p w14:paraId="115C345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1.08</w:t>
            </w:r>
          </w:p>
        </w:tc>
        <w:tc>
          <w:tcPr>
            <w:tcW w:w="673" w:type="dxa"/>
            <w:tcBorders>
              <w:top w:val="nil"/>
              <w:left w:val="nil"/>
              <w:bottom w:val="single" w:sz="4" w:space="0" w:color="auto"/>
              <w:right w:val="single" w:sz="4" w:space="0" w:color="auto"/>
            </w:tcBorders>
            <w:shd w:val="clear" w:color="auto" w:fill="auto"/>
            <w:noWrap/>
            <w:vAlign w:val="center"/>
            <w:hideMark/>
          </w:tcPr>
          <w:p w14:paraId="194F9F8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5.38</w:t>
            </w:r>
          </w:p>
        </w:tc>
        <w:tc>
          <w:tcPr>
            <w:tcW w:w="673" w:type="dxa"/>
            <w:tcBorders>
              <w:top w:val="nil"/>
              <w:left w:val="nil"/>
              <w:bottom w:val="single" w:sz="4" w:space="0" w:color="auto"/>
              <w:right w:val="single" w:sz="4" w:space="0" w:color="auto"/>
            </w:tcBorders>
            <w:shd w:val="clear" w:color="auto" w:fill="auto"/>
            <w:noWrap/>
            <w:vAlign w:val="center"/>
            <w:hideMark/>
          </w:tcPr>
          <w:p w14:paraId="1EA8D0C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10.75</w:t>
            </w:r>
          </w:p>
        </w:tc>
      </w:tr>
      <w:tr w:rsidR="00AF70E1" w:rsidRPr="00D93D2D" w14:paraId="091D175F"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57001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22</w:t>
            </w:r>
          </w:p>
        </w:tc>
        <w:tc>
          <w:tcPr>
            <w:tcW w:w="684" w:type="dxa"/>
            <w:tcBorders>
              <w:top w:val="nil"/>
              <w:left w:val="nil"/>
              <w:bottom w:val="single" w:sz="4" w:space="0" w:color="auto"/>
              <w:right w:val="single" w:sz="4" w:space="0" w:color="auto"/>
            </w:tcBorders>
            <w:shd w:val="clear" w:color="auto" w:fill="auto"/>
            <w:noWrap/>
            <w:vAlign w:val="center"/>
            <w:hideMark/>
          </w:tcPr>
          <w:p w14:paraId="63ABC49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4FA23C0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30.30</w:t>
            </w:r>
          </w:p>
        </w:tc>
        <w:tc>
          <w:tcPr>
            <w:tcW w:w="684" w:type="dxa"/>
            <w:tcBorders>
              <w:top w:val="nil"/>
              <w:left w:val="nil"/>
              <w:bottom w:val="single" w:sz="4" w:space="0" w:color="auto"/>
              <w:right w:val="single" w:sz="4" w:space="0" w:color="auto"/>
            </w:tcBorders>
            <w:shd w:val="clear" w:color="auto" w:fill="auto"/>
            <w:noWrap/>
            <w:vAlign w:val="center"/>
            <w:hideMark/>
          </w:tcPr>
          <w:p w14:paraId="1DE5006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10.39</w:t>
            </w:r>
          </w:p>
        </w:tc>
        <w:tc>
          <w:tcPr>
            <w:tcW w:w="673" w:type="dxa"/>
            <w:tcBorders>
              <w:top w:val="nil"/>
              <w:left w:val="nil"/>
              <w:bottom w:val="single" w:sz="4" w:space="0" w:color="auto"/>
              <w:right w:val="single" w:sz="4" w:space="0" w:color="auto"/>
            </w:tcBorders>
            <w:shd w:val="clear" w:color="auto" w:fill="auto"/>
            <w:noWrap/>
            <w:vAlign w:val="center"/>
            <w:hideMark/>
          </w:tcPr>
          <w:p w14:paraId="754E3E6B"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64.84</w:t>
            </w:r>
          </w:p>
        </w:tc>
        <w:tc>
          <w:tcPr>
            <w:tcW w:w="673" w:type="dxa"/>
            <w:tcBorders>
              <w:top w:val="nil"/>
              <w:left w:val="nil"/>
              <w:bottom w:val="single" w:sz="4" w:space="0" w:color="auto"/>
              <w:right w:val="single" w:sz="4" w:space="0" w:color="auto"/>
            </w:tcBorders>
            <w:shd w:val="clear" w:color="auto" w:fill="auto"/>
            <w:noWrap/>
            <w:vAlign w:val="center"/>
            <w:hideMark/>
          </w:tcPr>
          <w:p w14:paraId="55BD937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7.19</w:t>
            </w:r>
          </w:p>
        </w:tc>
        <w:tc>
          <w:tcPr>
            <w:tcW w:w="673" w:type="dxa"/>
            <w:tcBorders>
              <w:top w:val="nil"/>
              <w:left w:val="nil"/>
              <w:bottom w:val="single" w:sz="4" w:space="0" w:color="auto"/>
              <w:right w:val="single" w:sz="4" w:space="0" w:color="auto"/>
            </w:tcBorders>
            <w:shd w:val="clear" w:color="auto" w:fill="auto"/>
            <w:noWrap/>
            <w:vAlign w:val="center"/>
            <w:hideMark/>
          </w:tcPr>
          <w:p w14:paraId="64D03618"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w:t>
            </w:r>
          </w:p>
        </w:tc>
        <w:tc>
          <w:tcPr>
            <w:tcW w:w="673" w:type="dxa"/>
            <w:tcBorders>
              <w:top w:val="nil"/>
              <w:left w:val="nil"/>
              <w:bottom w:val="single" w:sz="4" w:space="0" w:color="auto"/>
              <w:right w:val="single" w:sz="4" w:space="0" w:color="auto"/>
            </w:tcBorders>
            <w:shd w:val="clear" w:color="auto" w:fill="auto"/>
            <w:noWrap/>
            <w:vAlign w:val="center"/>
            <w:hideMark/>
          </w:tcPr>
          <w:p w14:paraId="22B8111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71.87</w:t>
            </w:r>
          </w:p>
        </w:tc>
        <w:tc>
          <w:tcPr>
            <w:tcW w:w="673" w:type="dxa"/>
            <w:tcBorders>
              <w:top w:val="nil"/>
              <w:left w:val="nil"/>
              <w:bottom w:val="single" w:sz="4" w:space="0" w:color="auto"/>
              <w:right w:val="single" w:sz="4" w:space="0" w:color="auto"/>
            </w:tcBorders>
            <w:shd w:val="clear" w:color="auto" w:fill="auto"/>
            <w:noWrap/>
            <w:vAlign w:val="center"/>
            <w:hideMark/>
          </w:tcPr>
          <w:p w14:paraId="0A742EB8"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143.73</w:t>
            </w:r>
          </w:p>
        </w:tc>
        <w:tc>
          <w:tcPr>
            <w:tcW w:w="673" w:type="dxa"/>
            <w:tcBorders>
              <w:top w:val="nil"/>
              <w:left w:val="nil"/>
              <w:bottom w:val="single" w:sz="4" w:space="0" w:color="auto"/>
              <w:right w:val="single" w:sz="4" w:space="0" w:color="auto"/>
            </w:tcBorders>
            <w:shd w:val="clear" w:color="auto" w:fill="auto"/>
            <w:noWrap/>
            <w:vAlign w:val="center"/>
            <w:hideMark/>
          </w:tcPr>
          <w:p w14:paraId="26310563"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0.69</w:t>
            </w:r>
          </w:p>
        </w:tc>
        <w:tc>
          <w:tcPr>
            <w:tcW w:w="673" w:type="dxa"/>
            <w:tcBorders>
              <w:top w:val="nil"/>
              <w:left w:val="nil"/>
              <w:bottom w:val="single" w:sz="4" w:space="0" w:color="auto"/>
              <w:right w:val="single" w:sz="4" w:space="0" w:color="auto"/>
            </w:tcBorders>
            <w:shd w:val="clear" w:color="auto" w:fill="auto"/>
            <w:noWrap/>
            <w:vAlign w:val="center"/>
            <w:hideMark/>
          </w:tcPr>
          <w:p w14:paraId="41A877D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1.38</w:t>
            </w:r>
          </w:p>
        </w:tc>
        <w:tc>
          <w:tcPr>
            <w:tcW w:w="673" w:type="dxa"/>
            <w:tcBorders>
              <w:top w:val="nil"/>
              <w:left w:val="nil"/>
              <w:bottom w:val="single" w:sz="4" w:space="0" w:color="auto"/>
              <w:right w:val="single" w:sz="4" w:space="0" w:color="auto"/>
            </w:tcBorders>
            <w:shd w:val="clear" w:color="auto" w:fill="auto"/>
            <w:noWrap/>
            <w:vAlign w:val="center"/>
            <w:hideMark/>
          </w:tcPr>
          <w:p w14:paraId="7709400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6.92</w:t>
            </w:r>
          </w:p>
        </w:tc>
        <w:tc>
          <w:tcPr>
            <w:tcW w:w="673" w:type="dxa"/>
            <w:tcBorders>
              <w:top w:val="nil"/>
              <w:left w:val="nil"/>
              <w:bottom w:val="single" w:sz="4" w:space="0" w:color="auto"/>
              <w:right w:val="single" w:sz="4" w:space="0" w:color="auto"/>
            </w:tcBorders>
            <w:shd w:val="clear" w:color="auto" w:fill="auto"/>
            <w:noWrap/>
            <w:vAlign w:val="center"/>
            <w:hideMark/>
          </w:tcPr>
          <w:p w14:paraId="38EA21BD"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13.84</w:t>
            </w:r>
          </w:p>
        </w:tc>
      </w:tr>
      <w:tr w:rsidR="00AF70E1" w:rsidRPr="00D93D2D" w14:paraId="61A082C6"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164478"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32</w:t>
            </w:r>
          </w:p>
        </w:tc>
        <w:tc>
          <w:tcPr>
            <w:tcW w:w="684" w:type="dxa"/>
            <w:tcBorders>
              <w:top w:val="nil"/>
              <w:left w:val="nil"/>
              <w:bottom w:val="single" w:sz="4" w:space="0" w:color="auto"/>
              <w:right w:val="single" w:sz="4" w:space="0" w:color="auto"/>
            </w:tcBorders>
            <w:shd w:val="clear" w:color="auto" w:fill="auto"/>
            <w:noWrap/>
            <w:vAlign w:val="center"/>
            <w:hideMark/>
          </w:tcPr>
          <w:p w14:paraId="3D4D88D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62873A07"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39.22</w:t>
            </w:r>
          </w:p>
        </w:tc>
        <w:tc>
          <w:tcPr>
            <w:tcW w:w="684" w:type="dxa"/>
            <w:tcBorders>
              <w:top w:val="nil"/>
              <w:left w:val="nil"/>
              <w:bottom w:val="single" w:sz="4" w:space="0" w:color="auto"/>
              <w:right w:val="single" w:sz="4" w:space="0" w:color="auto"/>
            </w:tcBorders>
            <w:shd w:val="clear" w:color="auto" w:fill="auto"/>
            <w:noWrap/>
            <w:vAlign w:val="center"/>
            <w:hideMark/>
          </w:tcPr>
          <w:p w14:paraId="78CA18E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10.39</w:t>
            </w:r>
          </w:p>
        </w:tc>
        <w:tc>
          <w:tcPr>
            <w:tcW w:w="673" w:type="dxa"/>
            <w:tcBorders>
              <w:top w:val="nil"/>
              <w:left w:val="nil"/>
              <w:bottom w:val="single" w:sz="4" w:space="0" w:color="auto"/>
              <w:right w:val="single" w:sz="4" w:space="0" w:color="auto"/>
            </w:tcBorders>
            <w:shd w:val="clear" w:color="auto" w:fill="auto"/>
            <w:noWrap/>
            <w:vAlign w:val="center"/>
            <w:hideMark/>
          </w:tcPr>
          <w:p w14:paraId="7C2A212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83.93</w:t>
            </w:r>
          </w:p>
        </w:tc>
        <w:tc>
          <w:tcPr>
            <w:tcW w:w="673" w:type="dxa"/>
            <w:tcBorders>
              <w:top w:val="nil"/>
              <w:left w:val="nil"/>
              <w:bottom w:val="single" w:sz="4" w:space="0" w:color="auto"/>
              <w:right w:val="single" w:sz="4" w:space="0" w:color="auto"/>
            </w:tcBorders>
            <w:shd w:val="clear" w:color="auto" w:fill="auto"/>
            <w:noWrap/>
            <w:vAlign w:val="center"/>
            <w:hideMark/>
          </w:tcPr>
          <w:p w14:paraId="7746705D"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w:t>
            </w:r>
          </w:p>
        </w:tc>
        <w:tc>
          <w:tcPr>
            <w:tcW w:w="673" w:type="dxa"/>
            <w:tcBorders>
              <w:top w:val="nil"/>
              <w:left w:val="nil"/>
              <w:bottom w:val="single" w:sz="4" w:space="0" w:color="auto"/>
              <w:right w:val="single" w:sz="4" w:space="0" w:color="auto"/>
            </w:tcBorders>
            <w:shd w:val="clear" w:color="auto" w:fill="auto"/>
            <w:noWrap/>
            <w:vAlign w:val="center"/>
            <w:hideMark/>
          </w:tcPr>
          <w:p w14:paraId="64519D9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w:t>
            </w:r>
          </w:p>
        </w:tc>
        <w:tc>
          <w:tcPr>
            <w:tcW w:w="673" w:type="dxa"/>
            <w:tcBorders>
              <w:top w:val="nil"/>
              <w:left w:val="nil"/>
              <w:bottom w:val="single" w:sz="4" w:space="0" w:color="auto"/>
              <w:right w:val="single" w:sz="4" w:space="0" w:color="auto"/>
            </w:tcBorders>
            <w:shd w:val="clear" w:color="auto" w:fill="auto"/>
            <w:noWrap/>
            <w:vAlign w:val="center"/>
            <w:hideMark/>
          </w:tcPr>
          <w:p w14:paraId="2A1782C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81.41</w:t>
            </w:r>
          </w:p>
        </w:tc>
        <w:tc>
          <w:tcPr>
            <w:tcW w:w="673" w:type="dxa"/>
            <w:tcBorders>
              <w:top w:val="nil"/>
              <w:left w:val="nil"/>
              <w:bottom w:val="single" w:sz="4" w:space="0" w:color="auto"/>
              <w:right w:val="single" w:sz="4" w:space="0" w:color="auto"/>
            </w:tcBorders>
            <w:shd w:val="clear" w:color="auto" w:fill="auto"/>
            <w:noWrap/>
            <w:vAlign w:val="center"/>
            <w:hideMark/>
          </w:tcPr>
          <w:p w14:paraId="630196E3"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162.83</w:t>
            </w:r>
          </w:p>
        </w:tc>
        <w:tc>
          <w:tcPr>
            <w:tcW w:w="673" w:type="dxa"/>
            <w:tcBorders>
              <w:top w:val="nil"/>
              <w:left w:val="nil"/>
              <w:bottom w:val="single" w:sz="4" w:space="0" w:color="auto"/>
              <w:right w:val="single" w:sz="4" w:space="0" w:color="auto"/>
            </w:tcBorders>
            <w:shd w:val="clear" w:color="auto" w:fill="auto"/>
            <w:noWrap/>
            <w:vAlign w:val="center"/>
            <w:hideMark/>
          </w:tcPr>
          <w:p w14:paraId="4F0666F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0.78</w:t>
            </w:r>
          </w:p>
        </w:tc>
        <w:tc>
          <w:tcPr>
            <w:tcW w:w="673" w:type="dxa"/>
            <w:tcBorders>
              <w:top w:val="nil"/>
              <w:left w:val="nil"/>
              <w:bottom w:val="single" w:sz="4" w:space="0" w:color="auto"/>
              <w:right w:val="single" w:sz="4" w:space="0" w:color="auto"/>
            </w:tcBorders>
            <w:shd w:val="clear" w:color="auto" w:fill="auto"/>
            <w:noWrap/>
            <w:vAlign w:val="center"/>
            <w:hideMark/>
          </w:tcPr>
          <w:p w14:paraId="43A81BA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1.57</w:t>
            </w:r>
          </w:p>
        </w:tc>
        <w:tc>
          <w:tcPr>
            <w:tcW w:w="673" w:type="dxa"/>
            <w:tcBorders>
              <w:top w:val="nil"/>
              <w:left w:val="nil"/>
              <w:bottom w:val="single" w:sz="4" w:space="0" w:color="auto"/>
              <w:right w:val="single" w:sz="4" w:space="0" w:color="auto"/>
            </w:tcBorders>
            <w:shd w:val="clear" w:color="auto" w:fill="auto"/>
            <w:noWrap/>
            <w:vAlign w:val="center"/>
            <w:hideMark/>
          </w:tcPr>
          <w:p w14:paraId="23395898"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7.84</w:t>
            </w:r>
          </w:p>
        </w:tc>
        <w:tc>
          <w:tcPr>
            <w:tcW w:w="673" w:type="dxa"/>
            <w:tcBorders>
              <w:top w:val="nil"/>
              <w:left w:val="nil"/>
              <w:bottom w:val="single" w:sz="4" w:space="0" w:color="auto"/>
              <w:right w:val="single" w:sz="4" w:space="0" w:color="auto"/>
            </w:tcBorders>
            <w:shd w:val="clear" w:color="auto" w:fill="auto"/>
            <w:noWrap/>
            <w:vAlign w:val="center"/>
            <w:hideMark/>
          </w:tcPr>
          <w:p w14:paraId="6A0875E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15.68</w:t>
            </w:r>
          </w:p>
        </w:tc>
      </w:tr>
      <w:tr w:rsidR="00AF70E1" w:rsidRPr="00D93D2D" w14:paraId="79AA727A"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5C5CDEE"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42</w:t>
            </w:r>
          </w:p>
        </w:tc>
        <w:tc>
          <w:tcPr>
            <w:tcW w:w="684" w:type="dxa"/>
            <w:tcBorders>
              <w:top w:val="nil"/>
              <w:left w:val="nil"/>
              <w:bottom w:val="single" w:sz="4" w:space="0" w:color="auto"/>
              <w:right w:val="single" w:sz="4" w:space="0" w:color="auto"/>
            </w:tcBorders>
            <w:shd w:val="clear" w:color="auto" w:fill="auto"/>
            <w:noWrap/>
            <w:vAlign w:val="bottom"/>
            <w:hideMark/>
          </w:tcPr>
          <w:p w14:paraId="707A01CB"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13A3BCE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48.74</w:t>
            </w:r>
          </w:p>
        </w:tc>
        <w:tc>
          <w:tcPr>
            <w:tcW w:w="684" w:type="dxa"/>
            <w:tcBorders>
              <w:top w:val="nil"/>
              <w:left w:val="nil"/>
              <w:bottom w:val="single" w:sz="4" w:space="0" w:color="auto"/>
              <w:right w:val="single" w:sz="4" w:space="0" w:color="auto"/>
            </w:tcBorders>
            <w:shd w:val="clear" w:color="auto" w:fill="auto"/>
            <w:noWrap/>
            <w:vAlign w:val="bottom"/>
            <w:hideMark/>
          </w:tcPr>
          <w:p w14:paraId="0B9218ED"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10.39</w:t>
            </w:r>
          </w:p>
        </w:tc>
        <w:tc>
          <w:tcPr>
            <w:tcW w:w="673" w:type="dxa"/>
            <w:tcBorders>
              <w:top w:val="nil"/>
              <w:left w:val="nil"/>
              <w:bottom w:val="single" w:sz="4" w:space="0" w:color="auto"/>
              <w:right w:val="single" w:sz="4" w:space="0" w:color="auto"/>
            </w:tcBorders>
            <w:shd w:val="clear" w:color="auto" w:fill="auto"/>
            <w:noWrap/>
            <w:vAlign w:val="bottom"/>
            <w:hideMark/>
          </w:tcPr>
          <w:p w14:paraId="7ED2E202"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104.30</w:t>
            </w:r>
          </w:p>
        </w:tc>
        <w:tc>
          <w:tcPr>
            <w:tcW w:w="673" w:type="dxa"/>
            <w:tcBorders>
              <w:top w:val="nil"/>
              <w:left w:val="nil"/>
              <w:bottom w:val="single" w:sz="4" w:space="0" w:color="auto"/>
              <w:right w:val="single" w:sz="4" w:space="0" w:color="auto"/>
            </w:tcBorders>
            <w:shd w:val="clear" w:color="auto" w:fill="auto"/>
            <w:noWrap/>
            <w:vAlign w:val="bottom"/>
            <w:hideMark/>
          </w:tcPr>
          <w:p w14:paraId="7B35637B"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w:t>
            </w:r>
          </w:p>
        </w:tc>
        <w:tc>
          <w:tcPr>
            <w:tcW w:w="673" w:type="dxa"/>
            <w:tcBorders>
              <w:top w:val="nil"/>
              <w:left w:val="nil"/>
              <w:bottom w:val="single" w:sz="4" w:space="0" w:color="auto"/>
              <w:right w:val="single" w:sz="4" w:space="0" w:color="auto"/>
            </w:tcBorders>
            <w:shd w:val="clear" w:color="auto" w:fill="auto"/>
            <w:noWrap/>
            <w:vAlign w:val="bottom"/>
            <w:hideMark/>
          </w:tcPr>
          <w:p w14:paraId="4A36502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18.32</w:t>
            </w:r>
          </w:p>
        </w:tc>
        <w:tc>
          <w:tcPr>
            <w:tcW w:w="673" w:type="dxa"/>
            <w:tcBorders>
              <w:top w:val="nil"/>
              <w:left w:val="nil"/>
              <w:bottom w:val="single" w:sz="4" w:space="0" w:color="auto"/>
              <w:right w:val="single" w:sz="4" w:space="0" w:color="auto"/>
            </w:tcBorders>
            <w:shd w:val="clear" w:color="auto" w:fill="auto"/>
            <w:noWrap/>
            <w:vAlign w:val="bottom"/>
            <w:hideMark/>
          </w:tcPr>
          <w:p w14:paraId="20ADECB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91.60</w:t>
            </w:r>
          </w:p>
        </w:tc>
        <w:tc>
          <w:tcPr>
            <w:tcW w:w="673" w:type="dxa"/>
            <w:tcBorders>
              <w:top w:val="nil"/>
              <w:left w:val="nil"/>
              <w:bottom w:val="single" w:sz="4" w:space="0" w:color="auto"/>
              <w:right w:val="single" w:sz="4" w:space="0" w:color="auto"/>
            </w:tcBorders>
            <w:shd w:val="clear" w:color="auto" w:fill="auto"/>
            <w:noWrap/>
            <w:vAlign w:val="bottom"/>
            <w:hideMark/>
          </w:tcPr>
          <w:p w14:paraId="4B5F0EAF"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183.19</w:t>
            </w:r>
          </w:p>
        </w:tc>
        <w:tc>
          <w:tcPr>
            <w:tcW w:w="673" w:type="dxa"/>
            <w:tcBorders>
              <w:top w:val="nil"/>
              <w:left w:val="nil"/>
              <w:bottom w:val="single" w:sz="4" w:space="0" w:color="auto"/>
              <w:right w:val="single" w:sz="4" w:space="0" w:color="auto"/>
            </w:tcBorders>
            <w:shd w:val="clear" w:color="auto" w:fill="auto"/>
            <w:noWrap/>
            <w:vAlign w:val="bottom"/>
            <w:hideMark/>
          </w:tcPr>
          <w:p w14:paraId="18C32020"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0.88</w:t>
            </w:r>
          </w:p>
        </w:tc>
        <w:tc>
          <w:tcPr>
            <w:tcW w:w="673" w:type="dxa"/>
            <w:tcBorders>
              <w:top w:val="nil"/>
              <w:left w:val="nil"/>
              <w:bottom w:val="single" w:sz="4" w:space="0" w:color="auto"/>
              <w:right w:val="single" w:sz="4" w:space="0" w:color="auto"/>
            </w:tcBorders>
            <w:shd w:val="clear" w:color="auto" w:fill="auto"/>
            <w:noWrap/>
            <w:vAlign w:val="bottom"/>
            <w:hideMark/>
          </w:tcPr>
          <w:p w14:paraId="10B4293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1.76</w:t>
            </w:r>
          </w:p>
        </w:tc>
        <w:tc>
          <w:tcPr>
            <w:tcW w:w="673" w:type="dxa"/>
            <w:tcBorders>
              <w:top w:val="nil"/>
              <w:left w:val="nil"/>
              <w:bottom w:val="single" w:sz="4" w:space="0" w:color="auto"/>
              <w:right w:val="single" w:sz="4" w:space="0" w:color="auto"/>
            </w:tcBorders>
            <w:shd w:val="clear" w:color="auto" w:fill="auto"/>
            <w:noWrap/>
            <w:vAlign w:val="bottom"/>
            <w:hideMark/>
          </w:tcPr>
          <w:p w14:paraId="6A9E08A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8.82</w:t>
            </w:r>
          </w:p>
        </w:tc>
        <w:tc>
          <w:tcPr>
            <w:tcW w:w="673" w:type="dxa"/>
            <w:tcBorders>
              <w:top w:val="nil"/>
              <w:left w:val="nil"/>
              <w:bottom w:val="single" w:sz="4" w:space="0" w:color="auto"/>
              <w:right w:val="single" w:sz="4" w:space="0" w:color="auto"/>
            </w:tcBorders>
            <w:shd w:val="clear" w:color="auto" w:fill="auto"/>
            <w:noWrap/>
            <w:vAlign w:val="bottom"/>
            <w:hideMark/>
          </w:tcPr>
          <w:p w14:paraId="4BBF018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17.64</w:t>
            </w:r>
          </w:p>
        </w:tc>
      </w:tr>
      <w:tr w:rsidR="00AF70E1" w:rsidRPr="00D93D2D" w14:paraId="3D296752"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F6BBBE"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52</w:t>
            </w:r>
          </w:p>
        </w:tc>
        <w:tc>
          <w:tcPr>
            <w:tcW w:w="684" w:type="dxa"/>
            <w:tcBorders>
              <w:top w:val="nil"/>
              <w:left w:val="nil"/>
              <w:bottom w:val="single" w:sz="4" w:space="0" w:color="auto"/>
              <w:right w:val="single" w:sz="4" w:space="0" w:color="auto"/>
            </w:tcBorders>
            <w:shd w:val="clear" w:color="auto" w:fill="auto"/>
            <w:noWrap/>
            <w:vAlign w:val="bottom"/>
            <w:hideMark/>
          </w:tcPr>
          <w:p w14:paraId="068D2099"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6F284660"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90.38</w:t>
            </w:r>
          </w:p>
        </w:tc>
        <w:tc>
          <w:tcPr>
            <w:tcW w:w="684" w:type="dxa"/>
            <w:tcBorders>
              <w:top w:val="nil"/>
              <w:left w:val="nil"/>
              <w:bottom w:val="single" w:sz="4" w:space="0" w:color="auto"/>
              <w:right w:val="single" w:sz="4" w:space="0" w:color="auto"/>
            </w:tcBorders>
            <w:shd w:val="clear" w:color="auto" w:fill="auto"/>
            <w:noWrap/>
            <w:vAlign w:val="bottom"/>
            <w:hideMark/>
          </w:tcPr>
          <w:p w14:paraId="7720C4F0"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10.39</w:t>
            </w:r>
          </w:p>
        </w:tc>
        <w:tc>
          <w:tcPr>
            <w:tcW w:w="673" w:type="dxa"/>
            <w:tcBorders>
              <w:top w:val="nil"/>
              <w:left w:val="nil"/>
              <w:bottom w:val="single" w:sz="4" w:space="0" w:color="auto"/>
              <w:right w:val="single" w:sz="4" w:space="0" w:color="auto"/>
            </w:tcBorders>
            <w:shd w:val="clear" w:color="auto" w:fill="auto"/>
            <w:noWrap/>
            <w:vAlign w:val="bottom"/>
            <w:hideMark/>
          </w:tcPr>
          <w:p w14:paraId="3F3012F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193.41</w:t>
            </w:r>
          </w:p>
        </w:tc>
        <w:tc>
          <w:tcPr>
            <w:tcW w:w="673" w:type="dxa"/>
            <w:tcBorders>
              <w:top w:val="nil"/>
              <w:left w:val="nil"/>
              <w:bottom w:val="single" w:sz="4" w:space="0" w:color="auto"/>
              <w:right w:val="single" w:sz="4" w:space="0" w:color="auto"/>
            </w:tcBorders>
            <w:shd w:val="clear" w:color="auto" w:fill="auto"/>
            <w:noWrap/>
            <w:vAlign w:val="bottom"/>
            <w:hideMark/>
          </w:tcPr>
          <w:p w14:paraId="3254573C"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13.62</w:t>
            </w:r>
          </w:p>
        </w:tc>
        <w:tc>
          <w:tcPr>
            <w:tcW w:w="673" w:type="dxa"/>
            <w:tcBorders>
              <w:top w:val="nil"/>
              <w:left w:val="nil"/>
              <w:bottom w:val="single" w:sz="4" w:space="0" w:color="auto"/>
              <w:right w:val="single" w:sz="4" w:space="0" w:color="auto"/>
            </w:tcBorders>
            <w:shd w:val="clear" w:color="auto" w:fill="auto"/>
            <w:noWrap/>
            <w:vAlign w:val="bottom"/>
            <w:hideMark/>
          </w:tcPr>
          <w:p w14:paraId="68A379E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w:t>
            </w:r>
          </w:p>
        </w:tc>
        <w:tc>
          <w:tcPr>
            <w:tcW w:w="673" w:type="dxa"/>
            <w:tcBorders>
              <w:top w:val="nil"/>
              <w:left w:val="nil"/>
              <w:bottom w:val="single" w:sz="4" w:space="0" w:color="auto"/>
              <w:right w:val="single" w:sz="4" w:space="0" w:color="auto"/>
            </w:tcBorders>
            <w:shd w:val="clear" w:color="auto" w:fill="auto"/>
            <w:noWrap/>
            <w:vAlign w:val="bottom"/>
            <w:hideMark/>
          </w:tcPr>
          <w:p w14:paraId="62887C5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136.15</w:t>
            </w:r>
          </w:p>
        </w:tc>
        <w:tc>
          <w:tcPr>
            <w:tcW w:w="673" w:type="dxa"/>
            <w:tcBorders>
              <w:top w:val="nil"/>
              <w:left w:val="nil"/>
              <w:bottom w:val="single" w:sz="4" w:space="0" w:color="auto"/>
              <w:right w:val="single" w:sz="4" w:space="0" w:color="auto"/>
            </w:tcBorders>
            <w:shd w:val="clear" w:color="auto" w:fill="auto"/>
            <w:noWrap/>
            <w:vAlign w:val="bottom"/>
            <w:hideMark/>
          </w:tcPr>
          <w:p w14:paraId="29170540"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272.30</w:t>
            </w:r>
          </w:p>
        </w:tc>
        <w:tc>
          <w:tcPr>
            <w:tcW w:w="673" w:type="dxa"/>
            <w:tcBorders>
              <w:top w:val="nil"/>
              <w:left w:val="nil"/>
              <w:bottom w:val="single" w:sz="4" w:space="0" w:color="auto"/>
              <w:right w:val="single" w:sz="4" w:space="0" w:color="auto"/>
            </w:tcBorders>
            <w:shd w:val="clear" w:color="auto" w:fill="auto"/>
            <w:noWrap/>
            <w:vAlign w:val="bottom"/>
            <w:hideMark/>
          </w:tcPr>
          <w:p w14:paraId="7331347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1.31</w:t>
            </w:r>
          </w:p>
        </w:tc>
        <w:tc>
          <w:tcPr>
            <w:tcW w:w="673" w:type="dxa"/>
            <w:tcBorders>
              <w:top w:val="nil"/>
              <w:left w:val="nil"/>
              <w:bottom w:val="single" w:sz="4" w:space="0" w:color="auto"/>
              <w:right w:val="single" w:sz="4" w:space="0" w:color="auto"/>
            </w:tcBorders>
            <w:shd w:val="clear" w:color="auto" w:fill="auto"/>
            <w:noWrap/>
            <w:vAlign w:val="bottom"/>
            <w:hideMark/>
          </w:tcPr>
          <w:p w14:paraId="41B61591"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2.62</w:t>
            </w:r>
          </w:p>
        </w:tc>
        <w:tc>
          <w:tcPr>
            <w:tcW w:w="673" w:type="dxa"/>
            <w:tcBorders>
              <w:top w:val="nil"/>
              <w:left w:val="nil"/>
              <w:bottom w:val="single" w:sz="4" w:space="0" w:color="auto"/>
              <w:right w:val="single" w:sz="4" w:space="0" w:color="auto"/>
            </w:tcBorders>
            <w:shd w:val="clear" w:color="auto" w:fill="auto"/>
            <w:noWrap/>
            <w:vAlign w:val="bottom"/>
            <w:hideMark/>
          </w:tcPr>
          <w:p w14:paraId="016623D6"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13.11</w:t>
            </w:r>
          </w:p>
        </w:tc>
        <w:tc>
          <w:tcPr>
            <w:tcW w:w="673" w:type="dxa"/>
            <w:tcBorders>
              <w:top w:val="nil"/>
              <w:left w:val="nil"/>
              <w:bottom w:val="single" w:sz="4" w:space="0" w:color="auto"/>
              <w:right w:val="single" w:sz="4" w:space="0" w:color="auto"/>
            </w:tcBorders>
            <w:shd w:val="clear" w:color="auto" w:fill="auto"/>
            <w:noWrap/>
            <w:vAlign w:val="bottom"/>
            <w:hideMark/>
          </w:tcPr>
          <w:p w14:paraId="4679792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26.22</w:t>
            </w:r>
          </w:p>
        </w:tc>
      </w:tr>
      <w:tr w:rsidR="00AF70E1" w:rsidRPr="00D93D2D" w14:paraId="4EE74954"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6D82C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13</w:t>
            </w:r>
          </w:p>
        </w:tc>
        <w:tc>
          <w:tcPr>
            <w:tcW w:w="684" w:type="dxa"/>
            <w:tcBorders>
              <w:top w:val="nil"/>
              <w:left w:val="nil"/>
              <w:bottom w:val="single" w:sz="4" w:space="0" w:color="auto"/>
              <w:right w:val="single" w:sz="4" w:space="0" w:color="auto"/>
            </w:tcBorders>
            <w:shd w:val="clear" w:color="auto" w:fill="auto"/>
            <w:noWrap/>
            <w:vAlign w:val="center"/>
            <w:hideMark/>
          </w:tcPr>
          <w:p w14:paraId="1C3F5C9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45D00B8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15.33</w:t>
            </w:r>
          </w:p>
        </w:tc>
        <w:tc>
          <w:tcPr>
            <w:tcW w:w="684" w:type="dxa"/>
            <w:tcBorders>
              <w:top w:val="nil"/>
              <w:left w:val="nil"/>
              <w:bottom w:val="single" w:sz="4" w:space="0" w:color="auto"/>
              <w:right w:val="single" w:sz="4" w:space="0" w:color="auto"/>
            </w:tcBorders>
            <w:shd w:val="clear" w:color="auto" w:fill="auto"/>
            <w:noWrap/>
            <w:vAlign w:val="center"/>
            <w:hideMark/>
          </w:tcPr>
          <w:p w14:paraId="59584CB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13.85</w:t>
            </w:r>
          </w:p>
        </w:tc>
        <w:tc>
          <w:tcPr>
            <w:tcW w:w="673" w:type="dxa"/>
            <w:tcBorders>
              <w:top w:val="nil"/>
              <w:left w:val="nil"/>
              <w:bottom w:val="single" w:sz="4" w:space="0" w:color="auto"/>
              <w:right w:val="single" w:sz="4" w:space="0" w:color="auto"/>
            </w:tcBorders>
            <w:shd w:val="clear" w:color="auto" w:fill="auto"/>
            <w:noWrap/>
            <w:vAlign w:val="center"/>
            <w:hideMark/>
          </w:tcPr>
          <w:p w14:paraId="2B839AD7"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32.81</w:t>
            </w:r>
          </w:p>
        </w:tc>
        <w:tc>
          <w:tcPr>
            <w:tcW w:w="673" w:type="dxa"/>
            <w:tcBorders>
              <w:top w:val="nil"/>
              <w:left w:val="nil"/>
              <w:bottom w:val="single" w:sz="4" w:space="0" w:color="auto"/>
              <w:right w:val="single" w:sz="4" w:space="0" w:color="auto"/>
            </w:tcBorders>
            <w:shd w:val="clear" w:color="auto" w:fill="auto"/>
            <w:noWrap/>
            <w:vAlign w:val="center"/>
            <w:hideMark/>
          </w:tcPr>
          <w:p w14:paraId="72D7F0D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5.59</w:t>
            </w:r>
          </w:p>
        </w:tc>
        <w:tc>
          <w:tcPr>
            <w:tcW w:w="673" w:type="dxa"/>
            <w:tcBorders>
              <w:top w:val="nil"/>
              <w:left w:val="nil"/>
              <w:bottom w:val="single" w:sz="4" w:space="0" w:color="auto"/>
              <w:right w:val="single" w:sz="4" w:space="0" w:color="auto"/>
            </w:tcBorders>
            <w:shd w:val="clear" w:color="auto" w:fill="auto"/>
            <w:noWrap/>
            <w:vAlign w:val="center"/>
            <w:hideMark/>
          </w:tcPr>
          <w:p w14:paraId="613F2D9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w:t>
            </w:r>
          </w:p>
        </w:tc>
        <w:tc>
          <w:tcPr>
            <w:tcW w:w="673" w:type="dxa"/>
            <w:tcBorders>
              <w:top w:val="nil"/>
              <w:left w:val="nil"/>
              <w:bottom w:val="single" w:sz="4" w:space="0" w:color="auto"/>
              <w:right w:val="single" w:sz="4" w:space="0" w:color="auto"/>
            </w:tcBorders>
            <w:shd w:val="clear" w:color="auto" w:fill="auto"/>
            <w:noWrap/>
            <w:vAlign w:val="center"/>
            <w:hideMark/>
          </w:tcPr>
          <w:p w14:paraId="4FC3D5D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55.85</w:t>
            </w:r>
          </w:p>
        </w:tc>
        <w:tc>
          <w:tcPr>
            <w:tcW w:w="673" w:type="dxa"/>
            <w:tcBorders>
              <w:top w:val="nil"/>
              <w:left w:val="nil"/>
              <w:bottom w:val="single" w:sz="4" w:space="0" w:color="auto"/>
              <w:right w:val="single" w:sz="4" w:space="0" w:color="auto"/>
            </w:tcBorders>
            <w:shd w:val="clear" w:color="auto" w:fill="auto"/>
            <w:noWrap/>
            <w:vAlign w:val="center"/>
            <w:hideMark/>
          </w:tcPr>
          <w:p w14:paraId="26EF5B7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111.70</w:t>
            </w:r>
          </w:p>
        </w:tc>
        <w:tc>
          <w:tcPr>
            <w:tcW w:w="673" w:type="dxa"/>
            <w:tcBorders>
              <w:top w:val="nil"/>
              <w:left w:val="nil"/>
              <w:bottom w:val="single" w:sz="4" w:space="0" w:color="auto"/>
              <w:right w:val="single" w:sz="4" w:space="0" w:color="auto"/>
            </w:tcBorders>
            <w:shd w:val="clear" w:color="auto" w:fill="auto"/>
            <w:noWrap/>
            <w:vAlign w:val="center"/>
            <w:hideMark/>
          </w:tcPr>
          <w:p w14:paraId="4795C81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0.40</w:t>
            </w:r>
          </w:p>
        </w:tc>
        <w:tc>
          <w:tcPr>
            <w:tcW w:w="673" w:type="dxa"/>
            <w:tcBorders>
              <w:top w:val="nil"/>
              <w:left w:val="nil"/>
              <w:bottom w:val="single" w:sz="4" w:space="0" w:color="auto"/>
              <w:right w:val="single" w:sz="4" w:space="0" w:color="auto"/>
            </w:tcBorders>
            <w:shd w:val="clear" w:color="auto" w:fill="auto"/>
            <w:noWrap/>
            <w:vAlign w:val="center"/>
            <w:hideMark/>
          </w:tcPr>
          <w:p w14:paraId="5828FF1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0.81</w:t>
            </w:r>
          </w:p>
        </w:tc>
        <w:tc>
          <w:tcPr>
            <w:tcW w:w="673" w:type="dxa"/>
            <w:tcBorders>
              <w:top w:val="nil"/>
              <w:left w:val="nil"/>
              <w:bottom w:val="single" w:sz="4" w:space="0" w:color="auto"/>
              <w:right w:val="single" w:sz="4" w:space="0" w:color="auto"/>
            </w:tcBorders>
            <w:shd w:val="clear" w:color="auto" w:fill="auto"/>
            <w:noWrap/>
            <w:vAlign w:val="center"/>
            <w:hideMark/>
          </w:tcPr>
          <w:p w14:paraId="37CF7ADD"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4.03</w:t>
            </w:r>
          </w:p>
        </w:tc>
        <w:tc>
          <w:tcPr>
            <w:tcW w:w="673" w:type="dxa"/>
            <w:tcBorders>
              <w:top w:val="nil"/>
              <w:left w:val="nil"/>
              <w:bottom w:val="single" w:sz="4" w:space="0" w:color="auto"/>
              <w:right w:val="single" w:sz="4" w:space="0" w:color="auto"/>
            </w:tcBorders>
            <w:shd w:val="clear" w:color="auto" w:fill="auto"/>
            <w:noWrap/>
            <w:vAlign w:val="center"/>
            <w:hideMark/>
          </w:tcPr>
          <w:p w14:paraId="2DA931C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8.07</w:t>
            </w:r>
          </w:p>
        </w:tc>
      </w:tr>
      <w:tr w:rsidR="00AF70E1" w:rsidRPr="00D93D2D" w14:paraId="02B3D21C"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F4F18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23</w:t>
            </w:r>
          </w:p>
        </w:tc>
        <w:tc>
          <w:tcPr>
            <w:tcW w:w="684" w:type="dxa"/>
            <w:tcBorders>
              <w:top w:val="nil"/>
              <w:left w:val="nil"/>
              <w:bottom w:val="single" w:sz="4" w:space="0" w:color="auto"/>
              <w:right w:val="single" w:sz="4" w:space="0" w:color="auto"/>
            </w:tcBorders>
            <w:shd w:val="clear" w:color="auto" w:fill="auto"/>
            <w:noWrap/>
            <w:vAlign w:val="center"/>
            <w:hideMark/>
          </w:tcPr>
          <w:p w14:paraId="64E2DC53"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6E2B47E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30.30</w:t>
            </w:r>
          </w:p>
        </w:tc>
        <w:tc>
          <w:tcPr>
            <w:tcW w:w="684" w:type="dxa"/>
            <w:tcBorders>
              <w:top w:val="nil"/>
              <w:left w:val="nil"/>
              <w:bottom w:val="single" w:sz="4" w:space="0" w:color="auto"/>
              <w:right w:val="single" w:sz="4" w:space="0" w:color="auto"/>
            </w:tcBorders>
            <w:shd w:val="clear" w:color="auto" w:fill="auto"/>
            <w:noWrap/>
            <w:vAlign w:val="center"/>
            <w:hideMark/>
          </w:tcPr>
          <w:p w14:paraId="0D72240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13.85</w:t>
            </w:r>
          </w:p>
        </w:tc>
        <w:tc>
          <w:tcPr>
            <w:tcW w:w="673" w:type="dxa"/>
            <w:tcBorders>
              <w:top w:val="nil"/>
              <w:left w:val="nil"/>
              <w:bottom w:val="single" w:sz="4" w:space="0" w:color="auto"/>
              <w:right w:val="single" w:sz="4" w:space="0" w:color="auto"/>
            </w:tcBorders>
            <w:shd w:val="clear" w:color="auto" w:fill="auto"/>
            <w:noWrap/>
            <w:vAlign w:val="center"/>
            <w:hideMark/>
          </w:tcPr>
          <w:p w14:paraId="6EDD533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64.84</w:t>
            </w:r>
          </w:p>
        </w:tc>
        <w:tc>
          <w:tcPr>
            <w:tcW w:w="673" w:type="dxa"/>
            <w:tcBorders>
              <w:top w:val="nil"/>
              <w:left w:val="nil"/>
              <w:bottom w:val="single" w:sz="4" w:space="0" w:color="auto"/>
              <w:right w:val="single" w:sz="4" w:space="0" w:color="auto"/>
            </w:tcBorders>
            <w:shd w:val="clear" w:color="auto" w:fill="auto"/>
            <w:noWrap/>
            <w:vAlign w:val="center"/>
            <w:hideMark/>
          </w:tcPr>
          <w:p w14:paraId="3BCF79E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7.19</w:t>
            </w:r>
          </w:p>
        </w:tc>
        <w:tc>
          <w:tcPr>
            <w:tcW w:w="673" w:type="dxa"/>
            <w:tcBorders>
              <w:top w:val="nil"/>
              <w:left w:val="nil"/>
              <w:bottom w:val="single" w:sz="4" w:space="0" w:color="auto"/>
              <w:right w:val="single" w:sz="4" w:space="0" w:color="auto"/>
            </w:tcBorders>
            <w:shd w:val="clear" w:color="auto" w:fill="auto"/>
            <w:noWrap/>
            <w:vAlign w:val="center"/>
            <w:hideMark/>
          </w:tcPr>
          <w:p w14:paraId="2184102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w:t>
            </w:r>
          </w:p>
        </w:tc>
        <w:tc>
          <w:tcPr>
            <w:tcW w:w="673" w:type="dxa"/>
            <w:tcBorders>
              <w:top w:val="nil"/>
              <w:left w:val="nil"/>
              <w:bottom w:val="single" w:sz="4" w:space="0" w:color="auto"/>
              <w:right w:val="single" w:sz="4" w:space="0" w:color="auto"/>
            </w:tcBorders>
            <w:shd w:val="clear" w:color="auto" w:fill="auto"/>
            <w:noWrap/>
            <w:vAlign w:val="center"/>
            <w:hideMark/>
          </w:tcPr>
          <w:p w14:paraId="626C3FF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71.87</w:t>
            </w:r>
          </w:p>
        </w:tc>
        <w:tc>
          <w:tcPr>
            <w:tcW w:w="673" w:type="dxa"/>
            <w:tcBorders>
              <w:top w:val="nil"/>
              <w:left w:val="nil"/>
              <w:bottom w:val="single" w:sz="4" w:space="0" w:color="auto"/>
              <w:right w:val="single" w:sz="4" w:space="0" w:color="auto"/>
            </w:tcBorders>
            <w:shd w:val="clear" w:color="auto" w:fill="auto"/>
            <w:noWrap/>
            <w:vAlign w:val="center"/>
            <w:hideMark/>
          </w:tcPr>
          <w:p w14:paraId="6DDFEA5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143.73</w:t>
            </w:r>
          </w:p>
        </w:tc>
        <w:tc>
          <w:tcPr>
            <w:tcW w:w="673" w:type="dxa"/>
            <w:tcBorders>
              <w:top w:val="nil"/>
              <w:left w:val="nil"/>
              <w:bottom w:val="single" w:sz="4" w:space="0" w:color="auto"/>
              <w:right w:val="single" w:sz="4" w:space="0" w:color="auto"/>
            </w:tcBorders>
            <w:shd w:val="clear" w:color="auto" w:fill="auto"/>
            <w:noWrap/>
            <w:vAlign w:val="center"/>
            <w:hideMark/>
          </w:tcPr>
          <w:p w14:paraId="422DB0C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0.52</w:t>
            </w:r>
          </w:p>
        </w:tc>
        <w:tc>
          <w:tcPr>
            <w:tcW w:w="673" w:type="dxa"/>
            <w:tcBorders>
              <w:top w:val="nil"/>
              <w:left w:val="nil"/>
              <w:bottom w:val="single" w:sz="4" w:space="0" w:color="auto"/>
              <w:right w:val="single" w:sz="4" w:space="0" w:color="auto"/>
            </w:tcBorders>
            <w:shd w:val="clear" w:color="auto" w:fill="auto"/>
            <w:noWrap/>
            <w:vAlign w:val="center"/>
            <w:hideMark/>
          </w:tcPr>
          <w:p w14:paraId="6DE3530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1.04</w:t>
            </w:r>
          </w:p>
        </w:tc>
        <w:tc>
          <w:tcPr>
            <w:tcW w:w="673" w:type="dxa"/>
            <w:tcBorders>
              <w:top w:val="nil"/>
              <w:left w:val="nil"/>
              <w:bottom w:val="single" w:sz="4" w:space="0" w:color="auto"/>
              <w:right w:val="single" w:sz="4" w:space="0" w:color="auto"/>
            </w:tcBorders>
            <w:shd w:val="clear" w:color="auto" w:fill="auto"/>
            <w:noWrap/>
            <w:vAlign w:val="center"/>
            <w:hideMark/>
          </w:tcPr>
          <w:p w14:paraId="44F4143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5.19</w:t>
            </w:r>
          </w:p>
        </w:tc>
        <w:tc>
          <w:tcPr>
            <w:tcW w:w="673" w:type="dxa"/>
            <w:tcBorders>
              <w:top w:val="nil"/>
              <w:left w:val="nil"/>
              <w:bottom w:val="single" w:sz="4" w:space="0" w:color="auto"/>
              <w:right w:val="single" w:sz="4" w:space="0" w:color="auto"/>
            </w:tcBorders>
            <w:shd w:val="clear" w:color="auto" w:fill="auto"/>
            <w:noWrap/>
            <w:vAlign w:val="center"/>
            <w:hideMark/>
          </w:tcPr>
          <w:p w14:paraId="62B9886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10.38</w:t>
            </w:r>
          </w:p>
        </w:tc>
      </w:tr>
      <w:tr w:rsidR="00AF70E1" w:rsidRPr="00D93D2D" w14:paraId="3CAA55EA"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90301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33</w:t>
            </w:r>
          </w:p>
        </w:tc>
        <w:tc>
          <w:tcPr>
            <w:tcW w:w="684" w:type="dxa"/>
            <w:tcBorders>
              <w:top w:val="nil"/>
              <w:left w:val="nil"/>
              <w:bottom w:val="single" w:sz="4" w:space="0" w:color="auto"/>
              <w:right w:val="single" w:sz="4" w:space="0" w:color="auto"/>
            </w:tcBorders>
            <w:shd w:val="clear" w:color="auto" w:fill="auto"/>
            <w:noWrap/>
            <w:vAlign w:val="center"/>
            <w:hideMark/>
          </w:tcPr>
          <w:p w14:paraId="0192043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59B8168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39.22</w:t>
            </w:r>
          </w:p>
        </w:tc>
        <w:tc>
          <w:tcPr>
            <w:tcW w:w="684" w:type="dxa"/>
            <w:tcBorders>
              <w:top w:val="nil"/>
              <w:left w:val="nil"/>
              <w:bottom w:val="single" w:sz="4" w:space="0" w:color="auto"/>
              <w:right w:val="single" w:sz="4" w:space="0" w:color="auto"/>
            </w:tcBorders>
            <w:shd w:val="clear" w:color="auto" w:fill="auto"/>
            <w:noWrap/>
            <w:vAlign w:val="center"/>
            <w:hideMark/>
          </w:tcPr>
          <w:p w14:paraId="0646335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13.85</w:t>
            </w:r>
          </w:p>
        </w:tc>
        <w:tc>
          <w:tcPr>
            <w:tcW w:w="673" w:type="dxa"/>
            <w:tcBorders>
              <w:top w:val="nil"/>
              <w:left w:val="nil"/>
              <w:bottom w:val="single" w:sz="4" w:space="0" w:color="auto"/>
              <w:right w:val="single" w:sz="4" w:space="0" w:color="auto"/>
            </w:tcBorders>
            <w:shd w:val="clear" w:color="auto" w:fill="auto"/>
            <w:noWrap/>
            <w:vAlign w:val="center"/>
            <w:hideMark/>
          </w:tcPr>
          <w:p w14:paraId="4E2D135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83.93</w:t>
            </w:r>
          </w:p>
        </w:tc>
        <w:tc>
          <w:tcPr>
            <w:tcW w:w="673" w:type="dxa"/>
            <w:tcBorders>
              <w:top w:val="nil"/>
              <w:left w:val="nil"/>
              <w:bottom w:val="single" w:sz="4" w:space="0" w:color="auto"/>
              <w:right w:val="single" w:sz="4" w:space="0" w:color="auto"/>
            </w:tcBorders>
            <w:shd w:val="clear" w:color="auto" w:fill="auto"/>
            <w:noWrap/>
            <w:vAlign w:val="center"/>
            <w:hideMark/>
          </w:tcPr>
          <w:p w14:paraId="324B859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w:t>
            </w:r>
          </w:p>
        </w:tc>
        <w:tc>
          <w:tcPr>
            <w:tcW w:w="673" w:type="dxa"/>
            <w:tcBorders>
              <w:top w:val="nil"/>
              <w:left w:val="nil"/>
              <w:bottom w:val="single" w:sz="4" w:space="0" w:color="auto"/>
              <w:right w:val="single" w:sz="4" w:space="0" w:color="auto"/>
            </w:tcBorders>
            <w:shd w:val="clear" w:color="auto" w:fill="auto"/>
            <w:noWrap/>
            <w:vAlign w:val="center"/>
            <w:hideMark/>
          </w:tcPr>
          <w:p w14:paraId="16509FF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w:t>
            </w:r>
          </w:p>
        </w:tc>
        <w:tc>
          <w:tcPr>
            <w:tcW w:w="673" w:type="dxa"/>
            <w:tcBorders>
              <w:top w:val="nil"/>
              <w:left w:val="nil"/>
              <w:bottom w:val="single" w:sz="4" w:space="0" w:color="auto"/>
              <w:right w:val="single" w:sz="4" w:space="0" w:color="auto"/>
            </w:tcBorders>
            <w:shd w:val="clear" w:color="auto" w:fill="auto"/>
            <w:noWrap/>
            <w:vAlign w:val="center"/>
            <w:hideMark/>
          </w:tcPr>
          <w:p w14:paraId="2E1488DD"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81.41</w:t>
            </w:r>
          </w:p>
        </w:tc>
        <w:tc>
          <w:tcPr>
            <w:tcW w:w="673" w:type="dxa"/>
            <w:tcBorders>
              <w:top w:val="nil"/>
              <w:left w:val="nil"/>
              <w:bottom w:val="single" w:sz="4" w:space="0" w:color="auto"/>
              <w:right w:val="single" w:sz="4" w:space="0" w:color="auto"/>
            </w:tcBorders>
            <w:shd w:val="clear" w:color="auto" w:fill="auto"/>
            <w:noWrap/>
            <w:vAlign w:val="center"/>
            <w:hideMark/>
          </w:tcPr>
          <w:p w14:paraId="64D3557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162.83</w:t>
            </w:r>
          </w:p>
        </w:tc>
        <w:tc>
          <w:tcPr>
            <w:tcW w:w="673" w:type="dxa"/>
            <w:tcBorders>
              <w:top w:val="nil"/>
              <w:left w:val="nil"/>
              <w:bottom w:val="single" w:sz="4" w:space="0" w:color="auto"/>
              <w:right w:val="single" w:sz="4" w:space="0" w:color="auto"/>
            </w:tcBorders>
            <w:shd w:val="clear" w:color="auto" w:fill="auto"/>
            <w:noWrap/>
            <w:vAlign w:val="center"/>
            <w:hideMark/>
          </w:tcPr>
          <w:p w14:paraId="1A834FA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0.59</w:t>
            </w:r>
          </w:p>
        </w:tc>
        <w:tc>
          <w:tcPr>
            <w:tcW w:w="673" w:type="dxa"/>
            <w:tcBorders>
              <w:top w:val="nil"/>
              <w:left w:val="nil"/>
              <w:bottom w:val="single" w:sz="4" w:space="0" w:color="auto"/>
              <w:right w:val="single" w:sz="4" w:space="0" w:color="auto"/>
            </w:tcBorders>
            <w:shd w:val="clear" w:color="auto" w:fill="auto"/>
            <w:noWrap/>
            <w:vAlign w:val="center"/>
            <w:hideMark/>
          </w:tcPr>
          <w:p w14:paraId="3A93E98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1.18</w:t>
            </w:r>
          </w:p>
        </w:tc>
        <w:tc>
          <w:tcPr>
            <w:tcW w:w="673" w:type="dxa"/>
            <w:tcBorders>
              <w:top w:val="nil"/>
              <w:left w:val="nil"/>
              <w:bottom w:val="single" w:sz="4" w:space="0" w:color="auto"/>
              <w:right w:val="single" w:sz="4" w:space="0" w:color="auto"/>
            </w:tcBorders>
            <w:shd w:val="clear" w:color="auto" w:fill="auto"/>
            <w:noWrap/>
            <w:vAlign w:val="center"/>
            <w:hideMark/>
          </w:tcPr>
          <w:p w14:paraId="57729F6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5.88</w:t>
            </w:r>
          </w:p>
        </w:tc>
        <w:tc>
          <w:tcPr>
            <w:tcW w:w="673" w:type="dxa"/>
            <w:tcBorders>
              <w:top w:val="nil"/>
              <w:left w:val="nil"/>
              <w:bottom w:val="single" w:sz="4" w:space="0" w:color="auto"/>
              <w:right w:val="single" w:sz="4" w:space="0" w:color="auto"/>
            </w:tcBorders>
            <w:shd w:val="clear" w:color="auto" w:fill="auto"/>
            <w:noWrap/>
            <w:vAlign w:val="center"/>
            <w:hideMark/>
          </w:tcPr>
          <w:p w14:paraId="635B326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11.76</w:t>
            </w:r>
          </w:p>
        </w:tc>
      </w:tr>
      <w:tr w:rsidR="00AF70E1" w:rsidRPr="00D93D2D" w14:paraId="26C41FE7"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AED56F"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43</w:t>
            </w:r>
          </w:p>
        </w:tc>
        <w:tc>
          <w:tcPr>
            <w:tcW w:w="684" w:type="dxa"/>
            <w:tcBorders>
              <w:top w:val="nil"/>
              <w:left w:val="nil"/>
              <w:bottom w:val="single" w:sz="4" w:space="0" w:color="auto"/>
              <w:right w:val="single" w:sz="4" w:space="0" w:color="auto"/>
            </w:tcBorders>
            <w:shd w:val="clear" w:color="auto" w:fill="auto"/>
            <w:noWrap/>
            <w:vAlign w:val="bottom"/>
            <w:hideMark/>
          </w:tcPr>
          <w:p w14:paraId="673F04F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77ADC16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48.74</w:t>
            </w:r>
          </w:p>
        </w:tc>
        <w:tc>
          <w:tcPr>
            <w:tcW w:w="684" w:type="dxa"/>
            <w:tcBorders>
              <w:top w:val="nil"/>
              <w:left w:val="nil"/>
              <w:bottom w:val="single" w:sz="4" w:space="0" w:color="auto"/>
              <w:right w:val="single" w:sz="4" w:space="0" w:color="auto"/>
            </w:tcBorders>
            <w:shd w:val="clear" w:color="auto" w:fill="auto"/>
            <w:noWrap/>
            <w:vAlign w:val="bottom"/>
            <w:hideMark/>
          </w:tcPr>
          <w:p w14:paraId="5FE1988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13.85</w:t>
            </w:r>
          </w:p>
        </w:tc>
        <w:tc>
          <w:tcPr>
            <w:tcW w:w="673" w:type="dxa"/>
            <w:tcBorders>
              <w:top w:val="nil"/>
              <w:left w:val="nil"/>
              <w:bottom w:val="single" w:sz="4" w:space="0" w:color="auto"/>
              <w:right w:val="single" w:sz="4" w:space="0" w:color="auto"/>
            </w:tcBorders>
            <w:shd w:val="clear" w:color="auto" w:fill="auto"/>
            <w:noWrap/>
            <w:vAlign w:val="bottom"/>
            <w:hideMark/>
          </w:tcPr>
          <w:p w14:paraId="6CA58D0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104.30</w:t>
            </w:r>
          </w:p>
        </w:tc>
        <w:tc>
          <w:tcPr>
            <w:tcW w:w="673" w:type="dxa"/>
            <w:tcBorders>
              <w:top w:val="nil"/>
              <w:left w:val="nil"/>
              <w:bottom w:val="single" w:sz="4" w:space="0" w:color="auto"/>
              <w:right w:val="single" w:sz="4" w:space="0" w:color="auto"/>
            </w:tcBorders>
            <w:shd w:val="clear" w:color="auto" w:fill="auto"/>
            <w:noWrap/>
            <w:vAlign w:val="bottom"/>
            <w:hideMark/>
          </w:tcPr>
          <w:p w14:paraId="261FDD1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w:t>
            </w:r>
          </w:p>
        </w:tc>
        <w:tc>
          <w:tcPr>
            <w:tcW w:w="673" w:type="dxa"/>
            <w:tcBorders>
              <w:top w:val="nil"/>
              <w:left w:val="nil"/>
              <w:bottom w:val="single" w:sz="4" w:space="0" w:color="auto"/>
              <w:right w:val="single" w:sz="4" w:space="0" w:color="auto"/>
            </w:tcBorders>
            <w:shd w:val="clear" w:color="auto" w:fill="auto"/>
            <w:noWrap/>
            <w:vAlign w:val="bottom"/>
            <w:hideMark/>
          </w:tcPr>
          <w:p w14:paraId="2F70D6E1"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18.32</w:t>
            </w:r>
          </w:p>
        </w:tc>
        <w:tc>
          <w:tcPr>
            <w:tcW w:w="673" w:type="dxa"/>
            <w:tcBorders>
              <w:top w:val="nil"/>
              <w:left w:val="nil"/>
              <w:bottom w:val="single" w:sz="4" w:space="0" w:color="auto"/>
              <w:right w:val="single" w:sz="4" w:space="0" w:color="auto"/>
            </w:tcBorders>
            <w:shd w:val="clear" w:color="auto" w:fill="auto"/>
            <w:noWrap/>
            <w:vAlign w:val="bottom"/>
            <w:hideMark/>
          </w:tcPr>
          <w:p w14:paraId="16F0395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91.60</w:t>
            </w:r>
          </w:p>
        </w:tc>
        <w:tc>
          <w:tcPr>
            <w:tcW w:w="673" w:type="dxa"/>
            <w:tcBorders>
              <w:top w:val="nil"/>
              <w:left w:val="nil"/>
              <w:bottom w:val="single" w:sz="4" w:space="0" w:color="auto"/>
              <w:right w:val="single" w:sz="4" w:space="0" w:color="auto"/>
            </w:tcBorders>
            <w:shd w:val="clear" w:color="auto" w:fill="auto"/>
            <w:noWrap/>
            <w:vAlign w:val="bottom"/>
            <w:hideMark/>
          </w:tcPr>
          <w:p w14:paraId="18D3F8DA"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183.19</w:t>
            </w:r>
          </w:p>
        </w:tc>
        <w:tc>
          <w:tcPr>
            <w:tcW w:w="673" w:type="dxa"/>
            <w:tcBorders>
              <w:top w:val="nil"/>
              <w:left w:val="nil"/>
              <w:bottom w:val="single" w:sz="4" w:space="0" w:color="auto"/>
              <w:right w:val="single" w:sz="4" w:space="0" w:color="auto"/>
            </w:tcBorders>
            <w:shd w:val="clear" w:color="auto" w:fill="auto"/>
            <w:noWrap/>
            <w:vAlign w:val="bottom"/>
            <w:hideMark/>
          </w:tcPr>
          <w:p w14:paraId="16FE728E"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0.66</w:t>
            </w:r>
          </w:p>
        </w:tc>
        <w:tc>
          <w:tcPr>
            <w:tcW w:w="673" w:type="dxa"/>
            <w:tcBorders>
              <w:top w:val="nil"/>
              <w:left w:val="nil"/>
              <w:bottom w:val="single" w:sz="4" w:space="0" w:color="auto"/>
              <w:right w:val="single" w:sz="4" w:space="0" w:color="auto"/>
            </w:tcBorders>
            <w:shd w:val="clear" w:color="auto" w:fill="auto"/>
            <w:noWrap/>
            <w:vAlign w:val="bottom"/>
            <w:hideMark/>
          </w:tcPr>
          <w:p w14:paraId="3A7D5D4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1.32</w:t>
            </w:r>
          </w:p>
        </w:tc>
        <w:tc>
          <w:tcPr>
            <w:tcW w:w="673" w:type="dxa"/>
            <w:tcBorders>
              <w:top w:val="nil"/>
              <w:left w:val="nil"/>
              <w:bottom w:val="single" w:sz="4" w:space="0" w:color="auto"/>
              <w:right w:val="single" w:sz="4" w:space="0" w:color="auto"/>
            </w:tcBorders>
            <w:shd w:val="clear" w:color="auto" w:fill="auto"/>
            <w:noWrap/>
            <w:vAlign w:val="bottom"/>
            <w:hideMark/>
          </w:tcPr>
          <w:p w14:paraId="766FF5EE"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6.61</w:t>
            </w:r>
          </w:p>
        </w:tc>
        <w:tc>
          <w:tcPr>
            <w:tcW w:w="673" w:type="dxa"/>
            <w:tcBorders>
              <w:top w:val="nil"/>
              <w:left w:val="nil"/>
              <w:bottom w:val="single" w:sz="4" w:space="0" w:color="auto"/>
              <w:right w:val="single" w:sz="4" w:space="0" w:color="auto"/>
            </w:tcBorders>
            <w:shd w:val="clear" w:color="auto" w:fill="auto"/>
            <w:noWrap/>
            <w:vAlign w:val="bottom"/>
            <w:hideMark/>
          </w:tcPr>
          <w:p w14:paraId="403AB1CF"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13.23</w:t>
            </w:r>
          </w:p>
        </w:tc>
      </w:tr>
      <w:tr w:rsidR="00AF70E1" w:rsidRPr="00D93D2D" w14:paraId="428A21F8"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D08A241"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53</w:t>
            </w:r>
          </w:p>
        </w:tc>
        <w:tc>
          <w:tcPr>
            <w:tcW w:w="684" w:type="dxa"/>
            <w:tcBorders>
              <w:top w:val="nil"/>
              <w:left w:val="nil"/>
              <w:bottom w:val="single" w:sz="4" w:space="0" w:color="auto"/>
              <w:right w:val="single" w:sz="4" w:space="0" w:color="auto"/>
            </w:tcBorders>
            <w:shd w:val="clear" w:color="auto" w:fill="auto"/>
            <w:noWrap/>
            <w:vAlign w:val="bottom"/>
            <w:hideMark/>
          </w:tcPr>
          <w:p w14:paraId="5F458070"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085D26F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90.38</w:t>
            </w:r>
          </w:p>
        </w:tc>
        <w:tc>
          <w:tcPr>
            <w:tcW w:w="684" w:type="dxa"/>
            <w:tcBorders>
              <w:top w:val="nil"/>
              <w:left w:val="nil"/>
              <w:bottom w:val="single" w:sz="4" w:space="0" w:color="auto"/>
              <w:right w:val="single" w:sz="4" w:space="0" w:color="auto"/>
            </w:tcBorders>
            <w:shd w:val="clear" w:color="auto" w:fill="auto"/>
            <w:noWrap/>
            <w:vAlign w:val="bottom"/>
            <w:hideMark/>
          </w:tcPr>
          <w:p w14:paraId="78ABFF1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13.85</w:t>
            </w:r>
          </w:p>
        </w:tc>
        <w:tc>
          <w:tcPr>
            <w:tcW w:w="673" w:type="dxa"/>
            <w:tcBorders>
              <w:top w:val="nil"/>
              <w:left w:val="nil"/>
              <w:bottom w:val="single" w:sz="4" w:space="0" w:color="auto"/>
              <w:right w:val="single" w:sz="4" w:space="0" w:color="auto"/>
            </w:tcBorders>
            <w:shd w:val="clear" w:color="auto" w:fill="auto"/>
            <w:noWrap/>
            <w:vAlign w:val="bottom"/>
            <w:hideMark/>
          </w:tcPr>
          <w:p w14:paraId="7965BB6A"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193.41</w:t>
            </w:r>
          </w:p>
        </w:tc>
        <w:tc>
          <w:tcPr>
            <w:tcW w:w="673" w:type="dxa"/>
            <w:tcBorders>
              <w:top w:val="nil"/>
              <w:left w:val="nil"/>
              <w:bottom w:val="single" w:sz="4" w:space="0" w:color="auto"/>
              <w:right w:val="single" w:sz="4" w:space="0" w:color="auto"/>
            </w:tcBorders>
            <w:shd w:val="clear" w:color="auto" w:fill="auto"/>
            <w:noWrap/>
            <w:vAlign w:val="bottom"/>
            <w:hideMark/>
          </w:tcPr>
          <w:p w14:paraId="4ED3DC3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13.62</w:t>
            </w:r>
          </w:p>
        </w:tc>
        <w:tc>
          <w:tcPr>
            <w:tcW w:w="673" w:type="dxa"/>
            <w:tcBorders>
              <w:top w:val="nil"/>
              <w:left w:val="nil"/>
              <w:bottom w:val="single" w:sz="4" w:space="0" w:color="auto"/>
              <w:right w:val="single" w:sz="4" w:space="0" w:color="auto"/>
            </w:tcBorders>
            <w:shd w:val="clear" w:color="auto" w:fill="auto"/>
            <w:noWrap/>
            <w:vAlign w:val="bottom"/>
            <w:hideMark/>
          </w:tcPr>
          <w:p w14:paraId="30B372C2"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w:t>
            </w:r>
          </w:p>
        </w:tc>
        <w:tc>
          <w:tcPr>
            <w:tcW w:w="673" w:type="dxa"/>
            <w:tcBorders>
              <w:top w:val="nil"/>
              <w:left w:val="nil"/>
              <w:bottom w:val="single" w:sz="4" w:space="0" w:color="auto"/>
              <w:right w:val="single" w:sz="4" w:space="0" w:color="auto"/>
            </w:tcBorders>
            <w:shd w:val="clear" w:color="auto" w:fill="auto"/>
            <w:noWrap/>
            <w:vAlign w:val="bottom"/>
            <w:hideMark/>
          </w:tcPr>
          <w:p w14:paraId="6F465B5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136.15</w:t>
            </w:r>
          </w:p>
        </w:tc>
        <w:tc>
          <w:tcPr>
            <w:tcW w:w="673" w:type="dxa"/>
            <w:tcBorders>
              <w:top w:val="nil"/>
              <w:left w:val="nil"/>
              <w:bottom w:val="single" w:sz="4" w:space="0" w:color="auto"/>
              <w:right w:val="single" w:sz="4" w:space="0" w:color="auto"/>
            </w:tcBorders>
            <w:shd w:val="clear" w:color="auto" w:fill="auto"/>
            <w:noWrap/>
            <w:vAlign w:val="bottom"/>
            <w:hideMark/>
          </w:tcPr>
          <w:p w14:paraId="792ACA6E"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272.30</w:t>
            </w:r>
          </w:p>
        </w:tc>
        <w:tc>
          <w:tcPr>
            <w:tcW w:w="673" w:type="dxa"/>
            <w:tcBorders>
              <w:top w:val="nil"/>
              <w:left w:val="nil"/>
              <w:bottom w:val="single" w:sz="4" w:space="0" w:color="auto"/>
              <w:right w:val="single" w:sz="4" w:space="0" w:color="auto"/>
            </w:tcBorders>
            <w:shd w:val="clear" w:color="auto" w:fill="auto"/>
            <w:noWrap/>
            <w:vAlign w:val="bottom"/>
            <w:hideMark/>
          </w:tcPr>
          <w:p w14:paraId="79A4D63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0.98</w:t>
            </w:r>
          </w:p>
        </w:tc>
        <w:tc>
          <w:tcPr>
            <w:tcW w:w="673" w:type="dxa"/>
            <w:tcBorders>
              <w:top w:val="nil"/>
              <w:left w:val="nil"/>
              <w:bottom w:val="single" w:sz="4" w:space="0" w:color="auto"/>
              <w:right w:val="single" w:sz="4" w:space="0" w:color="auto"/>
            </w:tcBorders>
            <w:shd w:val="clear" w:color="auto" w:fill="auto"/>
            <w:noWrap/>
            <w:vAlign w:val="bottom"/>
            <w:hideMark/>
          </w:tcPr>
          <w:p w14:paraId="43BB10B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1.97</w:t>
            </w:r>
          </w:p>
        </w:tc>
        <w:tc>
          <w:tcPr>
            <w:tcW w:w="673" w:type="dxa"/>
            <w:tcBorders>
              <w:top w:val="nil"/>
              <w:left w:val="nil"/>
              <w:bottom w:val="single" w:sz="4" w:space="0" w:color="auto"/>
              <w:right w:val="single" w:sz="4" w:space="0" w:color="auto"/>
            </w:tcBorders>
            <w:shd w:val="clear" w:color="auto" w:fill="auto"/>
            <w:noWrap/>
            <w:vAlign w:val="bottom"/>
            <w:hideMark/>
          </w:tcPr>
          <w:p w14:paraId="7A7D0562"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9.83</w:t>
            </w:r>
          </w:p>
        </w:tc>
        <w:tc>
          <w:tcPr>
            <w:tcW w:w="673" w:type="dxa"/>
            <w:tcBorders>
              <w:top w:val="nil"/>
              <w:left w:val="nil"/>
              <w:bottom w:val="single" w:sz="4" w:space="0" w:color="auto"/>
              <w:right w:val="single" w:sz="4" w:space="0" w:color="auto"/>
            </w:tcBorders>
            <w:shd w:val="clear" w:color="auto" w:fill="auto"/>
            <w:noWrap/>
            <w:vAlign w:val="bottom"/>
            <w:hideMark/>
          </w:tcPr>
          <w:p w14:paraId="294476B1"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19.66</w:t>
            </w:r>
          </w:p>
        </w:tc>
      </w:tr>
      <w:tr w:rsidR="00AF70E1" w:rsidRPr="00D93D2D" w14:paraId="526EF5F3"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45ED6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w:t>
            </w:r>
          </w:p>
        </w:tc>
        <w:tc>
          <w:tcPr>
            <w:tcW w:w="684" w:type="dxa"/>
            <w:tcBorders>
              <w:top w:val="nil"/>
              <w:left w:val="nil"/>
              <w:bottom w:val="single" w:sz="4" w:space="0" w:color="auto"/>
              <w:right w:val="single" w:sz="4" w:space="0" w:color="auto"/>
            </w:tcBorders>
            <w:shd w:val="clear" w:color="auto" w:fill="auto"/>
            <w:noWrap/>
            <w:vAlign w:val="center"/>
            <w:hideMark/>
          </w:tcPr>
          <w:p w14:paraId="3DB0644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3302C61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15.33</w:t>
            </w:r>
          </w:p>
        </w:tc>
        <w:tc>
          <w:tcPr>
            <w:tcW w:w="684" w:type="dxa"/>
            <w:tcBorders>
              <w:top w:val="nil"/>
              <w:left w:val="nil"/>
              <w:bottom w:val="single" w:sz="4" w:space="0" w:color="auto"/>
              <w:right w:val="single" w:sz="4" w:space="0" w:color="auto"/>
            </w:tcBorders>
            <w:shd w:val="clear" w:color="auto" w:fill="auto"/>
            <w:noWrap/>
            <w:vAlign w:val="center"/>
            <w:hideMark/>
          </w:tcPr>
          <w:p w14:paraId="0C75335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20.77</w:t>
            </w:r>
          </w:p>
        </w:tc>
        <w:tc>
          <w:tcPr>
            <w:tcW w:w="673" w:type="dxa"/>
            <w:tcBorders>
              <w:top w:val="nil"/>
              <w:left w:val="nil"/>
              <w:bottom w:val="single" w:sz="4" w:space="0" w:color="auto"/>
              <w:right w:val="single" w:sz="4" w:space="0" w:color="auto"/>
            </w:tcBorders>
            <w:shd w:val="clear" w:color="auto" w:fill="auto"/>
            <w:noWrap/>
            <w:vAlign w:val="center"/>
            <w:hideMark/>
          </w:tcPr>
          <w:p w14:paraId="073FA784"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32.81</w:t>
            </w:r>
          </w:p>
        </w:tc>
        <w:tc>
          <w:tcPr>
            <w:tcW w:w="673" w:type="dxa"/>
            <w:tcBorders>
              <w:top w:val="nil"/>
              <w:left w:val="nil"/>
              <w:bottom w:val="single" w:sz="4" w:space="0" w:color="auto"/>
              <w:right w:val="single" w:sz="4" w:space="0" w:color="auto"/>
            </w:tcBorders>
            <w:shd w:val="clear" w:color="auto" w:fill="auto"/>
            <w:noWrap/>
            <w:vAlign w:val="center"/>
            <w:hideMark/>
          </w:tcPr>
          <w:p w14:paraId="300A1FB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5.59</w:t>
            </w:r>
          </w:p>
        </w:tc>
        <w:tc>
          <w:tcPr>
            <w:tcW w:w="673" w:type="dxa"/>
            <w:tcBorders>
              <w:top w:val="nil"/>
              <w:left w:val="nil"/>
              <w:bottom w:val="single" w:sz="4" w:space="0" w:color="auto"/>
              <w:right w:val="single" w:sz="4" w:space="0" w:color="auto"/>
            </w:tcBorders>
            <w:shd w:val="clear" w:color="auto" w:fill="auto"/>
            <w:noWrap/>
            <w:vAlign w:val="center"/>
            <w:hideMark/>
          </w:tcPr>
          <w:p w14:paraId="0F6E6747"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w:t>
            </w:r>
          </w:p>
        </w:tc>
        <w:tc>
          <w:tcPr>
            <w:tcW w:w="673" w:type="dxa"/>
            <w:tcBorders>
              <w:top w:val="nil"/>
              <w:left w:val="nil"/>
              <w:bottom w:val="single" w:sz="4" w:space="0" w:color="auto"/>
              <w:right w:val="single" w:sz="4" w:space="0" w:color="auto"/>
            </w:tcBorders>
            <w:shd w:val="clear" w:color="auto" w:fill="auto"/>
            <w:noWrap/>
            <w:vAlign w:val="center"/>
            <w:hideMark/>
          </w:tcPr>
          <w:p w14:paraId="197CB51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55.85</w:t>
            </w:r>
          </w:p>
        </w:tc>
        <w:tc>
          <w:tcPr>
            <w:tcW w:w="673" w:type="dxa"/>
            <w:tcBorders>
              <w:top w:val="nil"/>
              <w:left w:val="nil"/>
              <w:bottom w:val="single" w:sz="4" w:space="0" w:color="auto"/>
              <w:right w:val="single" w:sz="4" w:space="0" w:color="auto"/>
            </w:tcBorders>
            <w:shd w:val="clear" w:color="auto" w:fill="auto"/>
            <w:noWrap/>
            <w:vAlign w:val="center"/>
            <w:hideMark/>
          </w:tcPr>
          <w:p w14:paraId="603BB97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111.70</w:t>
            </w:r>
          </w:p>
        </w:tc>
        <w:tc>
          <w:tcPr>
            <w:tcW w:w="673" w:type="dxa"/>
            <w:tcBorders>
              <w:top w:val="nil"/>
              <w:left w:val="nil"/>
              <w:bottom w:val="single" w:sz="4" w:space="0" w:color="auto"/>
              <w:right w:val="single" w:sz="4" w:space="0" w:color="auto"/>
            </w:tcBorders>
            <w:shd w:val="clear" w:color="auto" w:fill="auto"/>
            <w:noWrap/>
            <w:vAlign w:val="center"/>
            <w:hideMark/>
          </w:tcPr>
          <w:p w14:paraId="6E48394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0.27</w:t>
            </w:r>
          </w:p>
        </w:tc>
        <w:tc>
          <w:tcPr>
            <w:tcW w:w="673" w:type="dxa"/>
            <w:tcBorders>
              <w:top w:val="nil"/>
              <w:left w:val="nil"/>
              <w:bottom w:val="single" w:sz="4" w:space="0" w:color="auto"/>
              <w:right w:val="single" w:sz="4" w:space="0" w:color="auto"/>
            </w:tcBorders>
            <w:shd w:val="clear" w:color="auto" w:fill="auto"/>
            <w:noWrap/>
            <w:vAlign w:val="center"/>
            <w:hideMark/>
          </w:tcPr>
          <w:p w14:paraId="63CACB4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0.54</w:t>
            </w:r>
          </w:p>
        </w:tc>
        <w:tc>
          <w:tcPr>
            <w:tcW w:w="673" w:type="dxa"/>
            <w:tcBorders>
              <w:top w:val="nil"/>
              <w:left w:val="nil"/>
              <w:bottom w:val="single" w:sz="4" w:space="0" w:color="auto"/>
              <w:right w:val="single" w:sz="4" w:space="0" w:color="auto"/>
            </w:tcBorders>
            <w:shd w:val="clear" w:color="auto" w:fill="auto"/>
            <w:noWrap/>
            <w:vAlign w:val="center"/>
            <w:hideMark/>
          </w:tcPr>
          <w:p w14:paraId="75E49B1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2.69</w:t>
            </w:r>
          </w:p>
        </w:tc>
        <w:tc>
          <w:tcPr>
            <w:tcW w:w="673" w:type="dxa"/>
            <w:tcBorders>
              <w:top w:val="nil"/>
              <w:left w:val="nil"/>
              <w:bottom w:val="single" w:sz="4" w:space="0" w:color="auto"/>
              <w:right w:val="single" w:sz="4" w:space="0" w:color="auto"/>
            </w:tcBorders>
            <w:shd w:val="clear" w:color="auto" w:fill="auto"/>
            <w:noWrap/>
            <w:vAlign w:val="center"/>
            <w:hideMark/>
          </w:tcPr>
          <w:p w14:paraId="5E1E7B5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5.38</w:t>
            </w:r>
          </w:p>
        </w:tc>
      </w:tr>
      <w:tr w:rsidR="00AF70E1" w:rsidRPr="00D93D2D" w14:paraId="37539FDD"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DE4558"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24</w:t>
            </w:r>
          </w:p>
        </w:tc>
        <w:tc>
          <w:tcPr>
            <w:tcW w:w="684" w:type="dxa"/>
            <w:tcBorders>
              <w:top w:val="nil"/>
              <w:left w:val="nil"/>
              <w:bottom w:val="single" w:sz="4" w:space="0" w:color="auto"/>
              <w:right w:val="single" w:sz="4" w:space="0" w:color="auto"/>
            </w:tcBorders>
            <w:shd w:val="clear" w:color="auto" w:fill="auto"/>
            <w:noWrap/>
            <w:vAlign w:val="center"/>
            <w:hideMark/>
          </w:tcPr>
          <w:p w14:paraId="3B17012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7C95351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30.30</w:t>
            </w:r>
          </w:p>
        </w:tc>
        <w:tc>
          <w:tcPr>
            <w:tcW w:w="684" w:type="dxa"/>
            <w:tcBorders>
              <w:top w:val="nil"/>
              <w:left w:val="nil"/>
              <w:bottom w:val="single" w:sz="4" w:space="0" w:color="auto"/>
              <w:right w:val="single" w:sz="4" w:space="0" w:color="auto"/>
            </w:tcBorders>
            <w:shd w:val="clear" w:color="auto" w:fill="auto"/>
            <w:noWrap/>
            <w:vAlign w:val="center"/>
            <w:hideMark/>
          </w:tcPr>
          <w:p w14:paraId="0322F5C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20.77</w:t>
            </w:r>
          </w:p>
        </w:tc>
        <w:tc>
          <w:tcPr>
            <w:tcW w:w="673" w:type="dxa"/>
            <w:tcBorders>
              <w:top w:val="nil"/>
              <w:left w:val="nil"/>
              <w:bottom w:val="single" w:sz="4" w:space="0" w:color="auto"/>
              <w:right w:val="single" w:sz="4" w:space="0" w:color="auto"/>
            </w:tcBorders>
            <w:shd w:val="clear" w:color="auto" w:fill="auto"/>
            <w:noWrap/>
            <w:vAlign w:val="center"/>
            <w:hideMark/>
          </w:tcPr>
          <w:p w14:paraId="6F3C545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64.84</w:t>
            </w:r>
          </w:p>
        </w:tc>
        <w:tc>
          <w:tcPr>
            <w:tcW w:w="673" w:type="dxa"/>
            <w:tcBorders>
              <w:top w:val="nil"/>
              <w:left w:val="nil"/>
              <w:bottom w:val="single" w:sz="4" w:space="0" w:color="auto"/>
              <w:right w:val="single" w:sz="4" w:space="0" w:color="auto"/>
            </w:tcBorders>
            <w:shd w:val="clear" w:color="auto" w:fill="auto"/>
            <w:noWrap/>
            <w:vAlign w:val="center"/>
            <w:hideMark/>
          </w:tcPr>
          <w:p w14:paraId="787DA25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7.19</w:t>
            </w:r>
          </w:p>
        </w:tc>
        <w:tc>
          <w:tcPr>
            <w:tcW w:w="673" w:type="dxa"/>
            <w:tcBorders>
              <w:top w:val="nil"/>
              <w:left w:val="nil"/>
              <w:bottom w:val="single" w:sz="4" w:space="0" w:color="auto"/>
              <w:right w:val="single" w:sz="4" w:space="0" w:color="auto"/>
            </w:tcBorders>
            <w:shd w:val="clear" w:color="auto" w:fill="auto"/>
            <w:noWrap/>
            <w:vAlign w:val="center"/>
            <w:hideMark/>
          </w:tcPr>
          <w:p w14:paraId="06CAE99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w:t>
            </w:r>
          </w:p>
        </w:tc>
        <w:tc>
          <w:tcPr>
            <w:tcW w:w="673" w:type="dxa"/>
            <w:tcBorders>
              <w:top w:val="nil"/>
              <w:left w:val="nil"/>
              <w:bottom w:val="single" w:sz="4" w:space="0" w:color="auto"/>
              <w:right w:val="single" w:sz="4" w:space="0" w:color="auto"/>
            </w:tcBorders>
            <w:shd w:val="clear" w:color="auto" w:fill="auto"/>
            <w:noWrap/>
            <w:vAlign w:val="center"/>
            <w:hideMark/>
          </w:tcPr>
          <w:p w14:paraId="3170CA1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71.87</w:t>
            </w:r>
          </w:p>
        </w:tc>
        <w:tc>
          <w:tcPr>
            <w:tcW w:w="673" w:type="dxa"/>
            <w:tcBorders>
              <w:top w:val="nil"/>
              <w:left w:val="nil"/>
              <w:bottom w:val="single" w:sz="4" w:space="0" w:color="auto"/>
              <w:right w:val="single" w:sz="4" w:space="0" w:color="auto"/>
            </w:tcBorders>
            <w:shd w:val="clear" w:color="auto" w:fill="auto"/>
            <w:noWrap/>
            <w:vAlign w:val="center"/>
            <w:hideMark/>
          </w:tcPr>
          <w:p w14:paraId="4F055B4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143.73</w:t>
            </w:r>
          </w:p>
        </w:tc>
        <w:tc>
          <w:tcPr>
            <w:tcW w:w="673" w:type="dxa"/>
            <w:tcBorders>
              <w:top w:val="nil"/>
              <w:left w:val="nil"/>
              <w:bottom w:val="single" w:sz="4" w:space="0" w:color="auto"/>
              <w:right w:val="single" w:sz="4" w:space="0" w:color="auto"/>
            </w:tcBorders>
            <w:shd w:val="clear" w:color="auto" w:fill="auto"/>
            <w:noWrap/>
            <w:vAlign w:val="center"/>
            <w:hideMark/>
          </w:tcPr>
          <w:p w14:paraId="1B8A750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0.35</w:t>
            </w:r>
          </w:p>
        </w:tc>
        <w:tc>
          <w:tcPr>
            <w:tcW w:w="673" w:type="dxa"/>
            <w:tcBorders>
              <w:top w:val="nil"/>
              <w:left w:val="nil"/>
              <w:bottom w:val="single" w:sz="4" w:space="0" w:color="auto"/>
              <w:right w:val="single" w:sz="4" w:space="0" w:color="auto"/>
            </w:tcBorders>
            <w:shd w:val="clear" w:color="auto" w:fill="auto"/>
            <w:noWrap/>
            <w:vAlign w:val="center"/>
            <w:hideMark/>
          </w:tcPr>
          <w:p w14:paraId="29B7572B"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0.69</w:t>
            </w:r>
          </w:p>
        </w:tc>
        <w:tc>
          <w:tcPr>
            <w:tcW w:w="673" w:type="dxa"/>
            <w:tcBorders>
              <w:top w:val="nil"/>
              <w:left w:val="nil"/>
              <w:bottom w:val="single" w:sz="4" w:space="0" w:color="auto"/>
              <w:right w:val="single" w:sz="4" w:space="0" w:color="auto"/>
            </w:tcBorders>
            <w:shd w:val="clear" w:color="auto" w:fill="auto"/>
            <w:noWrap/>
            <w:vAlign w:val="center"/>
            <w:hideMark/>
          </w:tcPr>
          <w:p w14:paraId="7997E21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3.46</w:t>
            </w:r>
          </w:p>
        </w:tc>
        <w:tc>
          <w:tcPr>
            <w:tcW w:w="673" w:type="dxa"/>
            <w:tcBorders>
              <w:top w:val="nil"/>
              <w:left w:val="nil"/>
              <w:bottom w:val="single" w:sz="4" w:space="0" w:color="auto"/>
              <w:right w:val="single" w:sz="4" w:space="0" w:color="auto"/>
            </w:tcBorders>
            <w:shd w:val="clear" w:color="auto" w:fill="auto"/>
            <w:noWrap/>
            <w:vAlign w:val="center"/>
            <w:hideMark/>
          </w:tcPr>
          <w:p w14:paraId="52CA560A"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6.92</w:t>
            </w:r>
          </w:p>
        </w:tc>
      </w:tr>
      <w:tr w:rsidR="00AF70E1" w:rsidRPr="00D93D2D" w14:paraId="4E465622"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28C02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34</w:t>
            </w:r>
          </w:p>
        </w:tc>
        <w:tc>
          <w:tcPr>
            <w:tcW w:w="684" w:type="dxa"/>
            <w:tcBorders>
              <w:top w:val="nil"/>
              <w:left w:val="nil"/>
              <w:bottom w:val="single" w:sz="4" w:space="0" w:color="auto"/>
              <w:right w:val="single" w:sz="4" w:space="0" w:color="auto"/>
            </w:tcBorders>
            <w:shd w:val="clear" w:color="auto" w:fill="auto"/>
            <w:noWrap/>
            <w:vAlign w:val="center"/>
            <w:hideMark/>
          </w:tcPr>
          <w:p w14:paraId="1C6023A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2F43CFAD"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39.22</w:t>
            </w:r>
          </w:p>
        </w:tc>
        <w:tc>
          <w:tcPr>
            <w:tcW w:w="684" w:type="dxa"/>
            <w:tcBorders>
              <w:top w:val="nil"/>
              <w:left w:val="nil"/>
              <w:bottom w:val="single" w:sz="4" w:space="0" w:color="auto"/>
              <w:right w:val="single" w:sz="4" w:space="0" w:color="auto"/>
            </w:tcBorders>
            <w:shd w:val="clear" w:color="auto" w:fill="auto"/>
            <w:noWrap/>
            <w:vAlign w:val="center"/>
            <w:hideMark/>
          </w:tcPr>
          <w:p w14:paraId="5782E0C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20.77</w:t>
            </w:r>
          </w:p>
        </w:tc>
        <w:tc>
          <w:tcPr>
            <w:tcW w:w="673" w:type="dxa"/>
            <w:tcBorders>
              <w:top w:val="nil"/>
              <w:left w:val="nil"/>
              <w:bottom w:val="single" w:sz="4" w:space="0" w:color="auto"/>
              <w:right w:val="single" w:sz="4" w:space="0" w:color="auto"/>
            </w:tcBorders>
            <w:shd w:val="clear" w:color="auto" w:fill="auto"/>
            <w:noWrap/>
            <w:vAlign w:val="center"/>
            <w:hideMark/>
          </w:tcPr>
          <w:p w14:paraId="52F7518B"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83.93</w:t>
            </w:r>
          </w:p>
        </w:tc>
        <w:tc>
          <w:tcPr>
            <w:tcW w:w="673" w:type="dxa"/>
            <w:tcBorders>
              <w:top w:val="nil"/>
              <w:left w:val="nil"/>
              <w:bottom w:val="single" w:sz="4" w:space="0" w:color="auto"/>
              <w:right w:val="single" w:sz="4" w:space="0" w:color="auto"/>
            </w:tcBorders>
            <w:shd w:val="clear" w:color="auto" w:fill="auto"/>
            <w:noWrap/>
            <w:vAlign w:val="center"/>
            <w:hideMark/>
          </w:tcPr>
          <w:p w14:paraId="7500345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w:t>
            </w:r>
          </w:p>
        </w:tc>
        <w:tc>
          <w:tcPr>
            <w:tcW w:w="673" w:type="dxa"/>
            <w:tcBorders>
              <w:top w:val="nil"/>
              <w:left w:val="nil"/>
              <w:bottom w:val="single" w:sz="4" w:space="0" w:color="auto"/>
              <w:right w:val="single" w:sz="4" w:space="0" w:color="auto"/>
            </w:tcBorders>
            <w:shd w:val="clear" w:color="auto" w:fill="auto"/>
            <w:noWrap/>
            <w:vAlign w:val="center"/>
            <w:hideMark/>
          </w:tcPr>
          <w:p w14:paraId="23E598B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w:t>
            </w:r>
          </w:p>
        </w:tc>
        <w:tc>
          <w:tcPr>
            <w:tcW w:w="673" w:type="dxa"/>
            <w:tcBorders>
              <w:top w:val="nil"/>
              <w:left w:val="nil"/>
              <w:bottom w:val="single" w:sz="4" w:space="0" w:color="auto"/>
              <w:right w:val="single" w:sz="4" w:space="0" w:color="auto"/>
            </w:tcBorders>
            <w:shd w:val="clear" w:color="auto" w:fill="auto"/>
            <w:noWrap/>
            <w:vAlign w:val="center"/>
            <w:hideMark/>
          </w:tcPr>
          <w:p w14:paraId="3A20A8E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81.41</w:t>
            </w:r>
          </w:p>
        </w:tc>
        <w:tc>
          <w:tcPr>
            <w:tcW w:w="673" w:type="dxa"/>
            <w:tcBorders>
              <w:top w:val="nil"/>
              <w:left w:val="nil"/>
              <w:bottom w:val="single" w:sz="4" w:space="0" w:color="auto"/>
              <w:right w:val="single" w:sz="4" w:space="0" w:color="auto"/>
            </w:tcBorders>
            <w:shd w:val="clear" w:color="auto" w:fill="auto"/>
            <w:noWrap/>
            <w:vAlign w:val="center"/>
            <w:hideMark/>
          </w:tcPr>
          <w:p w14:paraId="11FB980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162.83</w:t>
            </w:r>
          </w:p>
        </w:tc>
        <w:tc>
          <w:tcPr>
            <w:tcW w:w="673" w:type="dxa"/>
            <w:tcBorders>
              <w:top w:val="nil"/>
              <w:left w:val="nil"/>
              <w:bottom w:val="single" w:sz="4" w:space="0" w:color="auto"/>
              <w:right w:val="single" w:sz="4" w:space="0" w:color="auto"/>
            </w:tcBorders>
            <w:shd w:val="clear" w:color="auto" w:fill="auto"/>
            <w:noWrap/>
            <w:vAlign w:val="center"/>
            <w:hideMark/>
          </w:tcPr>
          <w:p w14:paraId="7C03372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0.39</w:t>
            </w:r>
          </w:p>
        </w:tc>
        <w:tc>
          <w:tcPr>
            <w:tcW w:w="673" w:type="dxa"/>
            <w:tcBorders>
              <w:top w:val="nil"/>
              <w:left w:val="nil"/>
              <w:bottom w:val="single" w:sz="4" w:space="0" w:color="auto"/>
              <w:right w:val="single" w:sz="4" w:space="0" w:color="auto"/>
            </w:tcBorders>
            <w:shd w:val="clear" w:color="auto" w:fill="auto"/>
            <w:noWrap/>
            <w:vAlign w:val="center"/>
            <w:hideMark/>
          </w:tcPr>
          <w:p w14:paraId="2267B66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0.78</w:t>
            </w:r>
          </w:p>
        </w:tc>
        <w:tc>
          <w:tcPr>
            <w:tcW w:w="673" w:type="dxa"/>
            <w:tcBorders>
              <w:top w:val="nil"/>
              <w:left w:val="nil"/>
              <w:bottom w:val="single" w:sz="4" w:space="0" w:color="auto"/>
              <w:right w:val="single" w:sz="4" w:space="0" w:color="auto"/>
            </w:tcBorders>
            <w:shd w:val="clear" w:color="auto" w:fill="auto"/>
            <w:noWrap/>
            <w:vAlign w:val="center"/>
            <w:hideMark/>
          </w:tcPr>
          <w:p w14:paraId="7FCC473B"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3.92</w:t>
            </w:r>
          </w:p>
        </w:tc>
        <w:tc>
          <w:tcPr>
            <w:tcW w:w="673" w:type="dxa"/>
            <w:tcBorders>
              <w:top w:val="nil"/>
              <w:left w:val="nil"/>
              <w:bottom w:val="single" w:sz="4" w:space="0" w:color="auto"/>
              <w:right w:val="single" w:sz="4" w:space="0" w:color="auto"/>
            </w:tcBorders>
            <w:shd w:val="clear" w:color="auto" w:fill="auto"/>
            <w:noWrap/>
            <w:vAlign w:val="center"/>
            <w:hideMark/>
          </w:tcPr>
          <w:p w14:paraId="5AD591C7"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7.84</w:t>
            </w:r>
          </w:p>
        </w:tc>
      </w:tr>
      <w:tr w:rsidR="00AF70E1" w:rsidRPr="00D93D2D" w14:paraId="432E26EF"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B634431"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44</w:t>
            </w:r>
          </w:p>
        </w:tc>
        <w:tc>
          <w:tcPr>
            <w:tcW w:w="684" w:type="dxa"/>
            <w:tcBorders>
              <w:top w:val="nil"/>
              <w:left w:val="nil"/>
              <w:bottom w:val="single" w:sz="4" w:space="0" w:color="auto"/>
              <w:right w:val="single" w:sz="4" w:space="0" w:color="auto"/>
            </w:tcBorders>
            <w:shd w:val="clear" w:color="auto" w:fill="auto"/>
            <w:noWrap/>
            <w:vAlign w:val="bottom"/>
            <w:hideMark/>
          </w:tcPr>
          <w:p w14:paraId="2A3C16F2"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5E49013A"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48.74</w:t>
            </w:r>
          </w:p>
        </w:tc>
        <w:tc>
          <w:tcPr>
            <w:tcW w:w="684" w:type="dxa"/>
            <w:tcBorders>
              <w:top w:val="nil"/>
              <w:left w:val="nil"/>
              <w:bottom w:val="single" w:sz="4" w:space="0" w:color="auto"/>
              <w:right w:val="single" w:sz="4" w:space="0" w:color="auto"/>
            </w:tcBorders>
            <w:shd w:val="clear" w:color="auto" w:fill="auto"/>
            <w:noWrap/>
            <w:vAlign w:val="bottom"/>
            <w:hideMark/>
          </w:tcPr>
          <w:p w14:paraId="31C0FA91"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20.77</w:t>
            </w:r>
          </w:p>
        </w:tc>
        <w:tc>
          <w:tcPr>
            <w:tcW w:w="673" w:type="dxa"/>
            <w:tcBorders>
              <w:top w:val="nil"/>
              <w:left w:val="nil"/>
              <w:bottom w:val="single" w:sz="4" w:space="0" w:color="auto"/>
              <w:right w:val="single" w:sz="4" w:space="0" w:color="auto"/>
            </w:tcBorders>
            <w:shd w:val="clear" w:color="auto" w:fill="auto"/>
            <w:noWrap/>
            <w:vAlign w:val="bottom"/>
            <w:hideMark/>
          </w:tcPr>
          <w:p w14:paraId="5359671D"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104.30</w:t>
            </w:r>
          </w:p>
        </w:tc>
        <w:tc>
          <w:tcPr>
            <w:tcW w:w="673" w:type="dxa"/>
            <w:tcBorders>
              <w:top w:val="nil"/>
              <w:left w:val="nil"/>
              <w:bottom w:val="single" w:sz="4" w:space="0" w:color="auto"/>
              <w:right w:val="single" w:sz="4" w:space="0" w:color="auto"/>
            </w:tcBorders>
            <w:shd w:val="clear" w:color="auto" w:fill="auto"/>
            <w:noWrap/>
            <w:vAlign w:val="bottom"/>
            <w:hideMark/>
          </w:tcPr>
          <w:p w14:paraId="27D5A69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w:t>
            </w:r>
          </w:p>
        </w:tc>
        <w:tc>
          <w:tcPr>
            <w:tcW w:w="673" w:type="dxa"/>
            <w:tcBorders>
              <w:top w:val="nil"/>
              <w:left w:val="nil"/>
              <w:bottom w:val="single" w:sz="4" w:space="0" w:color="auto"/>
              <w:right w:val="single" w:sz="4" w:space="0" w:color="auto"/>
            </w:tcBorders>
            <w:shd w:val="clear" w:color="auto" w:fill="auto"/>
            <w:noWrap/>
            <w:vAlign w:val="bottom"/>
            <w:hideMark/>
          </w:tcPr>
          <w:p w14:paraId="4A64CDA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18.32</w:t>
            </w:r>
          </w:p>
        </w:tc>
        <w:tc>
          <w:tcPr>
            <w:tcW w:w="673" w:type="dxa"/>
            <w:tcBorders>
              <w:top w:val="nil"/>
              <w:left w:val="nil"/>
              <w:bottom w:val="single" w:sz="4" w:space="0" w:color="auto"/>
              <w:right w:val="single" w:sz="4" w:space="0" w:color="auto"/>
            </w:tcBorders>
            <w:shd w:val="clear" w:color="auto" w:fill="auto"/>
            <w:noWrap/>
            <w:vAlign w:val="bottom"/>
            <w:hideMark/>
          </w:tcPr>
          <w:p w14:paraId="1831DDCE"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91.60</w:t>
            </w:r>
          </w:p>
        </w:tc>
        <w:tc>
          <w:tcPr>
            <w:tcW w:w="673" w:type="dxa"/>
            <w:tcBorders>
              <w:top w:val="nil"/>
              <w:left w:val="nil"/>
              <w:bottom w:val="single" w:sz="4" w:space="0" w:color="auto"/>
              <w:right w:val="single" w:sz="4" w:space="0" w:color="auto"/>
            </w:tcBorders>
            <w:shd w:val="clear" w:color="auto" w:fill="auto"/>
            <w:noWrap/>
            <w:vAlign w:val="bottom"/>
            <w:hideMark/>
          </w:tcPr>
          <w:p w14:paraId="4C16D76A"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183.19</w:t>
            </w:r>
          </w:p>
        </w:tc>
        <w:tc>
          <w:tcPr>
            <w:tcW w:w="673" w:type="dxa"/>
            <w:tcBorders>
              <w:top w:val="nil"/>
              <w:left w:val="nil"/>
              <w:bottom w:val="single" w:sz="4" w:space="0" w:color="auto"/>
              <w:right w:val="single" w:sz="4" w:space="0" w:color="auto"/>
            </w:tcBorders>
            <w:shd w:val="clear" w:color="auto" w:fill="auto"/>
            <w:noWrap/>
            <w:vAlign w:val="bottom"/>
            <w:hideMark/>
          </w:tcPr>
          <w:p w14:paraId="2352E476"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0.44</w:t>
            </w:r>
          </w:p>
        </w:tc>
        <w:tc>
          <w:tcPr>
            <w:tcW w:w="673" w:type="dxa"/>
            <w:tcBorders>
              <w:top w:val="nil"/>
              <w:left w:val="nil"/>
              <w:bottom w:val="single" w:sz="4" w:space="0" w:color="auto"/>
              <w:right w:val="single" w:sz="4" w:space="0" w:color="auto"/>
            </w:tcBorders>
            <w:shd w:val="clear" w:color="auto" w:fill="auto"/>
            <w:noWrap/>
            <w:vAlign w:val="bottom"/>
            <w:hideMark/>
          </w:tcPr>
          <w:p w14:paraId="3E134C5F"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0.88</w:t>
            </w:r>
          </w:p>
        </w:tc>
        <w:tc>
          <w:tcPr>
            <w:tcW w:w="673" w:type="dxa"/>
            <w:tcBorders>
              <w:top w:val="nil"/>
              <w:left w:val="nil"/>
              <w:bottom w:val="single" w:sz="4" w:space="0" w:color="auto"/>
              <w:right w:val="single" w:sz="4" w:space="0" w:color="auto"/>
            </w:tcBorders>
            <w:shd w:val="clear" w:color="auto" w:fill="auto"/>
            <w:noWrap/>
            <w:vAlign w:val="bottom"/>
            <w:hideMark/>
          </w:tcPr>
          <w:p w14:paraId="0565B99F"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4.41</w:t>
            </w:r>
          </w:p>
        </w:tc>
        <w:tc>
          <w:tcPr>
            <w:tcW w:w="673" w:type="dxa"/>
            <w:tcBorders>
              <w:top w:val="nil"/>
              <w:left w:val="nil"/>
              <w:bottom w:val="single" w:sz="4" w:space="0" w:color="auto"/>
              <w:right w:val="single" w:sz="4" w:space="0" w:color="auto"/>
            </w:tcBorders>
            <w:shd w:val="clear" w:color="auto" w:fill="auto"/>
            <w:noWrap/>
            <w:vAlign w:val="bottom"/>
            <w:hideMark/>
          </w:tcPr>
          <w:p w14:paraId="2A8ECBD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8.82</w:t>
            </w:r>
          </w:p>
        </w:tc>
      </w:tr>
      <w:tr w:rsidR="00AF70E1" w:rsidRPr="00D93D2D" w14:paraId="7267BEE8"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C986B06"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54</w:t>
            </w:r>
          </w:p>
        </w:tc>
        <w:tc>
          <w:tcPr>
            <w:tcW w:w="684" w:type="dxa"/>
            <w:tcBorders>
              <w:top w:val="nil"/>
              <w:left w:val="nil"/>
              <w:bottom w:val="single" w:sz="4" w:space="0" w:color="auto"/>
              <w:right w:val="single" w:sz="4" w:space="0" w:color="auto"/>
            </w:tcBorders>
            <w:shd w:val="clear" w:color="auto" w:fill="auto"/>
            <w:noWrap/>
            <w:vAlign w:val="bottom"/>
            <w:hideMark/>
          </w:tcPr>
          <w:p w14:paraId="5E4EBAF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0D678441"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90.38</w:t>
            </w:r>
          </w:p>
        </w:tc>
        <w:tc>
          <w:tcPr>
            <w:tcW w:w="684" w:type="dxa"/>
            <w:tcBorders>
              <w:top w:val="nil"/>
              <w:left w:val="nil"/>
              <w:bottom w:val="single" w:sz="4" w:space="0" w:color="auto"/>
              <w:right w:val="single" w:sz="4" w:space="0" w:color="auto"/>
            </w:tcBorders>
            <w:shd w:val="clear" w:color="auto" w:fill="auto"/>
            <w:noWrap/>
            <w:vAlign w:val="bottom"/>
            <w:hideMark/>
          </w:tcPr>
          <w:p w14:paraId="5749620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20.77</w:t>
            </w:r>
          </w:p>
        </w:tc>
        <w:tc>
          <w:tcPr>
            <w:tcW w:w="673" w:type="dxa"/>
            <w:tcBorders>
              <w:top w:val="nil"/>
              <w:left w:val="nil"/>
              <w:bottom w:val="single" w:sz="4" w:space="0" w:color="auto"/>
              <w:right w:val="single" w:sz="4" w:space="0" w:color="auto"/>
            </w:tcBorders>
            <w:shd w:val="clear" w:color="auto" w:fill="auto"/>
            <w:noWrap/>
            <w:vAlign w:val="bottom"/>
            <w:hideMark/>
          </w:tcPr>
          <w:p w14:paraId="35421A5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193.41</w:t>
            </w:r>
          </w:p>
        </w:tc>
        <w:tc>
          <w:tcPr>
            <w:tcW w:w="673" w:type="dxa"/>
            <w:tcBorders>
              <w:top w:val="nil"/>
              <w:left w:val="nil"/>
              <w:bottom w:val="single" w:sz="4" w:space="0" w:color="auto"/>
              <w:right w:val="single" w:sz="4" w:space="0" w:color="auto"/>
            </w:tcBorders>
            <w:shd w:val="clear" w:color="auto" w:fill="auto"/>
            <w:noWrap/>
            <w:vAlign w:val="bottom"/>
            <w:hideMark/>
          </w:tcPr>
          <w:p w14:paraId="43F8F16A"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13.62</w:t>
            </w:r>
          </w:p>
        </w:tc>
        <w:tc>
          <w:tcPr>
            <w:tcW w:w="673" w:type="dxa"/>
            <w:tcBorders>
              <w:top w:val="nil"/>
              <w:left w:val="nil"/>
              <w:bottom w:val="single" w:sz="4" w:space="0" w:color="auto"/>
              <w:right w:val="single" w:sz="4" w:space="0" w:color="auto"/>
            </w:tcBorders>
            <w:shd w:val="clear" w:color="auto" w:fill="auto"/>
            <w:noWrap/>
            <w:vAlign w:val="bottom"/>
            <w:hideMark/>
          </w:tcPr>
          <w:p w14:paraId="405254BC"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w:t>
            </w:r>
          </w:p>
        </w:tc>
        <w:tc>
          <w:tcPr>
            <w:tcW w:w="673" w:type="dxa"/>
            <w:tcBorders>
              <w:top w:val="nil"/>
              <w:left w:val="nil"/>
              <w:bottom w:val="single" w:sz="4" w:space="0" w:color="auto"/>
              <w:right w:val="single" w:sz="4" w:space="0" w:color="auto"/>
            </w:tcBorders>
            <w:shd w:val="clear" w:color="auto" w:fill="auto"/>
            <w:noWrap/>
            <w:vAlign w:val="bottom"/>
            <w:hideMark/>
          </w:tcPr>
          <w:p w14:paraId="31899959"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136.15</w:t>
            </w:r>
          </w:p>
        </w:tc>
        <w:tc>
          <w:tcPr>
            <w:tcW w:w="673" w:type="dxa"/>
            <w:tcBorders>
              <w:top w:val="nil"/>
              <w:left w:val="nil"/>
              <w:bottom w:val="single" w:sz="4" w:space="0" w:color="auto"/>
              <w:right w:val="single" w:sz="4" w:space="0" w:color="auto"/>
            </w:tcBorders>
            <w:shd w:val="clear" w:color="auto" w:fill="auto"/>
            <w:noWrap/>
            <w:vAlign w:val="bottom"/>
            <w:hideMark/>
          </w:tcPr>
          <w:p w14:paraId="06CCB82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272.30</w:t>
            </w:r>
          </w:p>
        </w:tc>
        <w:tc>
          <w:tcPr>
            <w:tcW w:w="673" w:type="dxa"/>
            <w:tcBorders>
              <w:top w:val="nil"/>
              <w:left w:val="nil"/>
              <w:bottom w:val="single" w:sz="4" w:space="0" w:color="auto"/>
              <w:right w:val="single" w:sz="4" w:space="0" w:color="auto"/>
            </w:tcBorders>
            <w:shd w:val="clear" w:color="auto" w:fill="auto"/>
            <w:noWrap/>
            <w:vAlign w:val="bottom"/>
            <w:hideMark/>
          </w:tcPr>
          <w:p w14:paraId="76C0D12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0.66</w:t>
            </w:r>
          </w:p>
        </w:tc>
        <w:tc>
          <w:tcPr>
            <w:tcW w:w="673" w:type="dxa"/>
            <w:tcBorders>
              <w:top w:val="nil"/>
              <w:left w:val="nil"/>
              <w:bottom w:val="single" w:sz="4" w:space="0" w:color="auto"/>
              <w:right w:val="single" w:sz="4" w:space="0" w:color="auto"/>
            </w:tcBorders>
            <w:shd w:val="clear" w:color="auto" w:fill="auto"/>
            <w:noWrap/>
            <w:vAlign w:val="bottom"/>
            <w:hideMark/>
          </w:tcPr>
          <w:p w14:paraId="5E24DF72"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1.31</w:t>
            </w:r>
          </w:p>
        </w:tc>
        <w:tc>
          <w:tcPr>
            <w:tcW w:w="673" w:type="dxa"/>
            <w:tcBorders>
              <w:top w:val="nil"/>
              <w:left w:val="nil"/>
              <w:bottom w:val="single" w:sz="4" w:space="0" w:color="auto"/>
              <w:right w:val="single" w:sz="4" w:space="0" w:color="auto"/>
            </w:tcBorders>
            <w:shd w:val="clear" w:color="auto" w:fill="auto"/>
            <w:noWrap/>
            <w:vAlign w:val="bottom"/>
            <w:hideMark/>
          </w:tcPr>
          <w:p w14:paraId="479CF241"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6.55</w:t>
            </w:r>
          </w:p>
        </w:tc>
        <w:tc>
          <w:tcPr>
            <w:tcW w:w="673" w:type="dxa"/>
            <w:tcBorders>
              <w:top w:val="nil"/>
              <w:left w:val="nil"/>
              <w:bottom w:val="single" w:sz="4" w:space="0" w:color="auto"/>
              <w:right w:val="single" w:sz="4" w:space="0" w:color="auto"/>
            </w:tcBorders>
            <w:shd w:val="clear" w:color="auto" w:fill="auto"/>
            <w:noWrap/>
            <w:vAlign w:val="bottom"/>
            <w:hideMark/>
          </w:tcPr>
          <w:p w14:paraId="6B06794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13.11</w:t>
            </w:r>
          </w:p>
        </w:tc>
      </w:tr>
      <w:tr w:rsidR="00AF70E1" w:rsidRPr="00D93D2D" w14:paraId="57F3CF0E"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13BEF3"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15</w:t>
            </w:r>
          </w:p>
        </w:tc>
        <w:tc>
          <w:tcPr>
            <w:tcW w:w="684" w:type="dxa"/>
            <w:tcBorders>
              <w:top w:val="nil"/>
              <w:left w:val="nil"/>
              <w:bottom w:val="single" w:sz="4" w:space="0" w:color="auto"/>
              <w:right w:val="single" w:sz="4" w:space="0" w:color="auto"/>
            </w:tcBorders>
            <w:shd w:val="clear" w:color="auto" w:fill="auto"/>
            <w:noWrap/>
            <w:vAlign w:val="center"/>
            <w:hideMark/>
          </w:tcPr>
          <w:p w14:paraId="3D911CB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030740F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15.33</w:t>
            </w:r>
          </w:p>
        </w:tc>
        <w:tc>
          <w:tcPr>
            <w:tcW w:w="684" w:type="dxa"/>
            <w:tcBorders>
              <w:top w:val="nil"/>
              <w:left w:val="nil"/>
              <w:bottom w:val="single" w:sz="4" w:space="0" w:color="auto"/>
              <w:right w:val="single" w:sz="4" w:space="0" w:color="auto"/>
            </w:tcBorders>
            <w:shd w:val="clear" w:color="auto" w:fill="auto"/>
            <w:noWrap/>
            <w:vAlign w:val="center"/>
            <w:hideMark/>
          </w:tcPr>
          <w:p w14:paraId="48533AB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41.55</w:t>
            </w:r>
          </w:p>
        </w:tc>
        <w:tc>
          <w:tcPr>
            <w:tcW w:w="673" w:type="dxa"/>
            <w:tcBorders>
              <w:top w:val="nil"/>
              <w:left w:val="nil"/>
              <w:bottom w:val="single" w:sz="4" w:space="0" w:color="auto"/>
              <w:right w:val="single" w:sz="4" w:space="0" w:color="auto"/>
            </w:tcBorders>
            <w:shd w:val="clear" w:color="auto" w:fill="auto"/>
            <w:noWrap/>
            <w:vAlign w:val="center"/>
            <w:hideMark/>
          </w:tcPr>
          <w:p w14:paraId="3BFF435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32.81</w:t>
            </w:r>
          </w:p>
        </w:tc>
        <w:tc>
          <w:tcPr>
            <w:tcW w:w="673" w:type="dxa"/>
            <w:tcBorders>
              <w:top w:val="nil"/>
              <w:left w:val="nil"/>
              <w:bottom w:val="single" w:sz="4" w:space="0" w:color="auto"/>
              <w:right w:val="single" w:sz="4" w:space="0" w:color="auto"/>
            </w:tcBorders>
            <w:shd w:val="clear" w:color="auto" w:fill="auto"/>
            <w:noWrap/>
            <w:vAlign w:val="center"/>
            <w:hideMark/>
          </w:tcPr>
          <w:p w14:paraId="4AC62895"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5.59</w:t>
            </w:r>
          </w:p>
        </w:tc>
        <w:tc>
          <w:tcPr>
            <w:tcW w:w="673" w:type="dxa"/>
            <w:tcBorders>
              <w:top w:val="nil"/>
              <w:left w:val="nil"/>
              <w:bottom w:val="single" w:sz="4" w:space="0" w:color="auto"/>
              <w:right w:val="single" w:sz="4" w:space="0" w:color="auto"/>
            </w:tcBorders>
            <w:shd w:val="clear" w:color="auto" w:fill="auto"/>
            <w:noWrap/>
            <w:vAlign w:val="center"/>
            <w:hideMark/>
          </w:tcPr>
          <w:p w14:paraId="2F0FB1C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w:t>
            </w:r>
          </w:p>
        </w:tc>
        <w:tc>
          <w:tcPr>
            <w:tcW w:w="673" w:type="dxa"/>
            <w:tcBorders>
              <w:top w:val="nil"/>
              <w:left w:val="nil"/>
              <w:bottom w:val="single" w:sz="4" w:space="0" w:color="auto"/>
              <w:right w:val="single" w:sz="4" w:space="0" w:color="auto"/>
            </w:tcBorders>
            <w:shd w:val="clear" w:color="auto" w:fill="auto"/>
            <w:noWrap/>
            <w:vAlign w:val="center"/>
            <w:hideMark/>
          </w:tcPr>
          <w:p w14:paraId="0823C403"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55.85</w:t>
            </w:r>
          </w:p>
        </w:tc>
        <w:tc>
          <w:tcPr>
            <w:tcW w:w="673" w:type="dxa"/>
            <w:tcBorders>
              <w:top w:val="nil"/>
              <w:left w:val="nil"/>
              <w:bottom w:val="single" w:sz="4" w:space="0" w:color="auto"/>
              <w:right w:val="single" w:sz="4" w:space="0" w:color="auto"/>
            </w:tcBorders>
            <w:shd w:val="clear" w:color="auto" w:fill="auto"/>
            <w:noWrap/>
            <w:vAlign w:val="center"/>
            <w:hideMark/>
          </w:tcPr>
          <w:p w14:paraId="5F235AB7"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111.70</w:t>
            </w:r>
          </w:p>
        </w:tc>
        <w:tc>
          <w:tcPr>
            <w:tcW w:w="673" w:type="dxa"/>
            <w:tcBorders>
              <w:top w:val="nil"/>
              <w:left w:val="nil"/>
              <w:bottom w:val="single" w:sz="4" w:space="0" w:color="auto"/>
              <w:right w:val="single" w:sz="4" w:space="0" w:color="auto"/>
            </w:tcBorders>
            <w:shd w:val="clear" w:color="auto" w:fill="auto"/>
            <w:noWrap/>
            <w:vAlign w:val="center"/>
            <w:hideMark/>
          </w:tcPr>
          <w:p w14:paraId="6A5BFE1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0.13</w:t>
            </w:r>
          </w:p>
        </w:tc>
        <w:tc>
          <w:tcPr>
            <w:tcW w:w="673" w:type="dxa"/>
            <w:tcBorders>
              <w:top w:val="nil"/>
              <w:left w:val="nil"/>
              <w:bottom w:val="single" w:sz="4" w:space="0" w:color="auto"/>
              <w:right w:val="single" w:sz="4" w:space="0" w:color="auto"/>
            </w:tcBorders>
            <w:shd w:val="clear" w:color="auto" w:fill="auto"/>
            <w:noWrap/>
            <w:vAlign w:val="center"/>
            <w:hideMark/>
          </w:tcPr>
          <w:p w14:paraId="662F898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0.27</w:t>
            </w:r>
          </w:p>
        </w:tc>
        <w:tc>
          <w:tcPr>
            <w:tcW w:w="673" w:type="dxa"/>
            <w:tcBorders>
              <w:top w:val="nil"/>
              <w:left w:val="nil"/>
              <w:bottom w:val="single" w:sz="4" w:space="0" w:color="auto"/>
              <w:right w:val="single" w:sz="4" w:space="0" w:color="auto"/>
            </w:tcBorders>
            <w:shd w:val="clear" w:color="auto" w:fill="auto"/>
            <w:noWrap/>
            <w:vAlign w:val="center"/>
            <w:hideMark/>
          </w:tcPr>
          <w:p w14:paraId="48BAE8D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1.34</w:t>
            </w:r>
          </w:p>
        </w:tc>
        <w:tc>
          <w:tcPr>
            <w:tcW w:w="673" w:type="dxa"/>
            <w:tcBorders>
              <w:top w:val="nil"/>
              <w:left w:val="nil"/>
              <w:bottom w:val="single" w:sz="4" w:space="0" w:color="auto"/>
              <w:right w:val="single" w:sz="4" w:space="0" w:color="auto"/>
            </w:tcBorders>
            <w:shd w:val="clear" w:color="auto" w:fill="auto"/>
            <w:noWrap/>
            <w:vAlign w:val="center"/>
            <w:hideMark/>
          </w:tcPr>
          <w:p w14:paraId="458344D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2.69</w:t>
            </w:r>
          </w:p>
        </w:tc>
      </w:tr>
      <w:tr w:rsidR="00AF70E1" w:rsidRPr="00D93D2D" w14:paraId="3E88208B"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5B30B7"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25</w:t>
            </w:r>
          </w:p>
        </w:tc>
        <w:tc>
          <w:tcPr>
            <w:tcW w:w="684" w:type="dxa"/>
            <w:tcBorders>
              <w:top w:val="nil"/>
              <w:left w:val="nil"/>
              <w:bottom w:val="single" w:sz="4" w:space="0" w:color="auto"/>
              <w:right w:val="single" w:sz="4" w:space="0" w:color="auto"/>
            </w:tcBorders>
            <w:shd w:val="clear" w:color="auto" w:fill="auto"/>
            <w:noWrap/>
            <w:vAlign w:val="center"/>
            <w:hideMark/>
          </w:tcPr>
          <w:p w14:paraId="2868B42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53D3DD3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30.30</w:t>
            </w:r>
          </w:p>
        </w:tc>
        <w:tc>
          <w:tcPr>
            <w:tcW w:w="684" w:type="dxa"/>
            <w:tcBorders>
              <w:top w:val="nil"/>
              <w:left w:val="nil"/>
              <w:bottom w:val="single" w:sz="4" w:space="0" w:color="auto"/>
              <w:right w:val="single" w:sz="4" w:space="0" w:color="auto"/>
            </w:tcBorders>
            <w:shd w:val="clear" w:color="auto" w:fill="auto"/>
            <w:noWrap/>
            <w:vAlign w:val="center"/>
            <w:hideMark/>
          </w:tcPr>
          <w:p w14:paraId="01DA3E6E"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41.55</w:t>
            </w:r>
          </w:p>
        </w:tc>
        <w:tc>
          <w:tcPr>
            <w:tcW w:w="673" w:type="dxa"/>
            <w:tcBorders>
              <w:top w:val="nil"/>
              <w:left w:val="nil"/>
              <w:bottom w:val="single" w:sz="4" w:space="0" w:color="auto"/>
              <w:right w:val="single" w:sz="4" w:space="0" w:color="auto"/>
            </w:tcBorders>
            <w:shd w:val="clear" w:color="auto" w:fill="auto"/>
            <w:noWrap/>
            <w:vAlign w:val="center"/>
            <w:hideMark/>
          </w:tcPr>
          <w:p w14:paraId="2C99C553"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64.84</w:t>
            </w:r>
          </w:p>
        </w:tc>
        <w:tc>
          <w:tcPr>
            <w:tcW w:w="673" w:type="dxa"/>
            <w:tcBorders>
              <w:top w:val="nil"/>
              <w:left w:val="nil"/>
              <w:bottom w:val="single" w:sz="4" w:space="0" w:color="auto"/>
              <w:right w:val="single" w:sz="4" w:space="0" w:color="auto"/>
            </w:tcBorders>
            <w:shd w:val="clear" w:color="auto" w:fill="auto"/>
            <w:noWrap/>
            <w:vAlign w:val="center"/>
            <w:hideMark/>
          </w:tcPr>
          <w:p w14:paraId="2233BFF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7.19</w:t>
            </w:r>
          </w:p>
        </w:tc>
        <w:tc>
          <w:tcPr>
            <w:tcW w:w="673" w:type="dxa"/>
            <w:tcBorders>
              <w:top w:val="nil"/>
              <w:left w:val="nil"/>
              <w:bottom w:val="single" w:sz="4" w:space="0" w:color="auto"/>
              <w:right w:val="single" w:sz="4" w:space="0" w:color="auto"/>
            </w:tcBorders>
            <w:shd w:val="clear" w:color="auto" w:fill="auto"/>
            <w:noWrap/>
            <w:vAlign w:val="center"/>
            <w:hideMark/>
          </w:tcPr>
          <w:p w14:paraId="365779A3"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w:t>
            </w:r>
          </w:p>
        </w:tc>
        <w:tc>
          <w:tcPr>
            <w:tcW w:w="673" w:type="dxa"/>
            <w:tcBorders>
              <w:top w:val="nil"/>
              <w:left w:val="nil"/>
              <w:bottom w:val="single" w:sz="4" w:space="0" w:color="auto"/>
              <w:right w:val="single" w:sz="4" w:space="0" w:color="auto"/>
            </w:tcBorders>
            <w:shd w:val="clear" w:color="auto" w:fill="auto"/>
            <w:noWrap/>
            <w:vAlign w:val="center"/>
            <w:hideMark/>
          </w:tcPr>
          <w:p w14:paraId="54E22A1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71.87</w:t>
            </w:r>
          </w:p>
        </w:tc>
        <w:tc>
          <w:tcPr>
            <w:tcW w:w="673" w:type="dxa"/>
            <w:tcBorders>
              <w:top w:val="nil"/>
              <w:left w:val="nil"/>
              <w:bottom w:val="single" w:sz="4" w:space="0" w:color="auto"/>
              <w:right w:val="single" w:sz="4" w:space="0" w:color="auto"/>
            </w:tcBorders>
            <w:shd w:val="clear" w:color="auto" w:fill="auto"/>
            <w:noWrap/>
            <w:vAlign w:val="center"/>
            <w:hideMark/>
          </w:tcPr>
          <w:p w14:paraId="0374D5CD"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143.73</w:t>
            </w:r>
          </w:p>
        </w:tc>
        <w:tc>
          <w:tcPr>
            <w:tcW w:w="673" w:type="dxa"/>
            <w:tcBorders>
              <w:top w:val="nil"/>
              <w:left w:val="nil"/>
              <w:bottom w:val="single" w:sz="4" w:space="0" w:color="auto"/>
              <w:right w:val="single" w:sz="4" w:space="0" w:color="auto"/>
            </w:tcBorders>
            <w:shd w:val="clear" w:color="auto" w:fill="auto"/>
            <w:noWrap/>
            <w:vAlign w:val="center"/>
            <w:hideMark/>
          </w:tcPr>
          <w:p w14:paraId="343AC41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0.17</w:t>
            </w:r>
          </w:p>
        </w:tc>
        <w:tc>
          <w:tcPr>
            <w:tcW w:w="673" w:type="dxa"/>
            <w:tcBorders>
              <w:top w:val="nil"/>
              <w:left w:val="nil"/>
              <w:bottom w:val="single" w:sz="4" w:space="0" w:color="auto"/>
              <w:right w:val="single" w:sz="4" w:space="0" w:color="auto"/>
            </w:tcBorders>
            <w:shd w:val="clear" w:color="auto" w:fill="auto"/>
            <w:noWrap/>
            <w:vAlign w:val="center"/>
            <w:hideMark/>
          </w:tcPr>
          <w:p w14:paraId="4D822736"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0.35</w:t>
            </w:r>
          </w:p>
        </w:tc>
        <w:tc>
          <w:tcPr>
            <w:tcW w:w="673" w:type="dxa"/>
            <w:tcBorders>
              <w:top w:val="nil"/>
              <w:left w:val="nil"/>
              <w:bottom w:val="single" w:sz="4" w:space="0" w:color="auto"/>
              <w:right w:val="single" w:sz="4" w:space="0" w:color="auto"/>
            </w:tcBorders>
            <w:shd w:val="clear" w:color="auto" w:fill="auto"/>
            <w:noWrap/>
            <w:vAlign w:val="center"/>
            <w:hideMark/>
          </w:tcPr>
          <w:p w14:paraId="15270F9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1.73</w:t>
            </w:r>
          </w:p>
        </w:tc>
        <w:tc>
          <w:tcPr>
            <w:tcW w:w="673" w:type="dxa"/>
            <w:tcBorders>
              <w:top w:val="nil"/>
              <w:left w:val="nil"/>
              <w:bottom w:val="single" w:sz="4" w:space="0" w:color="auto"/>
              <w:right w:val="single" w:sz="4" w:space="0" w:color="auto"/>
            </w:tcBorders>
            <w:shd w:val="clear" w:color="auto" w:fill="auto"/>
            <w:noWrap/>
            <w:vAlign w:val="center"/>
            <w:hideMark/>
          </w:tcPr>
          <w:p w14:paraId="168D1C6C"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3.46</w:t>
            </w:r>
          </w:p>
        </w:tc>
      </w:tr>
      <w:tr w:rsidR="00AF70E1" w:rsidRPr="00D93D2D" w14:paraId="48A472AD" w14:textId="77777777" w:rsidTr="00AF70E1">
        <w:trPr>
          <w:trHeight w:val="22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554F03"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35</w:t>
            </w:r>
          </w:p>
        </w:tc>
        <w:tc>
          <w:tcPr>
            <w:tcW w:w="684" w:type="dxa"/>
            <w:tcBorders>
              <w:top w:val="nil"/>
              <w:left w:val="nil"/>
              <w:bottom w:val="single" w:sz="4" w:space="0" w:color="auto"/>
              <w:right w:val="single" w:sz="4" w:space="0" w:color="auto"/>
            </w:tcBorders>
            <w:shd w:val="clear" w:color="auto" w:fill="auto"/>
            <w:noWrap/>
            <w:vAlign w:val="center"/>
            <w:hideMark/>
          </w:tcPr>
          <w:p w14:paraId="6EC4E9BF"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w:t>
            </w:r>
          </w:p>
        </w:tc>
        <w:tc>
          <w:tcPr>
            <w:tcW w:w="684" w:type="dxa"/>
            <w:tcBorders>
              <w:top w:val="nil"/>
              <w:left w:val="nil"/>
              <w:bottom w:val="single" w:sz="4" w:space="0" w:color="auto"/>
              <w:right w:val="single" w:sz="4" w:space="0" w:color="auto"/>
            </w:tcBorders>
            <w:shd w:val="clear" w:color="auto" w:fill="auto"/>
            <w:noWrap/>
            <w:vAlign w:val="center"/>
            <w:hideMark/>
          </w:tcPr>
          <w:p w14:paraId="1348456B"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39.22</w:t>
            </w:r>
          </w:p>
        </w:tc>
        <w:tc>
          <w:tcPr>
            <w:tcW w:w="684" w:type="dxa"/>
            <w:tcBorders>
              <w:top w:val="nil"/>
              <w:left w:val="nil"/>
              <w:bottom w:val="single" w:sz="4" w:space="0" w:color="auto"/>
              <w:right w:val="single" w:sz="4" w:space="0" w:color="auto"/>
            </w:tcBorders>
            <w:shd w:val="clear" w:color="auto" w:fill="auto"/>
            <w:noWrap/>
            <w:vAlign w:val="center"/>
            <w:hideMark/>
          </w:tcPr>
          <w:p w14:paraId="569BC54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41.55</w:t>
            </w:r>
          </w:p>
        </w:tc>
        <w:tc>
          <w:tcPr>
            <w:tcW w:w="673" w:type="dxa"/>
            <w:tcBorders>
              <w:top w:val="nil"/>
              <w:left w:val="nil"/>
              <w:bottom w:val="single" w:sz="4" w:space="0" w:color="auto"/>
              <w:right w:val="single" w:sz="4" w:space="0" w:color="auto"/>
            </w:tcBorders>
            <w:shd w:val="clear" w:color="auto" w:fill="auto"/>
            <w:noWrap/>
            <w:vAlign w:val="center"/>
            <w:hideMark/>
          </w:tcPr>
          <w:p w14:paraId="30EB2EF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83.93</w:t>
            </w:r>
          </w:p>
        </w:tc>
        <w:tc>
          <w:tcPr>
            <w:tcW w:w="673" w:type="dxa"/>
            <w:tcBorders>
              <w:top w:val="nil"/>
              <w:left w:val="nil"/>
              <w:bottom w:val="single" w:sz="4" w:space="0" w:color="auto"/>
              <w:right w:val="single" w:sz="4" w:space="0" w:color="auto"/>
            </w:tcBorders>
            <w:shd w:val="clear" w:color="auto" w:fill="auto"/>
            <w:noWrap/>
            <w:vAlign w:val="center"/>
            <w:hideMark/>
          </w:tcPr>
          <w:p w14:paraId="4975D090"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w:t>
            </w:r>
          </w:p>
        </w:tc>
        <w:tc>
          <w:tcPr>
            <w:tcW w:w="673" w:type="dxa"/>
            <w:tcBorders>
              <w:top w:val="nil"/>
              <w:left w:val="nil"/>
              <w:bottom w:val="single" w:sz="4" w:space="0" w:color="auto"/>
              <w:right w:val="single" w:sz="4" w:space="0" w:color="auto"/>
            </w:tcBorders>
            <w:shd w:val="clear" w:color="auto" w:fill="auto"/>
            <w:noWrap/>
            <w:vAlign w:val="center"/>
            <w:hideMark/>
          </w:tcPr>
          <w:p w14:paraId="47CEF07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w:t>
            </w:r>
          </w:p>
        </w:tc>
        <w:tc>
          <w:tcPr>
            <w:tcW w:w="673" w:type="dxa"/>
            <w:tcBorders>
              <w:top w:val="nil"/>
              <w:left w:val="nil"/>
              <w:bottom w:val="single" w:sz="4" w:space="0" w:color="auto"/>
              <w:right w:val="single" w:sz="4" w:space="0" w:color="auto"/>
            </w:tcBorders>
            <w:shd w:val="clear" w:color="auto" w:fill="auto"/>
            <w:noWrap/>
            <w:vAlign w:val="center"/>
            <w:hideMark/>
          </w:tcPr>
          <w:p w14:paraId="68EAE78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81.41</w:t>
            </w:r>
          </w:p>
        </w:tc>
        <w:tc>
          <w:tcPr>
            <w:tcW w:w="673" w:type="dxa"/>
            <w:tcBorders>
              <w:top w:val="nil"/>
              <w:left w:val="nil"/>
              <w:bottom w:val="single" w:sz="4" w:space="0" w:color="auto"/>
              <w:right w:val="single" w:sz="4" w:space="0" w:color="auto"/>
            </w:tcBorders>
            <w:shd w:val="clear" w:color="auto" w:fill="auto"/>
            <w:noWrap/>
            <w:vAlign w:val="center"/>
            <w:hideMark/>
          </w:tcPr>
          <w:p w14:paraId="16C03282"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162.83</w:t>
            </w:r>
          </w:p>
        </w:tc>
        <w:tc>
          <w:tcPr>
            <w:tcW w:w="673" w:type="dxa"/>
            <w:tcBorders>
              <w:top w:val="nil"/>
              <w:left w:val="nil"/>
              <w:bottom w:val="single" w:sz="4" w:space="0" w:color="auto"/>
              <w:right w:val="single" w:sz="4" w:space="0" w:color="auto"/>
            </w:tcBorders>
            <w:shd w:val="clear" w:color="auto" w:fill="auto"/>
            <w:noWrap/>
            <w:vAlign w:val="center"/>
            <w:hideMark/>
          </w:tcPr>
          <w:p w14:paraId="665E5541"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0.20</w:t>
            </w:r>
          </w:p>
        </w:tc>
        <w:tc>
          <w:tcPr>
            <w:tcW w:w="673" w:type="dxa"/>
            <w:tcBorders>
              <w:top w:val="nil"/>
              <w:left w:val="nil"/>
              <w:bottom w:val="single" w:sz="4" w:space="0" w:color="auto"/>
              <w:right w:val="single" w:sz="4" w:space="0" w:color="auto"/>
            </w:tcBorders>
            <w:shd w:val="clear" w:color="auto" w:fill="auto"/>
            <w:noWrap/>
            <w:vAlign w:val="center"/>
            <w:hideMark/>
          </w:tcPr>
          <w:p w14:paraId="4BF98903"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0.39</w:t>
            </w:r>
          </w:p>
        </w:tc>
        <w:tc>
          <w:tcPr>
            <w:tcW w:w="673" w:type="dxa"/>
            <w:tcBorders>
              <w:top w:val="nil"/>
              <w:left w:val="nil"/>
              <w:bottom w:val="single" w:sz="4" w:space="0" w:color="auto"/>
              <w:right w:val="single" w:sz="4" w:space="0" w:color="auto"/>
            </w:tcBorders>
            <w:shd w:val="clear" w:color="auto" w:fill="auto"/>
            <w:noWrap/>
            <w:vAlign w:val="center"/>
            <w:hideMark/>
          </w:tcPr>
          <w:p w14:paraId="3F0A0F3B"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1.96</w:t>
            </w:r>
          </w:p>
        </w:tc>
        <w:tc>
          <w:tcPr>
            <w:tcW w:w="673" w:type="dxa"/>
            <w:tcBorders>
              <w:top w:val="nil"/>
              <w:left w:val="nil"/>
              <w:bottom w:val="single" w:sz="4" w:space="0" w:color="auto"/>
              <w:right w:val="single" w:sz="4" w:space="0" w:color="auto"/>
            </w:tcBorders>
            <w:shd w:val="clear" w:color="auto" w:fill="auto"/>
            <w:noWrap/>
            <w:vAlign w:val="center"/>
            <w:hideMark/>
          </w:tcPr>
          <w:p w14:paraId="7FF72DC9" w14:textId="77777777" w:rsidR="00AF70E1" w:rsidRPr="00D93D2D" w:rsidRDefault="00AF70E1" w:rsidP="00AF70E1">
            <w:pPr>
              <w:spacing w:after="0" w:line="240" w:lineRule="auto"/>
              <w:jc w:val="right"/>
              <w:rPr>
                <w:rFonts w:eastAsia="Times New Roman" w:cstheme="minorHAnsi"/>
                <w:color w:val="000000"/>
                <w:sz w:val="14"/>
              </w:rPr>
            </w:pPr>
            <w:r w:rsidRPr="00D93D2D">
              <w:rPr>
                <w:rFonts w:eastAsia="Times New Roman" w:cstheme="minorHAnsi"/>
                <w:color w:val="000000"/>
                <w:sz w:val="14"/>
              </w:rPr>
              <w:t>3.92</w:t>
            </w:r>
          </w:p>
        </w:tc>
      </w:tr>
      <w:tr w:rsidR="00AF70E1" w:rsidRPr="00D93D2D" w14:paraId="458A1142"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7D03E06"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45</w:t>
            </w:r>
          </w:p>
        </w:tc>
        <w:tc>
          <w:tcPr>
            <w:tcW w:w="684" w:type="dxa"/>
            <w:tcBorders>
              <w:top w:val="nil"/>
              <w:left w:val="nil"/>
              <w:bottom w:val="single" w:sz="4" w:space="0" w:color="auto"/>
              <w:right w:val="single" w:sz="4" w:space="0" w:color="auto"/>
            </w:tcBorders>
            <w:shd w:val="clear" w:color="auto" w:fill="auto"/>
            <w:noWrap/>
            <w:vAlign w:val="bottom"/>
            <w:hideMark/>
          </w:tcPr>
          <w:p w14:paraId="3AE84A9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7C825799"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48.74</w:t>
            </w:r>
          </w:p>
        </w:tc>
        <w:tc>
          <w:tcPr>
            <w:tcW w:w="684" w:type="dxa"/>
            <w:tcBorders>
              <w:top w:val="nil"/>
              <w:left w:val="nil"/>
              <w:bottom w:val="single" w:sz="4" w:space="0" w:color="auto"/>
              <w:right w:val="single" w:sz="4" w:space="0" w:color="auto"/>
            </w:tcBorders>
            <w:shd w:val="clear" w:color="auto" w:fill="auto"/>
            <w:noWrap/>
            <w:vAlign w:val="bottom"/>
            <w:hideMark/>
          </w:tcPr>
          <w:p w14:paraId="2F677322"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41.55</w:t>
            </w:r>
          </w:p>
        </w:tc>
        <w:tc>
          <w:tcPr>
            <w:tcW w:w="673" w:type="dxa"/>
            <w:tcBorders>
              <w:top w:val="nil"/>
              <w:left w:val="nil"/>
              <w:bottom w:val="single" w:sz="4" w:space="0" w:color="auto"/>
              <w:right w:val="single" w:sz="4" w:space="0" w:color="auto"/>
            </w:tcBorders>
            <w:shd w:val="clear" w:color="auto" w:fill="auto"/>
            <w:noWrap/>
            <w:vAlign w:val="bottom"/>
            <w:hideMark/>
          </w:tcPr>
          <w:p w14:paraId="2EB89E38"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104.30</w:t>
            </w:r>
          </w:p>
        </w:tc>
        <w:tc>
          <w:tcPr>
            <w:tcW w:w="673" w:type="dxa"/>
            <w:tcBorders>
              <w:top w:val="nil"/>
              <w:left w:val="nil"/>
              <w:bottom w:val="single" w:sz="4" w:space="0" w:color="auto"/>
              <w:right w:val="single" w:sz="4" w:space="0" w:color="auto"/>
            </w:tcBorders>
            <w:shd w:val="clear" w:color="auto" w:fill="auto"/>
            <w:noWrap/>
            <w:vAlign w:val="bottom"/>
            <w:hideMark/>
          </w:tcPr>
          <w:p w14:paraId="7B9A8D07"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w:t>
            </w:r>
          </w:p>
        </w:tc>
        <w:tc>
          <w:tcPr>
            <w:tcW w:w="673" w:type="dxa"/>
            <w:tcBorders>
              <w:top w:val="nil"/>
              <w:left w:val="nil"/>
              <w:bottom w:val="single" w:sz="4" w:space="0" w:color="auto"/>
              <w:right w:val="single" w:sz="4" w:space="0" w:color="auto"/>
            </w:tcBorders>
            <w:shd w:val="clear" w:color="auto" w:fill="auto"/>
            <w:noWrap/>
            <w:vAlign w:val="bottom"/>
            <w:hideMark/>
          </w:tcPr>
          <w:p w14:paraId="732138B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18.32</w:t>
            </w:r>
          </w:p>
        </w:tc>
        <w:tc>
          <w:tcPr>
            <w:tcW w:w="673" w:type="dxa"/>
            <w:tcBorders>
              <w:top w:val="nil"/>
              <w:left w:val="nil"/>
              <w:bottom w:val="single" w:sz="4" w:space="0" w:color="auto"/>
              <w:right w:val="single" w:sz="4" w:space="0" w:color="auto"/>
            </w:tcBorders>
            <w:shd w:val="clear" w:color="auto" w:fill="auto"/>
            <w:noWrap/>
            <w:vAlign w:val="bottom"/>
            <w:hideMark/>
          </w:tcPr>
          <w:p w14:paraId="5C8958A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91.60</w:t>
            </w:r>
          </w:p>
        </w:tc>
        <w:tc>
          <w:tcPr>
            <w:tcW w:w="673" w:type="dxa"/>
            <w:tcBorders>
              <w:top w:val="nil"/>
              <w:left w:val="nil"/>
              <w:bottom w:val="single" w:sz="4" w:space="0" w:color="auto"/>
              <w:right w:val="single" w:sz="4" w:space="0" w:color="auto"/>
            </w:tcBorders>
            <w:shd w:val="clear" w:color="auto" w:fill="auto"/>
            <w:noWrap/>
            <w:vAlign w:val="bottom"/>
            <w:hideMark/>
          </w:tcPr>
          <w:p w14:paraId="1C1A39D0"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183.19</w:t>
            </w:r>
          </w:p>
        </w:tc>
        <w:tc>
          <w:tcPr>
            <w:tcW w:w="673" w:type="dxa"/>
            <w:tcBorders>
              <w:top w:val="nil"/>
              <w:left w:val="nil"/>
              <w:bottom w:val="single" w:sz="4" w:space="0" w:color="auto"/>
              <w:right w:val="single" w:sz="4" w:space="0" w:color="auto"/>
            </w:tcBorders>
            <w:shd w:val="clear" w:color="auto" w:fill="auto"/>
            <w:noWrap/>
            <w:vAlign w:val="bottom"/>
            <w:hideMark/>
          </w:tcPr>
          <w:p w14:paraId="352896D0"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0.22</w:t>
            </w:r>
          </w:p>
        </w:tc>
        <w:tc>
          <w:tcPr>
            <w:tcW w:w="673" w:type="dxa"/>
            <w:tcBorders>
              <w:top w:val="nil"/>
              <w:left w:val="nil"/>
              <w:bottom w:val="single" w:sz="4" w:space="0" w:color="auto"/>
              <w:right w:val="single" w:sz="4" w:space="0" w:color="auto"/>
            </w:tcBorders>
            <w:shd w:val="clear" w:color="auto" w:fill="auto"/>
            <w:noWrap/>
            <w:vAlign w:val="bottom"/>
            <w:hideMark/>
          </w:tcPr>
          <w:p w14:paraId="712E708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0.44</w:t>
            </w:r>
          </w:p>
        </w:tc>
        <w:tc>
          <w:tcPr>
            <w:tcW w:w="673" w:type="dxa"/>
            <w:tcBorders>
              <w:top w:val="nil"/>
              <w:left w:val="nil"/>
              <w:bottom w:val="single" w:sz="4" w:space="0" w:color="auto"/>
              <w:right w:val="single" w:sz="4" w:space="0" w:color="auto"/>
            </w:tcBorders>
            <w:shd w:val="clear" w:color="auto" w:fill="auto"/>
            <w:noWrap/>
            <w:vAlign w:val="bottom"/>
            <w:hideMark/>
          </w:tcPr>
          <w:p w14:paraId="1D9F78AF"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2.20</w:t>
            </w:r>
          </w:p>
        </w:tc>
        <w:tc>
          <w:tcPr>
            <w:tcW w:w="673" w:type="dxa"/>
            <w:tcBorders>
              <w:top w:val="nil"/>
              <w:left w:val="nil"/>
              <w:bottom w:val="single" w:sz="4" w:space="0" w:color="auto"/>
              <w:right w:val="single" w:sz="4" w:space="0" w:color="auto"/>
            </w:tcBorders>
            <w:shd w:val="clear" w:color="auto" w:fill="auto"/>
            <w:noWrap/>
            <w:vAlign w:val="bottom"/>
            <w:hideMark/>
          </w:tcPr>
          <w:p w14:paraId="09E5877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4.41</w:t>
            </w:r>
          </w:p>
        </w:tc>
      </w:tr>
      <w:tr w:rsidR="00AF70E1" w:rsidRPr="00D93D2D" w14:paraId="12A98123" w14:textId="77777777" w:rsidTr="00AF70E1">
        <w:trPr>
          <w:trHeight w:val="22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CC4D995"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55</w:t>
            </w:r>
          </w:p>
        </w:tc>
        <w:tc>
          <w:tcPr>
            <w:tcW w:w="684" w:type="dxa"/>
            <w:tcBorders>
              <w:top w:val="nil"/>
              <w:left w:val="nil"/>
              <w:bottom w:val="single" w:sz="4" w:space="0" w:color="auto"/>
              <w:right w:val="single" w:sz="4" w:space="0" w:color="auto"/>
            </w:tcBorders>
            <w:shd w:val="clear" w:color="auto" w:fill="auto"/>
            <w:noWrap/>
            <w:vAlign w:val="bottom"/>
            <w:hideMark/>
          </w:tcPr>
          <w:p w14:paraId="06DC0359"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w:t>
            </w:r>
          </w:p>
        </w:tc>
        <w:tc>
          <w:tcPr>
            <w:tcW w:w="684" w:type="dxa"/>
            <w:tcBorders>
              <w:top w:val="nil"/>
              <w:left w:val="nil"/>
              <w:bottom w:val="single" w:sz="4" w:space="0" w:color="auto"/>
              <w:right w:val="single" w:sz="4" w:space="0" w:color="auto"/>
            </w:tcBorders>
            <w:shd w:val="clear" w:color="auto" w:fill="auto"/>
            <w:noWrap/>
            <w:vAlign w:val="bottom"/>
            <w:hideMark/>
          </w:tcPr>
          <w:p w14:paraId="4179151F"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90.38</w:t>
            </w:r>
          </w:p>
        </w:tc>
        <w:tc>
          <w:tcPr>
            <w:tcW w:w="684" w:type="dxa"/>
            <w:tcBorders>
              <w:top w:val="nil"/>
              <w:left w:val="nil"/>
              <w:bottom w:val="single" w:sz="4" w:space="0" w:color="auto"/>
              <w:right w:val="single" w:sz="4" w:space="0" w:color="auto"/>
            </w:tcBorders>
            <w:shd w:val="clear" w:color="auto" w:fill="auto"/>
            <w:noWrap/>
            <w:vAlign w:val="bottom"/>
            <w:hideMark/>
          </w:tcPr>
          <w:p w14:paraId="5D2C0B0B"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41.55</w:t>
            </w:r>
          </w:p>
        </w:tc>
        <w:tc>
          <w:tcPr>
            <w:tcW w:w="673" w:type="dxa"/>
            <w:tcBorders>
              <w:top w:val="nil"/>
              <w:left w:val="nil"/>
              <w:bottom w:val="single" w:sz="4" w:space="0" w:color="auto"/>
              <w:right w:val="single" w:sz="4" w:space="0" w:color="auto"/>
            </w:tcBorders>
            <w:shd w:val="clear" w:color="auto" w:fill="auto"/>
            <w:noWrap/>
            <w:vAlign w:val="bottom"/>
            <w:hideMark/>
          </w:tcPr>
          <w:p w14:paraId="7DB09B74"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193.41</w:t>
            </w:r>
          </w:p>
        </w:tc>
        <w:tc>
          <w:tcPr>
            <w:tcW w:w="673" w:type="dxa"/>
            <w:tcBorders>
              <w:top w:val="nil"/>
              <w:left w:val="nil"/>
              <w:bottom w:val="single" w:sz="4" w:space="0" w:color="auto"/>
              <w:right w:val="single" w:sz="4" w:space="0" w:color="auto"/>
            </w:tcBorders>
            <w:shd w:val="clear" w:color="auto" w:fill="auto"/>
            <w:noWrap/>
            <w:vAlign w:val="bottom"/>
            <w:hideMark/>
          </w:tcPr>
          <w:p w14:paraId="7B48B802"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13.62</w:t>
            </w:r>
          </w:p>
        </w:tc>
        <w:tc>
          <w:tcPr>
            <w:tcW w:w="673" w:type="dxa"/>
            <w:tcBorders>
              <w:top w:val="nil"/>
              <w:left w:val="nil"/>
              <w:bottom w:val="single" w:sz="4" w:space="0" w:color="auto"/>
              <w:right w:val="single" w:sz="4" w:space="0" w:color="auto"/>
            </w:tcBorders>
            <w:shd w:val="clear" w:color="auto" w:fill="auto"/>
            <w:noWrap/>
            <w:vAlign w:val="bottom"/>
            <w:hideMark/>
          </w:tcPr>
          <w:p w14:paraId="2FC82322"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w:t>
            </w:r>
          </w:p>
        </w:tc>
        <w:tc>
          <w:tcPr>
            <w:tcW w:w="673" w:type="dxa"/>
            <w:tcBorders>
              <w:top w:val="nil"/>
              <w:left w:val="nil"/>
              <w:bottom w:val="single" w:sz="4" w:space="0" w:color="auto"/>
              <w:right w:val="single" w:sz="4" w:space="0" w:color="auto"/>
            </w:tcBorders>
            <w:shd w:val="clear" w:color="auto" w:fill="auto"/>
            <w:noWrap/>
            <w:vAlign w:val="bottom"/>
            <w:hideMark/>
          </w:tcPr>
          <w:p w14:paraId="2BF89350"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136.15</w:t>
            </w:r>
          </w:p>
        </w:tc>
        <w:tc>
          <w:tcPr>
            <w:tcW w:w="673" w:type="dxa"/>
            <w:tcBorders>
              <w:top w:val="nil"/>
              <w:left w:val="nil"/>
              <w:bottom w:val="single" w:sz="4" w:space="0" w:color="auto"/>
              <w:right w:val="single" w:sz="4" w:space="0" w:color="auto"/>
            </w:tcBorders>
            <w:shd w:val="clear" w:color="auto" w:fill="auto"/>
            <w:noWrap/>
            <w:vAlign w:val="bottom"/>
            <w:hideMark/>
          </w:tcPr>
          <w:p w14:paraId="7A38343C"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272.30</w:t>
            </w:r>
          </w:p>
        </w:tc>
        <w:tc>
          <w:tcPr>
            <w:tcW w:w="673" w:type="dxa"/>
            <w:tcBorders>
              <w:top w:val="nil"/>
              <w:left w:val="nil"/>
              <w:bottom w:val="single" w:sz="4" w:space="0" w:color="auto"/>
              <w:right w:val="single" w:sz="4" w:space="0" w:color="auto"/>
            </w:tcBorders>
            <w:shd w:val="clear" w:color="auto" w:fill="auto"/>
            <w:noWrap/>
            <w:vAlign w:val="bottom"/>
            <w:hideMark/>
          </w:tcPr>
          <w:p w14:paraId="5938C946"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0.33</w:t>
            </w:r>
          </w:p>
        </w:tc>
        <w:tc>
          <w:tcPr>
            <w:tcW w:w="673" w:type="dxa"/>
            <w:tcBorders>
              <w:top w:val="nil"/>
              <w:left w:val="nil"/>
              <w:bottom w:val="single" w:sz="4" w:space="0" w:color="auto"/>
              <w:right w:val="single" w:sz="4" w:space="0" w:color="auto"/>
            </w:tcBorders>
            <w:shd w:val="clear" w:color="auto" w:fill="auto"/>
            <w:noWrap/>
            <w:vAlign w:val="bottom"/>
            <w:hideMark/>
          </w:tcPr>
          <w:p w14:paraId="728E566C"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0.66</w:t>
            </w:r>
          </w:p>
        </w:tc>
        <w:tc>
          <w:tcPr>
            <w:tcW w:w="673" w:type="dxa"/>
            <w:tcBorders>
              <w:top w:val="nil"/>
              <w:left w:val="nil"/>
              <w:bottom w:val="single" w:sz="4" w:space="0" w:color="auto"/>
              <w:right w:val="single" w:sz="4" w:space="0" w:color="auto"/>
            </w:tcBorders>
            <w:shd w:val="clear" w:color="auto" w:fill="auto"/>
            <w:noWrap/>
            <w:vAlign w:val="bottom"/>
            <w:hideMark/>
          </w:tcPr>
          <w:p w14:paraId="59965ED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3.28</w:t>
            </w:r>
          </w:p>
        </w:tc>
        <w:tc>
          <w:tcPr>
            <w:tcW w:w="673" w:type="dxa"/>
            <w:tcBorders>
              <w:top w:val="nil"/>
              <w:left w:val="nil"/>
              <w:bottom w:val="single" w:sz="4" w:space="0" w:color="auto"/>
              <w:right w:val="single" w:sz="4" w:space="0" w:color="auto"/>
            </w:tcBorders>
            <w:shd w:val="clear" w:color="auto" w:fill="auto"/>
            <w:noWrap/>
            <w:vAlign w:val="bottom"/>
            <w:hideMark/>
          </w:tcPr>
          <w:p w14:paraId="78C0AC93" w14:textId="77777777" w:rsidR="00AF70E1" w:rsidRPr="00D93D2D" w:rsidRDefault="00AF70E1" w:rsidP="00AF70E1">
            <w:pPr>
              <w:spacing w:after="0" w:line="240" w:lineRule="auto"/>
              <w:jc w:val="right"/>
              <w:rPr>
                <w:rFonts w:eastAsia="Times New Roman" w:cstheme="minorHAnsi"/>
                <w:sz w:val="14"/>
                <w:szCs w:val="20"/>
              </w:rPr>
            </w:pPr>
            <w:r w:rsidRPr="00D93D2D">
              <w:rPr>
                <w:rFonts w:eastAsia="Times New Roman" w:cstheme="minorHAnsi"/>
                <w:sz w:val="14"/>
                <w:szCs w:val="20"/>
              </w:rPr>
              <w:t>6.55</w:t>
            </w:r>
          </w:p>
        </w:tc>
      </w:tr>
    </w:tbl>
    <w:p w14:paraId="182792E0" w14:textId="37B75371" w:rsidR="00E225FC" w:rsidRPr="00D93D2D" w:rsidRDefault="00E225FC" w:rsidP="00060BF2">
      <w:pPr>
        <w:tabs>
          <w:tab w:val="left" w:pos="2430"/>
        </w:tabs>
        <w:jc w:val="both"/>
        <w:rPr>
          <w:rFonts w:cstheme="minorHAnsi"/>
        </w:rPr>
      </w:pPr>
    </w:p>
    <w:p w14:paraId="25229027" w14:textId="7AD6D087" w:rsidR="00A262C5" w:rsidRPr="00D93D2D" w:rsidRDefault="006046F1" w:rsidP="00060BF2">
      <w:pPr>
        <w:tabs>
          <w:tab w:val="left" w:pos="2430"/>
        </w:tabs>
        <w:jc w:val="both"/>
        <w:rPr>
          <w:rFonts w:cstheme="minorHAnsi"/>
        </w:rPr>
      </w:pPr>
      <w:r w:rsidRPr="00D93D2D">
        <w:rPr>
          <w:rFonts w:cstheme="minorHAnsi"/>
          <w:b/>
        </w:rPr>
        <w:t xml:space="preserve">Table </w:t>
      </w:r>
      <w:r w:rsidR="00576824" w:rsidRPr="00D93D2D">
        <w:rPr>
          <w:rFonts w:cstheme="minorHAnsi"/>
          <w:b/>
        </w:rPr>
        <w:t>S</w:t>
      </w:r>
      <w:r w:rsidR="00AF70E1" w:rsidRPr="00D93D2D">
        <w:rPr>
          <w:rFonts w:cstheme="minorHAnsi"/>
          <w:b/>
        </w:rPr>
        <w:t>6</w:t>
      </w:r>
      <w:r w:rsidRPr="00D93D2D">
        <w:rPr>
          <w:rFonts w:cstheme="minorHAnsi"/>
          <w:b/>
        </w:rPr>
        <w:t>.</w:t>
      </w:r>
      <w:r w:rsidRPr="00D93D2D">
        <w:rPr>
          <w:rFonts w:cstheme="minorHAnsi"/>
        </w:rPr>
        <w:t xml:space="preserve"> Sample transport scenarios and calculation</w:t>
      </w:r>
      <w:r w:rsidR="00BE6C6C" w:rsidRPr="00D93D2D">
        <w:rPr>
          <w:rFonts w:cstheme="minorHAnsi"/>
        </w:rPr>
        <w:t xml:space="preserve"> of</w:t>
      </w:r>
      <w:r w:rsidRPr="00D93D2D">
        <w:rPr>
          <w:rFonts w:cstheme="minorHAnsi"/>
        </w:rPr>
        <w:t xml:space="preserve"> per</w:t>
      </w:r>
      <w:r w:rsidR="00BE6C6C" w:rsidRPr="00D93D2D">
        <w:rPr>
          <w:rFonts w:cstheme="minorHAnsi"/>
        </w:rPr>
        <w:t>-</w:t>
      </w:r>
      <w:r w:rsidRPr="00D93D2D">
        <w:rPr>
          <w:rFonts w:cstheme="minorHAnsi"/>
        </w:rPr>
        <w:t xml:space="preserve">sample cost for </w:t>
      </w:r>
      <w:r w:rsidR="00860976" w:rsidRPr="00D93D2D">
        <w:rPr>
          <w:rFonts w:cstheme="minorHAnsi"/>
        </w:rPr>
        <w:t>TB samples collected at 3</w:t>
      </w:r>
      <w:r w:rsidRPr="00D93D2D">
        <w:rPr>
          <w:rFonts w:cstheme="minorHAnsi"/>
        </w:rPr>
        <w:t xml:space="preserve"> </w:t>
      </w:r>
      <w:r w:rsidR="00860976" w:rsidRPr="00D93D2D">
        <w:rPr>
          <w:rFonts w:cstheme="minorHAnsi"/>
        </w:rPr>
        <w:t>peripheral centers</w:t>
      </w:r>
    </w:p>
    <w:p w14:paraId="00C41DC9" w14:textId="1492F022" w:rsidR="00A70CBF" w:rsidRPr="00D93D2D" w:rsidRDefault="00A70CBF">
      <w:pPr>
        <w:rPr>
          <w:rFonts w:cstheme="minorHAnsi"/>
        </w:rPr>
      </w:pPr>
      <w:r w:rsidRPr="00D93D2D">
        <w:rPr>
          <w:rFonts w:cstheme="minorHAnsi"/>
        </w:rPr>
        <w:br w:type="page"/>
      </w:r>
    </w:p>
    <w:tbl>
      <w:tblPr>
        <w:tblW w:w="7127" w:type="dxa"/>
        <w:tblLook w:val="04A0" w:firstRow="1" w:lastRow="0" w:firstColumn="1" w:lastColumn="0" w:noHBand="0" w:noVBand="1"/>
      </w:tblPr>
      <w:tblGrid>
        <w:gridCol w:w="612"/>
        <w:gridCol w:w="1502"/>
        <w:gridCol w:w="888"/>
        <w:gridCol w:w="825"/>
        <w:gridCol w:w="743"/>
        <w:gridCol w:w="743"/>
        <w:gridCol w:w="906"/>
        <w:gridCol w:w="908"/>
      </w:tblGrid>
      <w:tr w:rsidR="00A70CBF" w:rsidRPr="00D93D2D" w14:paraId="771AEA4A" w14:textId="77777777" w:rsidTr="00A70CBF">
        <w:trPr>
          <w:trHeight w:val="260"/>
        </w:trPr>
        <w:tc>
          <w:tcPr>
            <w:tcW w:w="2114" w:type="dxa"/>
            <w:gridSpan w:val="2"/>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14:paraId="60266A8B" w14:textId="77777777" w:rsidR="00A70CBF" w:rsidRPr="00D93D2D" w:rsidRDefault="00A70CBF" w:rsidP="00A70CBF">
            <w:pPr>
              <w:spacing w:after="0" w:line="240" w:lineRule="auto"/>
              <w:rPr>
                <w:rFonts w:eastAsia="Times New Roman" w:cstheme="minorHAnsi"/>
                <w:b/>
                <w:bCs/>
                <w:color w:val="000000"/>
                <w:sz w:val="16"/>
              </w:rPr>
            </w:pPr>
            <w:r w:rsidRPr="00D93D2D">
              <w:rPr>
                <w:rFonts w:eastAsia="Times New Roman" w:cstheme="minorHAnsi"/>
                <w:b/>
                <w:bCs/>
                <w:color w:val="000000"/>
                <w:sz w:val="16"/>
              </w:rPr>
              <w:lastRenderedPageBreak/>
              <w:t xml:space="preserve">Definition Range                    </w:t>
            </w:r>
            <w:r w:rsidRPr="00D93D2D">
              <w:rPr>
                <w:rFonts w:eastAsia="Times New Roman" w:cstheme="minorHAnsi"/>
                <w:i/>
                <w:iCs/>
                <w:color w:val="000000"/>
                <w:sz w:val="16"/>
              </w:rPr>
              <w:t>(# of sample transported)</w:t>
            </w:r>
          </w:p>
        </w:tc>
        <w:tc>
          <w:tcPr>
            <w:tcW w:w="888" w:type="dxa"/>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14:paraId="3CD240F8" w14:textId="77777777" w:rsidR="00A70CBF" w:rsidRPr="00D93D2D" w:rsidRDefault="00A70CBF" w:rsidP="00A70CBF">
            <w:pPr>
              <w:spacing w:after="0" w:line="240" w:lineRule="auto"/>
              <w:rPr>
                <w:rFonts w:eastAsia="Times New Roman" w:cstheme="minorHAnsi"/>
                <w:b/>
                <w:bCs/>
                <w:color w:val="000000"/>
                <w:sz w:val="16"/>
              </w:rPr>
            </w:pPr>
            <w:r w:rsidRPr="00D93D2D">
              <w:rPr>
                <w:rFonts w:eastAsia="Times New Roman" w:cstheme="minorHAnsi"/>
                <w:b/>
                <w:bCs/>
                <w:color w:val="000000"/>
                <w:sz w:val="16"/>
              </w:rPr>
              <w:t>Category assigned</w:t>
            </w:r>
          </w:p>
        </w:tc>
        <w:tc>
          <w:tcPr>
            <w:tcW w:w="825" w:type="dxa"/>
            <w:vMerge w:val="restart"/>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69134834" w14:textId="77777777" w:rsidR="00A70CBF" w:rsidRPr="00D93D2D" w:rsidRDefault="00A70CBF" w:rsidP="00A70CBF">
            <w:pPr>
              <w:spacing w:after="0" w:line="240" w:lineRule="auto"/>
              <w:rPr>
                <w:rFonts w:eastAsia="Times New Roman" w:cstheme="minorHAnsi"/>
                <w:b/>
                <w:bCs/>
                <w:color w:val="000000"/>
                <w:sz w:val="16"/>
              </w:rPr>
            </w:pPr>
            <w:r w:rsidRPr="00D93D2D">
              <w:rPr>
                <w:rFonts w:eastAsia="Times New Roman" w:cstheme="minorHAnsi"/>
                <w:b/>
                <w:bCs/>
                <w:color w:val="000000"/>
                <w:sz w:val="16"/>
              </w:rPr>
              <w:t>DTC (λ)</w:t>
            </w:r>
          </w:p>
        </w:tc>
        <w:tc>
          <w:tcPr>
            <w:tcW w:w="3300" w:type="dxa"/>
            <w:gridSpan w:val="4"/>
            <w:tcBorders>
              <w:top w:val="single" w:sz="4" w:space="0" w:color="auto"/>
              <w:left w:val="nil"/>
              <w:bottom w:val="single" w:sz="4" w:space="0" w:color="auto"/>
              <w:right w:val="single" w:sz="4" w:space="0" w:color="auto"/>
            </w:tcBorders>
            <w:shd w:val="clear" w:color="000000" w:fill="C9C9C9"/>
            <w:noWrap/>
            <w:vAlign w:val="center"/>
            <w:hideMark/>
          </w:tcPr>
          <w:p w14:paraId="23C5D220" w14:textId="77777777" w:rsidR="00A70CBF" w:rsidRPr="00D93D2D" w:rsidRDefault="00A70CBF" w:rsidP="00A70CBF">
            <w:pPr>
              <w:spacing w:after="0" w:line="240" w:lineRule="auto"/>
              <w:jc w:val="center"/>
              <w:rPr>
                <w:rFonts w:eastAsia="Times New Roman" w:cstheme="minorHAnsi"/>
                <w:b/>
                <w:bCs/>
                <w:color w:val="000000"/>
                <w:sz w:val="16"/>
              </w:rPr>
            </w:pPr>
            <w:r w:rsidRPr="00D93D2D">
              <w:rPr>
                <w:rFonts w:eastAsia="Times New Roman" w:cstheme="minorHAnsi"/>
                <w:b/>
                <w:bCs/>
                <w:color w:val="000000"/>
                <w:sz w:val="16"/>
              </w:rPr>
              <w:t>Mean</w:t>
            </w:r>
          </w:p>
        </w:tc>
      </w:tr>
      <w:tr w:rsidR="00A70CBF" w:rsidRPr="00D93D2D" w14:paraId="1C0D8565" w14:textId="77777777" w:rsidTr="00A70CBF">
        <w:trPr>
          <w:trHeight w:val="260"/>
        </w:trPr>
        <w:tc>
          <w:tcPr>
            <w:tcW w:w="2114" w:type="dxa"/>
            <w:gridSpan w:val="2"/>
            <w:vMerge/>
            <w:tcBorders>
              <w:top w:val="single" w:sz="4" w:space="0" w:color="auto"/>
              <w:left w:val="single" w:sz="4" w:space="0" w:color="auto"/>
              <w:bottom w:val="single" w:sz="4" w:space="0" w:color="auto"/>
              <w:right w:val="single" w:sz="4" w:space="0" w:color="auto"/>
            </w:tcBorders>
            <w:vAlign w:val="center"/>
            <w:hideMark/>
          </w:tcPr>
          <w:p w14:paraId="5E9B22D3" w14:textId="77777777" w:rsidR="00A70CBF" w:rsidRPr="00D93D2D" w:rsidRDefault="00A70CBF" w:rsidP="00A70CBF">
            <w:pPr>
              <w:spacing w:after="0" w:line="240" w:lineRule="auto"/>
              <w:rPr>
                <w:rFonts w:eastAsia="Times New Roman" w:cstheme="minorHAnsi"/>
                <w:b/>
                <w:bCs/>
                <w:color w:val="000000"/>
                <w:sz w:val="16"/>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14:paraId="0093E1EE" w14:textId="77777777" w:rsidR="00A70CBF" w:rsidRPr="00D93D2D" w:rsidRDefault="00A70CBF" w:rsidP="00A70CBF">
            <w:pPr>
              <w:spacing w:after="0" w:line="240" w:lineRule="auto"/>
              <w:rPr>
                <w:rFonts w:eastAsia="Times New Roman" w:cstheme="minorHAnsi"/>
                <w:b/>
                <w:bCs/>
                <w:color w:val="000000"/>
                <w:sz w:val="16"/>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444F22CE" w14:textId="77777777" w:rsidR="00A70CBF" w:rsidRPr="00D93D2D" w:rsidRDefault="00A70CBF" w:rsidP="00A70CBF">
            <w:pPr>
              <w:spacing w:after="0" w:line="240" w:lineRule="auto"/>
              <w:rPr>
                <w:rFonts w:eastAsia="Times New Roman" w:cstheme="minorHAnsi"/>
                <w:b/>
                <w:bCs/>
                <w:color w:val="000000"/>
                <w:sz w:val="16"/>
              </w:rPr>
            </w:pPr>
          </w:p>
        </w:tc>
        <w:tc>
          <w:tcPr>
            <w:tcW w:w="743" w:type="dxa"/>
            <w:tcBorders>
              <w:top w:val="nil"/>
              <w:left w:val="nil"/>
              <w:bottom w:val="single" w:sz="4" w:space="0" w:color="auto"/>
              <w:right w:val="single" w:sz="4" w:space="0" w:color="auto"/>
            </w:tcBorders>
            <w:shd w:val="clear" w:color="000000" w:fill="DBDBDB"/>
            <w:noWrap/>
            <w:vAlign w:val="center"/>
            <w:hideMark/>
          </w:tcPr>
          <w:p w14:paraId="2AF70D48"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5%</w:t>
            </w:r>
          </w:p>
        </w:tc>
        <w:tc>
          <w:tcPr>
            <w:tcW w:w="743" w:type="dxa"/>
            <w:tcBorders>
              <w:top w:val="nil"/>
              <w:left w:val="nil"/>
              <w:bottom w:val="single" w:sz="4" w:space="0" w:color="auto"/>
              <w:right w:val="single" w:sz="4" w:space="0" w:color="auto"/>
            </w:tcBorders>
            <w:shd w:val="clear" w:color="000000" w:fill="DBDBDB"/>
            <w:noWrap/>
            <w:vAlign w:val="center"/>
            <w:hideMark/>
          </w:tcPr>
          <w:p w14:paraId="62C55D4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10%</w:t>
            </w:r>
          </w:p>
        </w:tc>
        <w:tc>
          <w:tcPr>
            <w:tcW w:w="906" w:type="dxa"/>
            <w:tcBorders>
              <w:top w:val="nil"/>
              <w:left w:val="nil"/>
              <w:bottom w:val="single" w:sz="4" w:space="0" w:color="auto"/>
              <w:right w:val="single" w:sz="4" w:space="0" w:color="auto"/>
            </w:tcBorders>
            <w:shd w:val="clear" w:color="000000" w:fill="DBDBDB"/>
            <w:noWrap/>
            <w:vAlign w:val="center"/>
            <w:hideMark/>
          </w:tcPr>
          <w:p w14:paraId="4898F3C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50%</w:t>
            </w:r>
          </w:p>
        </w:tc>
        <w:tc>
          <w:tcPr>
            <w:tcW w:w="908" w:type="dxa"/>
            <w:tcBorders>
              <w:top w:val="nil"/>
              <w:left w:val="nil"/>
              <w:bottom w:val="single" w:sz="4" w:space="0" w:color="auto"/>
              <w:right w:val="single" w:sz="4" w:space="0" w:color="auto"/>
            </w:tcBorders>
            <w:shd w:val="clear" w:color="000000" w:fill="DBDBDB"/>
            <w:noWrap/>
            <w:vAlign w:val="center"/>
            <w:hideMark/>
          </w:tcPr>
          <w:p w14:paraId="2ECD7BA7"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100%</w:t>
            </w:r>
          </w:p>
        </w:tc>
      </w:tr>
      <w:tr w:rsidR="00A70CBF" w:rsidRPr="00D93D2D" w14:paraId="4CDC867A" w14:textId="77777777" w:rsidTr="00A70CBF">
        <w:trPr>
          <w:trHeight w:val="260"/>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3315B"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1 or less</w:t>
            </w:r>
          </w:p>
        </w:tc>
        <w:tc>
          <w:tcPr>
            <w:tcW w:w="888" w:type="dxa"/>
            <w:tcBorders>
              <w:top w:val="nil"/>
              <w:left w:val="nil"/>
              <w:bottom w:val="single" w:sz="4" w:space="0" w:color="auto"/>
              <w:right w:val="single" w:sz="4" w:space="0" w:color="auto"/>
            </w:tcBorders>
            <w:shd w:val="clear" w:color="auto" w:fill="auto"/>
            <w:noWrap/>
            <w:vAlign w:val="center"/>
            <w:hideMark/>
          </w:tcPr>
          <w:p w14:paraId="54495CB4"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w:t>
            </w:r>
          </w:p>
        </w:tc>
        <w:tc>
          <w:tcPr>
            <w:tcW w:w="825" w:type="dxa"/>
            <w:tcBorders>
              <w:top w:val="nil"/>
              <w:left w:val="nil"/>
              <w:bottom w:val="single" w:sz="4" w:space="0" w:color="auto"/>
              <w:right w:val="single" w:sz="4" w:space="0" w:color="auto"/>
            </w:tcBorders>
            <w:shd w:val="clear" w:color="auto" w:fill="auto"/>
            <w:noWrap/>
            <w:vAlign w:val="center"/>
            <w:hideMark/>
          </w:tcPr>
          <w:p w14:paraId="1D764DC5"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(10)</w:t>
            </w:r>
          </w:p>
        </w:tc>
        <w:tc>
          <w:tcPr>
            <w:tcW w:w="743" w:type="dxa"/>
            <w:tcBorders>
              <w:top w:val="nil"/>
              <w:left w:val="nil"/>
              <w:bottom w:val="single" w:sz="4" w:space="0" w:color="auto"/>
              <w:right w:val="single" w:sz="4" w:space="0" w:color="auto"/>
            </w:tcBorders>
            <w:shd w:val="clear" w:color="auto" w:fill="auto"/>
            <w:noWrap/>
            <w:vAlign w:val="center"/>
            <w:hideMark/>
          </w:tcPr>
          <w:p w14:paraId="5E923304"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20.56</w:t>
            </w:r>
          </w:p>
        </w:tc>
        <w:tc>
          <w:tcPr>
            <w:tcW w:w="743" w:type="dxa"/>
            <w:tcBorders>
              <w:top w:val="nil"/>
              <w:left w:val="nil"/>
              <w:bottom w:val="single" w:sz="4" w:space="0" w:color="auto"/>
              <w:right w:val="single" w:sz="4" w:space="0" w:color="auto"/>
            </w:tcBorders>
            <w:shd w:val="clear" w:color="auto" w:fill="auto"/>
            <w:noWrap/>
            <w:vAlign w:val="center"/>
            <w:hideMark/>
          </w:tcPr>
          <w:p w14:paraId="29BBFFFD"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41.12</w:t>
            </w:r>
          </w:p>
        </w:tc>
        <w:tc>
          <w:tcPr>
            <w:tcW w:w="906" w:type="dxa"/>
            <w:tcBorders>
              <w:top w:val="nil"/>
              <w:left w:val="nil"/>
              <w:bottom w:val="single" w:sz="4" w:space="0" w:color="auto"/>
              <w:right w:val="single" w:sz="4" w:space="0" w:color="auto"/>
            </w:tcBorders>
            <w:shd w:val="clear" w:color="auto" w:fill="auto"/>
            <w:noWrap/>
            <w:vAlign w:val="center"/>
            <w:hideMark/>
          </w:tcPr>
          <w:p w14:paraId="2C585717"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205.58</w:t>
            </w:r>
          </w:p>
        </w:tc>
        <w:tc>
          <w:tcPr>
            <w:tcW w:w="908" w:type="dxa"/>
            <w:tcBorders>
              <w:top w:val="nil"/>
              <w:left w:val="nil"/>
              <w:bottom w:val="single" w:sz="4" w:space="0" w:color="auto"/>
              <w:right w:val="single" w:sz="4" w:space="0" w:color="auto"/>
            </w:tcBorders>
            <w:shd w:val="clear" w:color="auto" w:fill="auto"/>
            <w:noWrap/>
            <w:vAlign w:val="center"/>
            <w:hideMark/>
          </w:tcPr>
          <w:p w14:paraId="5411E073"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411.16</w:t>
            </w:r>
          </w:p>
        </w:tc>
      </w:tr>
      <w:tr w:rsidR="00A70CBF" w:rsidRPr="00D93D2D" w14:paraId="37820561" w14:textId="77777777" w:rsidTr="00A70CBF">
        <w:trPr>
          <w:trHeight w:val="260"/>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FC2F9"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2</w:t>
            </w:r>
          </w:p>
        </w:tc>
        <w:tc>
          <w:tcPr>
            <w:tcW w:w="888" w:type="dxa"/>
            <w:tcBorders>
              <w:top w:val="nil"/>
              <w:left w:val="nil"/>
              <w:bottom w:val="single" w:sz="4" w:space="0" w:color="auto"/>
              <w:right w:val="single" w:sz="4" w:space="0" w:color="auto"/>
            </w:tcBorders>
            <w:shd w:val="clear" w:color="auto" w:fill="auto"/>
            <w:noWrap/>
            <w:vAlign w:val="center"/>
            <w:hideMark/>
          </w:tcPr>
          <w:p w14:paraId="34879D54"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w:t>
            </w:r>
          </w:p>
        </w:tc>
        <w:tc>
          <w:tcPr>
            <w:tcW w:w="825" w:type="dxa"/>
            <w:tcBorders>
              <w:top w:val="nil"/>
              <w:left w:val="nil"/>
              <w:bottom w:val="single" w:sz="4" w:space="0" w:color="auto"/>
              <w:right w:val="single" w:sz="4" w:space="0" w:color="auto"/>
            </w:tcBorders>
            <w:shd w:val="clear" w:color="auto" w:fill="auto"/>
            <w:noWrap/>
            <w:vAlign w:val="center"/>
            <w:hideMark/>
          </w:tcPr>
          <w:p w14:paraId="51AB754F"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(10)</w:t>
            </w:r>
          </w:p>
        </w:tc>
        <w:tc>
          <w:tcPr>
            <w:tcW w:w="743" w:type="dxa"/>
            <w:tcBorders>
              <w:top w:val="nil"/>
              <w:left w:val="nil"/>
              <w:bottom w:val="single" w:sz="4" w:space="0" w:color="auto"/>
              <w:right w:val="single" w:sz="4" w:space="0" w:color="auto"/>
            </w:tcBorders>
            <w:shd w:val="clear" w:color="auto" w:fill="auto"/>
            <w:noWrap/>
            <w:vAlign w:val="center"/>
            <w:hideMark/>
          </w:tcPr>
          <w:p w14:paraId="39C030B7"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10.31</w:t>
            </w:r>
          </w:p>
        </w:tc>
        <w:tc>
          <w:tcPr>
            <w:tcW w:w="743" w:type="dxa"/>
            <w:tcBorders>
              <w:top w:val="nil"/>
              <w:left w:val="nil"/>
              <w:bottom w:val="single" w:sz="4" w:space="0" w:color="auto"/>
              <w:right w:val="single" w:sz="4" w:space="0" w:color="auto"/>
            </w:tcBorders>
            <w:shd w:val="clear" w:color="auto" w:fill="auto"/>
            <w:noWrap/>
            <w:vAlign w:val="center"/>
            <w:hideMark/>
          </w:tcPr>
          <w:p w14:paraId="1D19AE3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20.62</w:t>
            </w:r>
          </w:p>
        </w:tc>
        <w:tc>
          <w:tcPr>
            <w:tcW w:w="906" w:type="dxa"/>
            <w:tcBorders>
              <w:top w:val="nil"/>
              <w:left w:val="nil"/>
              <w:bottom w:val="single" w:sz="4" w:space="0" w:color="auto"/>
              <w:right w:val="single" w:sz="4" w:space="0" w:color="auto"/>
            </w:tcBorders>
            <w:shd w:val="clear" w:color="auto" w:fill="auto"/>
            <w:noWrap/>
            <w:vAlign w:val="center"/>
            <w:hideMark/>
          </w:tcPr>
          <w:p w14:paraId="7D3DC76D"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103.10</w:t>
            </w:r>
          </w:p>
        </w:tc>
        <w:tc>
          <w:tcPr>
            <w:tcW w:w="908" w:type="dxa"/>
            <w:tcBorders>
              <w:top w:val="nil"/>
              <w:left w:val="nil"/>
              <w:bottom w:val="single" w:sz="4" w:space="0" w:color="auto"/>
              <w:right w:val="single" w:sz="4" w:space="0" w:color="auto"/>
            </w:tcBorders>
            <w:shd w:val="clear" w:color="auto" w:fill="auto"/>
            <w:noWrap/>
            <w:vAlign w:val="center"/>
            <w:hideMark/>
          </w:tcPr>
          <w:p w14:paraId="46189111"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206.21</w:t>
            </w:r>
          </w:p>
        </w:tc>
      </w:tr>
      <w:tr w:rsidR="00A70CBF" w:rsidRPr="00D93D2D" w14:paraId="5D3CBABC" w14:textId="77777777" w:rsidTr="00A70CBF">
        <w:trPr>
          <w:trHeight w:val="260"/>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529AA"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3</w:t>
            </w:r>
          </w:p>
        </w:tc>
        <w:tc>
          <w:tcPr>
            <w:tcW w:w="888" w:type="dxa"/>
            <w:tcBorders>
              <w:top w:val="nil"/>
              <w:left w:val="nil"/>
              <w:bottom w:val="single" w:sz="4" w:space="0" w:color="auto"/>
              <w:right w:val="single" w:sz="4" w:space="0" w:color="auto"/>
            </w:tcBorders>
            <w:shd w:val="clear" w:color="auto" w:fill="auto"/>
            <w:noWrap/>
            <w:vAlign w:val="center"/>
            <w:hideMark/>
          </w:tcPr>
          <w:p w14:paraId="50EC26EA"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3</w:t>
            </w:r>
          </w:p>
        </w:tc>
        <w:tc>
          <w:tcPr>
            <w:tcW w:w="825" w:type="dxa"/>
            <w:tcBorders>
              <w:top w:val="nil"/>
              <w:left w:val="nil"/>
              <w:bottom w:val="single" w:sz="4" w:space="0" w:color="auto"/>
              <w:right w:val="single" w:sz="4" w:space="0" w:color="auto"/>
            </w:tcBorders>
            <w:shd w:val="clear" w:color="auto" w:fill="auto"/>
            <w:noWrap/>
            <w:vAlign w:val="center"/>
            <w:hideMark/>
          </w:tcPr>
          <w:p w14:paraId="0E9DB5C7"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(10)</w:t>
            </w:r>
          </w:p>
        </w:tc>
        <w:tc>
          <w:tcPr>
            <w:tcW w:w="743" w:type="dxa"/>
            <w:tcBorders>
              <w:top w:val="nil"/>
              <w:left w:val="nil"/>
              <w:bottom w:val="single" w:sz="4" w:space="0" w:color="auto"/>
              <w:right w:val="single" w:sz="4" w:space="0" w:color="auto"/>
            </w:tcBorders>
            <w:shd w:val="clear" w:color="auto" w:fill="auto"/>
            <w:noWrap/>
            <w:vAlign w:val="center"/>
            <w:hideMark/>
          </w:tcPr>
          <w:p w14:paraId="535353CE"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7.83</w:t>
            </w:r>
          </w:p>
        </w:tc>
        <w:tc>
          <w:tcPr>
            <w:tcW w:w="743" w:type="dxa"/>
            <w:tcBorders>
              <w:top w:val="nil"/>
              <w:left w:val="nil"/>
              <w:bottom w:val="single" w:sz="4" w:space="0" w:color="auto"/>
              <w:right w:val="single" w:sz="4" w:space="0" w:color="auto"/>
            </w:tcBorders>
            <w:shd w:val="clear" w:color="auto" w:fill="auto"/>
            <w:noWrap/>
            <w:vAlign w:val="center"/>
            <w:hideMark/>
          </w:tcPr>
          <w:p w14:paraId="3EC2EEBC"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15.67</w:t>
            </w:r>
          </w:p>
        </w:tc>
        <w:tc>
          <w:tcPr>
            <w:tcW w:w="906" w:type="dxa"/>
            <w:tcBorders>
              <w:top w:val="nil"/>
              <w:left w:val="nil"/>
              <w:bottom w:val="single" w:sz="4" w:space="0" w:color="auto"/>
              <w:right w:val="single" w:sz="4" w:space="0" w:color="auto"/>
            </w:tcBorders>
            <w:shd w:val="clear" w:color="auto" w:fill="auto"/>
            <w:noWrap/>
            <w:vAlign w:val="center"/>
            <w:hideMark/>
          </w:tcPr>
          <w:p w14:paraId="574D8786"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78.33</w:t>
            </w:r>
          </w:p>
        </w:tc>
        <w:tc>
          <w:tcPr>
            <w:tcW w:w="908" w:type="dxa"/>
            <w:tcBorders>
              <w:top w:val="nil"/>
              <w:left w:val="nil"/>
              <w:bottom w:val="single" w:sz="4" w:space="0" w:color="auto"/>
              <w:right w:val="single" w:sz="4" w:space="0" w:color="auto"/>
            </w:tcBorders>
            <w:shd w:val="clear" w:color="auto" w:fill="auto"/>
            <w:noWrap/>
            <w:vAlign w:val="center"/>
            <w:hideMark/>
          </w:tcPr>
          <w:p w14:paraId="545508BA"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156.66</w:t>
            </w:r>
          </w:p>
        </w:tc>
      </w:tr>
      <w:tr w:rsidR="00A70CBF" w:rsidRPr="00D93D2D" w14:paraId="00EB8A09" w14:textId="77777777" w:rsidTr="00A70CBF">
        <w:trPr>
          <w:trHeight w:val="260"/>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49F1A"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4</w:t>
            </w:r>
          </w:p>
        </w:tc>
        <w:tc>
          <w:tcPr>
            <w:tcW w:w="888" w:type="dxa"/>
            <w:tcBorders>
              <w:top w:val="nil"/>
              <w:left w:val="nil"/>
              <w:bottom w:val="single" w:sz="4" w:space="0" w:color="auto"/>
              <w:right w:val="single" w:sz="4" w:space="0" w:color="auto"/>
            </w:tcBorders>
            <w:shd w:val="clear" w:color="auto" w:fill="auto"/>
            <w:noWrap/>
            <w:vAlign w:val="center"/>
            <w:hideMark/>
          </w:tcPr>
          <w:p w14:paraId="60E89C5C"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4</w:t>
            </w:r>
          </w:p>
        </w:tc>
        <w:tc>
          <w:tcPr>
            <w:tcW w:w="825" w:type="dxa"/>
            <w:tcBorders>
              <w:top w:val="nil"/>
              <w:left w:val="nil"/>
              <w:bottom w:val="single" w:sz="4" w:space="0" w:color="auto"/>
              <w:right w:val="single" w:sz="4" w:space="0" w:color="auto"/>
            </w:tcBorders>
            <w:shd w:val="clear" w:color="auto" w:fill="auto"/>
            <w:noWrap/>
            <w:vAlign w:val="center"/>
            <w:hideMark/>
          </w:tcPr>
          <w:p w14:paraId="56C34F43"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(10)</w:t>
            </w:r>
          </w:p>
        </w:tc>
        <w:tc>
          <w:tcPr>
            <w:tcW w:w="743" w:type="dxa"/>
            <w:tcBorders>
              <w:top w:val="nil"/>
              <w:left w:val="nil"/>
              <w:bottom w:val="single" w:sz="4" w:space="0" w:color="auto"/>
              <w:right w:val="single" w:sz="4" w:space="0" w:color="auto"/>
            </w:tcBorders>
            <w:shd w:val="clear" w:color="auto" w:fill="auto"/>
            <w:noWrap/>
            <w:vAlign w:val="center"/>
            <w:hideMark/>
          </w:tcPr>
          <w:p w14:paraId="1DC48F04"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5.58</w:t>
            </w:r>
          </w:p>
        </w:tc>
        <w:tc>
          <w:tcPr>
            <w:tcW w:w="743" w:type="dxa"/>
            <w:tcBorders>
              <w:top w:val="nil"/>
              <w:left w:val="nil"/>
              <w:bottom w:val="single" w:sz="4" w:space="0" w:color="auto"/>
              <w:right w:val="single" w:sz="4" w:space="0" w:color="auto"/>
            </w:tcBorders>
            <w:shd w:val="clear" w:color="auto" w:fill="auto"/>
            <w:noWrap/>
            <w:vAlign w:val="center"/>
            <w:hideMark/>
          </w:tcPr>
          <w:p w14:paraId="18AF3F7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11.16</w:t>
            </w:r>
          </w:p>
        </w:tc>
        <w:tc>
          <w:tcPr>
            <w:tcW w:w="906" w:type="dxa"/>
            <w:tcBorders>
              <w:top w:val="nil"/>
              <w:left w:val="nil"/>
              <w:bottom w:val="single" w:sz="4" w:space="0" w:color="auto"/>
              <w:right w:val="single" w:sz="4" w:space="0" w:color="auto"/>
            </w:tcBorders>
            <w:shd w:val="clear" w:color="auto" w:fill="auto"/>
            <w:noWrap/>
            <w:vAlign w:val="center"/>
            <w:hideMark/>
          </w:tcPr>
          <w:p w14:paraId="16231FE9"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55.78</w:t>
            </w:r>
          </w:p>
        </w:tc>
        <w:tc>
          <w:tcPr>
            <w:tcW w:w="908" w:type="dxa"/>
            <w:tcBorders>
              <w:top w:val="nil"/>
              <w:left w:val="nil"/>
              <w:bottom w:val="single" w:sz="4" w:space="0" w:color="auto"/>
              <w:right w:val="single" w:sz="4" w:space="0" w:color="auto"/>
            </w:tcBorders>
            <w:shd w:val="clear" w:color="auto" w:fill="auto"/>
            <w:noWrap/>
            <w:vAlign w:val="center"/>
            <w:hideMark/>
          </w:tcPr>
          <w:p w14:paraId="5C8BF965"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111.57</w:t>
            </w:r>
          </w:p>
        </w:tc>
      </w:tr>
      <w:tr w:rsidR="00A70CBF" w:rsidRPr="00D93D2D" w14:paraId="1F1F628B" w14:textId="77777777" w:rsidTr="00A70CBF">
        <w:trPr>
          <w:trHeight w:val="2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671B35C9"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5</w:t>
            </w:r>
          </w:p>
        </w:tc>
        <w:tc>
          <w:tcPr>
            <w:tcW w:w="1502" w:type="dxa"/>
            <w:tcBorders>
              <w:top w:val="nil"/>
              <w:left w:val="nil"/>
              <w:bottom w:val="single" w:sz="4" w:space="0" w:color="auto"/>
              <w:right w:val="single" w:sz="4" w:space="0" w:color="auto"/>
            </w:tcBorders>
            <w:shd w:val="clear" w:color="auto" w:fill="auto"/>
            <w:noWrap/>
            <w:vAlign w:val="center"/>
            <w:hideMark/>
          </w:tcPr>
          <w:p w14:paraId="19EB5AE8"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to   10</w:t>
            </w:r>
          </w:p>
        </w:tc>
        <w:tc>
          <w:tcPr>
            <w:tcW w:w="888" w:type="dxa"/>
            <w:tcBorders>
              <w:top w:val="nil"/>
              <w:left w:val="nil"/>
              <w:bottom w:val="single" w:sz="4" w:space="0" w:color="auto"/>
              <w:right w:val="single" w:sz="4" w:space="0" w:color="auto"/>
            </w:tcBorders>
            <w:shd w:val="clear" w:color="auto" w:fill="auto"/>
            <w:noWrap/>
            <w:vAlign w:val="center"/>
            <w:hideMark/>
          </w:tcPr>
          <w:p w14:paraId="750B3106"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5</w:t>
            </w:r>
          </w:p>
        </w:tc>
        <w:tc>
          <w:tcPr>
            <w:tcW w:w="825" w:type="dxa"/>
            <w:tcBorders>
              <w:top w:val="nil"/>
              <w:left w:val="nil"/>
              <w:bottom w:val="single" w:sz="4" w:space="0" w:color="auto"/>
              <w:right w:val="single" w:sz="4" w:space="0" w:color="auto"/>
            </w:tcBorders>
            <w:shd w:val="clear" w:color="auto" w:fill="auto"/>
            <w:noWrap/>
            <w:vAlign w:val="center"/>
            <w:hideMark/>
          </w:tcPr>
          <w:p w14:paraId="49649C9B"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(10)</w:t>
            </w:r>
          </w:p>
        </w:tc>
        <w:tc>
          <w:tcPr>
            <w:tcW w:w="743" w:type="dxa"/>
            <w:tcBorders>
              <w:top w:val="nil"/>
              <w:left w:val="nil"/>
              <w:bottom w:val="single" w:sz="4" w:space="0" w:color="auto"/>
              <w:right w:val="single" w:sz="4" w:space="0" w:color="auto"/>
            </w:tcBorders>
            <w:shd w:val="clear" w:color="auto" w:fill="auto"/>
            <w:noWrap/>
            <w:vAlign w:val="center"/>
            <w:hideMark/>
          </w:tcPr>
          <w:p w14:paraId="33D8AFAA"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0.84</w:t>
            </w:r>
          </w:p>
        </w:tc>
        <w:tc>
          <w:tcPr>
            <w:tcW w:w="743" w:type="dxa"/>
            <w:tcBorders>
              <w:top w:val="nil"/>
              <w:left w:val="nil"/>
              <w:bottom w:val="single" w:sz="4" w:space="0" w:color="auto"/>
              <w:right w:val="single" w:sz="4" w:space="0" w:color="auto"/>
            </w:tcBorders>
            <w:shd w:val="clear" w:color="auto" w:fill="auto"/>
            <w:noWrap/>
            <w:vAlign w:val="center"/>
            <w:hideMark/>
          </w:tcPr>
          <w:p w14:paraId="1AD7DFEE"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1.68</w:t>
            </w:r>
          </w:p>
        </w:tc>
        <w:tc>
          <w:tcPr>
            <w:tcW w:w="906" w:type="dxa"/>
            <w:tcBorders>
              <w:top w:val="nil"/>
              <w:left w:val="nil"/>
              <w:bottom w:val="single" w:sz="4" w:space="0" w:color="auto"/>
              <w:right w:val="single" w:sz="4" w:space="0" w:color="auto"/>
            </w:tcBorders>
            <w:shd w:val="clear" w:color="auto" w:fill="auto"/>
            <w:noWrap/>
            <w:vAlign w:val="center"/>
            <w:hideMark/>
          </w:tcPr>
          <w:p w14:paraId="66B678C3"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8.41</w:t>
            </w:r>
          </w:p>
        </w:tc>
        <w:tc>
          <w:tcPr>
            <w:tcW w:w="908" w:type="dxa"/>
            <w:tcBorders>
              <w:top w:val="nil"/>
              <w:left w:val="nil"/>
              <w:bottom w:val="single" w:sz="4" w:space="0" w:color="auto"/>
              <w:right w:val="single" w:sz="4" w:space="0" w:color="auto"/>
            </w:tcBorders>
            <w:shd w:val="clear" w:color="auto" w:fill="auto"/>
            <w:noWrap/>
            <w:vAlign w:val="center"/>
            <w:hideMark/>
          </w:tcPr>
          <w:p w14:paraId="0143BFBD"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16.82</w:t>
            </w:r>
          </w:p>
        </w:tc>
      </w:tr>
      <w:tr w:rsidR="00A70CBF" w:rsidRPr="00D93D2D" w14:paraId="148E8A02" w14:textId="77777777" w:rsidTr="00A70CBF">
        <w:trPr>
          <w:trHeight w:val="2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121440C6"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10</w:t>
            </w:r>
          </w:p>
        </w:tc>
        <w:tc>
          <w:tcPr>
            <w:tcW w:w="1502" w:type="dxa"/>
            <w:tcBorders>
              <w:top w:val="nil"/>
              <w:left w:val="nil"/>
              <w:bottom w:val="single" w:sz="4" w:space="0" w:color="auto"/>
              <w:right w:val="single" w:sz="4" w:space="0" w:color="auto"/>
            </w:tcBorders>
            <w:shd w:val="clear" w:color="auto" w:fill="auto"/>
            <w:noWrap/>
            <w:vAlign w:val="center"/>
            <w:hideMark/>
          </w:tcPr>
          <w:p w14:paraId="2E05957B"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to   15</w:t>
            </w:r>
          </w:p>
        </w:tc>
        <w:tc>
          <w:tcPr>
            <w:tcW w:w="888" w:type="dxa"/>
            <w:tcBorders>
              <w:top w:val="nil"/>
              <w:left w:val="nil"/>
              <w:bottom w:val="single" w:sz="4" w:space="0" w:color="auto"/>
              <w:right w:val="single" w:sz="4" w:space="0" w:color="auto"/>
            </w:tcBorders>
            <w:shd w:val="clear" w:color="auto" w:fill="auto"/>
            <w:noWrap/>
            <w:vAlign w:val="center"/>
            <w:hideMark/>
          </w:tcPr>
          <w:p w14:paraId="27444B97"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6</w:t>
            </w:r>
          </w:p>
        </w:tc>
        <w:tc>
          <w:tcPr>
            <w:tcW w:w="825" w:type="dxa"/>
            <w:tcBorders>
              <w:top w:val="nil"/>
              <w:left w:val="nil"/>
              <w:bottom w:val="single" w:sz="4" w:space="0" w:color="auto"/>
              <w:right w:val="single" w:sz="4" w:space="0" w:color="auto"/>
            </w:tcBorders>
            <w:shd w:val="clear" w:color="auto" w:fill="auto"/>
            <w:noWrap/>
            <w:vAlign w:val="center"/>
            <w:hideMark/>
          </w:tcPr>
          <w:p w14:paraId="0214AF05"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(20)</w:t>
            </w:r>
          </w:p>
        </w:tc>
        <w:tc>
          <w:tcPr>
            <w:tcW w:w="743" w:type="dxa"/>
            <w:tcBorders>
              <w:top w:val="nil"/>
              <w:left w:val="nil"/>
              <w:bottom w:val="single" w:sz="4" w:space="0" w:color="auto"/>
              <w:right w:val="single" w:sz="4" w:space="0" w:color="auto"/>
            </w:tcBorders>
            <w:shd w:val="clear" w:color="auto" w:fill="auto"/>
            <w:noWrap/>
            <w:vAlign w:val="center"/>
            <w:hideMark/>
          </w:tcPr>
          <w:p w14:paraId="6E8B15C3"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0.63</w:t>
            </w:r>
          </w:p>
        </w:tc>
        <w:tc>
          <w:tcPr>
            <w:tcW w:w="743" w:type="dxa"/>
            <w:tcBorders>
              <w:top w:val="nil"/>
              <w:left w:val="nil"/>
              <w:bottom w:val="single" w:sz="4" w:space="0" w:color="auto"/>
              <w:right w:val="single" w:sz="4" w:space="0" w:color="auto"/>
            </w:tcBorders>
            <w:shd w:val="clear" w:color="auto" w:fill="auto"/>
            <w:noWrap/>
            <w:vAlign w:val="center"/>
            <w:hideMark/>
          </w:tcPr>
          <w:p w14:paraId="68CED236"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1.26</w:t>
            </w:r>
          </w:p>
        </w:tc>
        <w:tc>
          <w:tcPr>
            <w:tcW w:w="906" w:type="dxa"/>
            <w:tcBorders>
              <w:top w:val="nil"/>
              <w:left w:val="nil"/>
              <w:bottom w:val="single" w:sz="4" w:space="0" w:color="auto"/>
              <w:right w:val="single" w:sz="4" w:space="0" w:color="auto"/>
            </w:tcBorders>
            <w:shd w:val="clear" w:color="auto" w:fill="auto"/>
            <w:noWrap/>
            <w:vAlign w:val="center"/>
            <w:hideMark/>
          </w:tcPr>
          <w:p w14:paraId="61635E39"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6.31</w:t>
            </w:r>
          </w:p>
        </w:tc>
        <w:tc>
          <w:tcPr>
            <w:tcW w:w="908" w:type="dxa"/>
            <w:tcBorders>
              <w:top w:val="nil"/>
              <w:left w:val="nil"/>
              <w:bottom w:val="single" w:sz="4" w:space="0" w:color="auto"/>
              <w:right w:val="single" w:sz="4" w:space="0" w:color="auto"/>
            </w:tcBorders>
            <w:shd w:val="clear" w:color="auto" w:fill="auto"/>
            <w:noWrap/>
            <w:vAlign w:val="center"/>
            <w:hideMark/>
          </w:tcPr>
          <w:p w14:paraId="3C228D2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12.62</w:t>
            </w:r>
          </w:p>
        </w:tc>
      </w:tr>
      <w:tr w:rsidR="00A70CBF" w:rsidRPr="00D93D2D" w14:paraId="71BC975D" w14:textId="77777777" w:rsidTr="00A70CBF">
        <w:trPr>
          <w:trHeight w:val="2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3B512AF8"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15</w:t>
            </w:r>
          </w:p>
        </w:tc>
        <w:tc>
          <w:tcPr>
            <w:tcW w:w="1502" w:type="dxa"/>
            <w:tcBorders>
              <w:top w:val="nil"/>
              <w:left w:val="nil"/>
              <w:bottom w:val="single" w:sz="4" w:space="0" w:color="auto"/>
              <w:right w:val="single" w:sz="4" w:space="0" w:color="auto"/>
            </w:tcBorders>
            <w:shd w:val="clear" w:color="auto" w:fill="auto"/>
            <w:noWrap/>
            <w:vAlign w:val="center"/>
            <w:hideMark/>
          </w:tcPr>
          <w:p w14:paraId="33EA476F"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to   20</w:t>
            </w:r>
          </w:p>
        </w:tc>
        <w:tc>
          <w:tcPr>
            <w:tcW w:w="888" w:type="dxa"/>
            <w:tcBorders>
              <w:top w:val="nil"/>
              <w:left w:val="nil"/>
              <w:bottom w:val="single" w:sz="4" w:space="0" w:color="auto"/>
              <w:right w:val="single" w:sz="4" w:space="0" w:color="auto"/>
            </w:tcBorders>
            <w:shd w:val="clear" w:color="auto" w:fill="auto"/>
            <w:noWrap/>
            <w:vAlign w:val="center"/>
            <w:hideMark/>
          </w:tcPr>
          <w:p w14:paraId="3DC330E9"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7</w:t>
            </w:r>
          </w:p>
        </w:tc>
        <w:tc>
          <w:tcPr>
            <w:tcW w:w="825" w:type="dxa"/>
            <w:tcBorders>
              <w:top w:val="nil"/>
              <w:left w:val="nil"/>
              <w:bottom w:val="single" w:sz="4" w:space="0" w:color="auto"/>
              <w:right w:val="single" w:sz="4" w:space="0" w:color="auto"/>
            </w:tcBorders>
            <w:shd w:val="clear" w:color="auto" w:fill="auto"/>
            <w:noWrap/>
            <w:vAlign w:val="center"/>
            <w:hideMark/>
          </w:tcPr>
          <w:p w14:paraId="04382E58"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(20)</w:t>
            </w:r>
          </w:p>
        </w:tc>
        <w:tc>
          <w:tcPr>
            <w:tcW w:w="743" w:type="dxa"/>
            <w:tcBorders>
              <w:top w:val="nil"/>
              <w:left w:val="nil"/>
              <w:bottom w:val="single" w:sz="4" w:space="0" w:color="auto"/>
              <w:right w:val="single" w:sz="4" w:space="0" w:color="auto"/>
            </w:tcBorders>
            <w:shd w:val="clear" w:color="auto" w:fill="auto"/>
            <w:noWrap/>
            <w:vAlign w:val="center"/>
            <w:hideMark/>
          </w:tcPr>
          <w:p w14:paraId="7A569552"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0.42</w:t>
            </w:r>
          </w:p>
        </w:tc>
        <w:tc>
          <w:tcPr>
            <w:tcW w:w="743" w:type="dxa"/>
            <w:tcBorders>
              <w:top w:val="nil"/>
              <w:left w:val="nil"/>
              <w:bottom w:val="single" w:sz="4" w:space="0" w:color="auto"/>
              <w:right w:val="single" w:sz="4" w:space="0" w:color="auto"/>
            </w:tcBorders>
            <w:shd w:val="clear" w:color="auto" w:fill="auto"/>
            <w:noWrap/>
            <w:vAlign w:val="center"/>
            <w:hideMark/>
          </w:tcPr>
          <w:p w14:paraId="66AB6332"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0.84</w:t>
            </w:r>
          </w:p>
        </w:tc>
        <w:tc>
          <w:tcPr>
            <w:tcW w:w="906" w:type="dxa"/>
            <w:tcBorders>
              <w:top w:val="nil"/>
              <w:left w:val="nil"/>
              <w:bottom w:val="single" w:sz="4" w:space="0" w:color="auto"/>
              <w:right w:val="single" w:sz="4" w:space="0" w:color="auto"/>
            </w:tcBorders>
            <w:shd w:val="clear" w:color="auto" w:fill="auto"/>
            <w:noWrap/>
            <w:vAlign w:val="center"/>
            <w:hideMark/>
          </w:tcPr>
          <w:p w14:paraId="58097178"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4.21</w:t>
            </w:r>
          </w:p>
        </w:tc>
        <w:tc>
          <w:tcPr>
            <w:tcW w:w="908" w:type="dxa"/>
            <w:tcBorders>
              <w:top w:val="nil"/>
              <w:left w:val="nil"/>
              <w:bottom w:val="single" w:sz="4" w:space="0" w:color="auto"/>
              <w:right w:val="single" w:sz="4" w:space="0" w:color="auto"/>
            </w:tcBorders>
            <w:shd w:val="clear" w:color="auto" w:fill="auto"/>
            <w:noWrap/>
            <w:vAlign w:val="center"/>
            <w:hideMark/>
          </w:tcPr>
          <w:p w14:paraId="7D52EF8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8.41</w:t>
            </w:r>
          </w:p>
        </w:tc>
      </w:tr>
      <w:tr w:rsidR="00A70CBF" w:rsidRPr="00D93D2D" w14:paraId="42A18618" w14:textId="77777777" w:rsidTr="00A70CBF">
        <w:trPr>
          <w:trHeight w:val="2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6B07ABF7"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20</w:t>
            </w:r>
          </w:p>
        </w:tc>
        <w:tc>
          <w:tcPr>
            <w:tcW w:w="1502" w:type="dxa"/>
            <w:tcBorders>
              <w:top w:val="nil"/>
              <w:left w:val="nil"/>
              <w:bottom w:val="single" w:sz="4" w:space="0" w:color="auto"/>
              <w:right w:val="single" w:sz="4" w:space="0" w:color="auto"/>
            </w:tcBorders>
            <w:shd w:val="clear" w:color="auto" w:fill="auto"/>
            <w:noWrap/>
            <w:vAlign w:val="center"/>
            <w:hideMark/>
          </w:tcPr>
          <w:p w14:paraId="205D1333"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to   30</w:t>
            </w:r>
          </w:p>
        </w:tc>
        <w:tc>
          <w:tcPr>
            <w:tcW w:w="888" w:type="dxa"/>
            <w:tcBorders>
              <w:top w:val="nil"/>
              <w:left w:val="nil"/>
              <w:bottom w:val="single" w:sz="4" w:space="0" w:color="auto"/>
              <w:right w:val="single" w:sz="4" w:space="0" w:color="auto"/>
            </w:tcBorders>
            <w:shd w:val="clear" w:color="auto" w:fill="auto"/>
            <w:noWrap/>
            <w:vAlign w:val="center"/>
            <w:hideMark/>
          </w:tcPr>
          <w:p w14:paraId="2DB657B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8</w:t>
            </w:r>
          </w:p>
        </w:tc>
        <w:tc>
          <w:tcPr>
            <w:tcW w:w="825" w:type="dxa"/>
            <w:tcBorders>
              <w:top w:val="nil"/>
              <w:left w:val="nil"/>
              <w:bottom w:val="single" w:sz="4" w:space="0" w:color="auto"/>
              <w:right w:val="single" w:sz="4" w:space="0" w:color="auto"/>
            </w:tcBorders>
            <w:shd w:val="clear" w:color="auto" w:fill="auto"/>
            <w:noWrap/>
            <w:vAlign w:val="center"/>
            <w:hideMark/>
          </w:tcPr>
          <w:p w14:paraId="4750705C"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(30)</w:t>
            </w:r>
          </w:p>
        </w:tc>
        <w:tc>
          <w:tcPr>
            <w:tcW w:w="743" w:type="dxa"/>
            <w:tcBorders>
              <w:top w:val="nil"/>
              <w:left w:val="nil"/>
              <w:bottom w:val="single" w:sz="4" w:space="0" w:color="auto"/>
              <w:right w:val="single" w:sz="4" w:space="0" w:color="auto"/>
            </w:tcBorders>
            <w:shd w:val="clear" w:color="auto" w:fill="auto"/>
            <w:noWrap/>
            <w:vAlign w:val="center"/>
            <w:hideMark/>
          </w:tcPr>
          <w:p w14:paraId="73F34193"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0.53</w:t>
            </w:r>
          </w:p>
        </w:tc>
        <w:tc>
          <w:tcPr>
            <w:tcW w:w="743" w:type="dxa"/>
            <w:tcBorders>
              <w:top w:val="nil"/>
              <w:left w:val="nil"/>
              <w:bottom w:val="single" w:sz="4" w:space="0" w:color="auto"/>
              <w:right w:val="single" w:sz="4" w:space="0" w:color="auto"/>
            </w:tcBorders>
            <w:shd w:val="clear" w:color="auto" w:fill="auto"/>
            <w:noWrap/>
            <w:vAlign w:val="center"/>
            <w:hideMark/>
          </w:tcPr>
          <w:p w14:paraId="5627A188"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1.06</w:t>
            </w:r>
          </w:p>
        </w:tc>
        <w:tc>
          <w:tcPr>
            <w:tcW w:w="906" w:type="dxa"/>
            <w:tcBorders>
              <w:top w:val="nil"/>
              <w:left w:val="nil"/>
              <w:bottom w:val="single" w:sz="4" w:space="0" w:color="auto"/>
              <w:right w:val="single" w:sz="4" w:space="0" w:color="auto"/>
            </w:tcBorders>
            <w:shd w:val="clear" w:color="auto" w:fill="auto"/>
            <w:noWrap/>
            <w:vAlign w:val="center"/>
            <w:hideMark/>
          </w:tcPr>
          <w:p w14:paraId="496CC56F"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5.29</w:t>
            </w:r>
          </w:p>
        </w:tc>
        <w:tc>
          <w:tcPr>
            <w:tcW w:w="908" w:type="dxa"/>
            <w:tcBorders>
              <w:top w:val="nil"/>
              <w:left w:val="nil"/>
              <w:bottom w:val="single" w:sz="4" w:space="0" w:color="auto"/>
              <w:right w:val="single" w:sz="4" w:space="0" w:color="auto"/>
            </w:tcBorders>
            <w:shd w:val="clear" w:color="auto" w:fill="auto"/>
            <w:noWrap/>
            <w:vAlign w:val="center"/>
            <w:hideMark/>
          </w:tcPr>
          <w:p w14:paraId="6CDF03C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10.59</w:t>
            </w:r>
          </w:p>
        </w:tc>
      </w:tr>
      <w:tr w:rsidR="00A70CBF" w:rsidRPr="00D93D2D" w14:paraId="513F4200" w14:textId="77777777" w:rsidTr="00A70CBF">
        <w:trPr>
          <w:trHeight w:val="2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49A23098"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30</w:t>
            </w:r>
          </w:p>
        </w:tc>
        <w:tc>
          <w:tcPr>
            <w:tcW w:w="1502" w:type="dxa"/>
            <w:tcBorders>
              <w:top w:val="nil"/>
              <w:left w:val="nil"/>
              <w:bottom w:val="single" w:sz="4" w:space="0" w:color="auto"/>
              <w:right w:val="single" w:sz="4" w:space="0" w:color="auto"/>
            </w:tcBorders>
            <w:shd w:val="clear" w:color="auto" w:fill="auto"/>
            <w:noWrap/>
            <w:vAlign w:val="center"/>
            <w:hideMark/>
          </w:tcPr>
          <w:p w14:paraId="6E2F03F1"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to   40</w:t>
            </w:r>
          </w:p>
        </w:tc>
        <w:tc>
          <w:tcPr>
            <w:tcW w:w="888" w:type="dxa"/>
            <w:tcBorders>
              <w:top w:val="nil"/>
              <w:left w:val="nil"/>
              <w:bottom w:val="single" w:sz="4" w:space="0" w:color="auto"/>
              <w:right w:val="single" w:sz="4" w:space="0" w:color="auto"/>
            </w:tcBorders>
            <w:shd w:val="clear" w:color="auto" w:fill="auto"/>
            <w:noWrap/>
            <w:vAlign w:val="center"/>
            <w:hideMark/>
          </w:tcPr>
          <w:p w14:paraId="1CB734C1"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9</w:t>
            </w:r>
          </w:p>
        </w:tc>
        <w:tc>
          <w:tcPr>
            <w:tcW w:w="825" w:type="dxa"/>
            <w:tcBorders>
              <w:top w:val="nil"/>
              <w:left w:val="nil"/>
              <w:bottom w:val="single" w:sz="4" w:space="0" w:color="auto"/>
              <w:right w:val="single" w:sz="4" w:space="0" w:color="auto"/>
            </w:tcBorders>
            <w:shd w:val="clear" w:color="auto" w:fill="auto"/>
            <w:noWrap/>
            <w:vAlign w:val="center"/>
            <w:hideMark/>
          </w:tcPr>
          <w:p w14:paraId="3B6FA1DC"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(30)</w:t>
            </w:r>
          </w:p>
        </w:tc>
        <w:tc>
          <w:tcPr>
            <w:tcW w:w="743" w:type="dxa"/>
            <w:tcBorders>
              <w:top w:val="nil"/>
              <w:left w:val="nil"/>
              <w:bottom w:val="single" w:sz="4" w:space="0" w:color="auto"/>
              <w:right w:val="single" w:sz="4" w:space="0" w:color="auto"/>
            </w:tcBorders>
            <w:shd w:val="clear" w:color="auto" w:fill="auto"/>
            <w:noWrap/>
            <w:vAlign w:val="center"/>
            <w:hideMark/>
          </w:tcPr>
          <w:p w14:paraId="44A15548"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0.30</w:t>
            </w:r>
          </w:p>
        </w:tc>
        <w:tc>
          <w:tcPr>
            <w:tcW w:w="743" w:type="dxa"/>
            <w:tcBorders>
              <w:top w:val="nil"/>
              <w:left w:val="nil"/>
              <w:bottom w:val="single" w:sz="4" w:space="0" w:color="auto"/>
              <w:right w:val="single" w:sz="4" w:space="0" w:color="auto"/>
            </w:tcBorders>
            <w:shd w:val="clear" w:color="auto" w:fill="auto"/>
            <w:noWrap/>
            <w:vAlign w:val="center"/>
            <w:hideMark/>
          </w:tcPr>
          <w:p w14:paraId="7C517542"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0.61</w:t>
            </w:r>
          </w:p>
        </w:tc>
        <w:tc>
          <w:tcPr>
            <w:tcW w:w="906" w:type="dxa"/>
            <w:tcBorders>
              <w:top w:val="nil"/>
              <w:left w:val="nil"/>
              <w:bottom w:val="single" w:sz="4" w:space="0" w:color="auto"/>
              <w:right w:val="single" w:sz="4" w:space="0" w:color="auto"/>
            </w:tcBorders>
            <w:shd w:val="clear" w:color="auto" w:fill="auto"/>
            <w:noWrap/>
            <w:vAlign w:val="center"/>
            <w:hideMark/>
          </w:tcPr>
          <w:p w14:paraId="5C0C5777"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3.04</w:t>
            </w:r>
          </w:p>
        </w:tc>
        <w:tc>
          <w:tcPr>
            <w:tcW w:w="908" w:type="dxa"/>
            <w:tcBorders>
              <w:top w:val="nil"/>
              <w:left w:val="nil"/>
              <w:bottom w:val="single" w:sz="4" w:space="0" w:color="auto"/>
              <w:right w:val="single" w:sz="4" w:space="0" w:color="auto"/>
            </w:tcBorders>
            <w:shd w:val="clear" w:color="auto" w:fill="auto"/>
            <w:noWrap/>
            <w:vAlign w:val="center"/>
            <w:hideMark/>
          </w:tcPr>
          <w:p w14:paraId="60845F0C"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6.07</w:t>
            </w:r>
          </w:p>
        </w:tc>
      </w:tr>
      <w:tr w:rsidR="00A70CBF" w:rsidRPr="00D93D2D" w14:paraId="10B05838" w14:textId="77777777" w:rsidTr="00A70CBF">
        <w:trPr>
          <w:trHeight w:val="2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02D3D065"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40</w:t>
            </w:r>
          </w:p>
        </w:tc>
        <w:tc>
          <w:tcPr>
            <w:tcW w:w="1502" w:type="dxa"/>
            <w:tcBorders>
              <w:top w:val="nil"/>
              <w:left w:val="nil"/>
              <w:bottom w:val="single" w:sz="4" w:space="0" w:color="auto"/>
              <w:right w:val="single" w:sz="4" w:space="0" w:color="auto"/>
            </w:tcBorders>
            <w:shd w:val="clear" w:color="auto" w:fill="auto"/>
            <w:noWrap/>
            <w:vAlign w:val="center"/>
            <w:hideMark/>
          </w:tcPr>
          <w:p w14:paraId="12EE76BB"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to   50</w:t>
            </w:r>
          </w:p>
        </w:tc>
        <w:tc>
          <w:tcPr>
            <w:tcW w:w="888" w:type="dxa"/>
            <w:tcBorders>
              <w:top w:val="nil"/>
              <w:left w:val="nil"/>
              <w:bottom w:val="single" w:sz="4" w:space="0" w:color="auto"/>
              <w:right w:val="single" w:sz="4" w:space="0" w:color="auto"/>
            </w:tcBorders>
            <w:shd w:val="clear" w:color="auto" w:fill="auto"/>
            <w:noWrap/>
            <w:vAlign w:val="center"/>
            <w:hideMark/>
          </w:tcPr>
          <w:p w14:paraId="614D94B6"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10</w:t>
            </w:r>
          </w:p>
        </w:tc>
        <w:tc>
          <w:tcPr>
            <w:tcW w:w="825" w:type="dxa"/>
            <w:tcBorders>
              <w:top w:val="nil"/>
              <w:left w:val="nil"/>
              <w:bottom w:val="single" w:sz="4" w:space="0" w:color="auto"/>
              <w:right w:val="single" w:sz="4" w:space="0" w:color="auto"/>
            </w:tcBorders>
            <w:shd w:val="clear" w:color="auto" w:fill="auto"/>
            <w:noWrap/>
            <w:vAlign w:val="center"/>
            <w:hideMark/>
          </w:tcPr>
          <w:p w14:paraId="784F0479"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(40)</w:t>
            </w:r>
          </w:p>
        </w:tc>
        <w:tc>
          <w:tcPr>
            <w:tcW w:w="743" w:type="dxa"/>
            <w:tcBorders>
              <w:top w:val="nil"/>
              <w:left w:val="nil"/>
              <w:bottom w:val="single" w:sz="4" w:space="0" w:color="auto"/>
              <w:right w:val="single" w:sz="4" w:space="0" w:color="auto"/>
            </w:tcBorders>
            <w:shd w:val="clear" w:color="auto" w:fill="auto"/>
            <w:noWrap/>
            <w:vAlign w:val="center"/>
            <w:hideMark/>
          </w:tcPr>
          <w:p w14:paraId="0A6B878D"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0.34</w:t>
            </w:r>
          </w:p>
        </w:tc>
        <w:tc>
          <w:tcPr>
            <w:tcW w:w="743" w:type="dxa"/>
            <w:tcBorders>
              <w:top w:val="nil"/>
              <w:left w:val="nil"/>
              <w:bottom w:val="single" w:sz="4" w:space="0" w:color="auto"/>
              <w:right w:val="single" w:sz="4" w:space="0" w:color="auto"/>
            </w:tcBorders>
            <w:shd w:val="clear" w:color="auto" w:fill="auto"/>
            <w:noWrap/>
            <w:vAlign w:val="center"/>
            <w:hideMark/>
          </w:tcPr>
          <w:p w14:paraId="5A3BEDC9"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0.69</w:t>
            </w:r>
          </w:p>
        </w:tc>
        <w:tc>
          <w:tcPr>
            <w:tcW w:w="906" w:type="dxa"/>
            <w:tcBorders>
              <w:top w:val="nil"/>
              <w:left w:val="nil"/>
              <w:bottom w:val="single" w:sz="4" w:space="0" w:color="auto"/>
              <w:right w:val="single" w:sz="4" w:space="0" w:color="auto"/>
            </w:tcBorders>
            <w:shd w:val="clear" w:color="auto" w:fill="auto"/>
            <w:noWrap/>
            <w:vAlign w:val="center"/>
            <w:hideMark/>
          </w:tcPr>
          <w:p w14:paraId="481E0F63"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3.44</w:t>
            </w:r>
          </w:p>
        </w:tc>
        <w:tc>
          <w:tcPr>
            <w:tcW w:w="908" w:type="dxa"/>
            <w:tcBorders>
              <w:top w:val="nil"/>
              <w:left w:val="nil"/>
              <w:bottom w:val="single" w:sz="4" w:space="0" w:color="auto"/>
              <w:right w:val="single" w:sz="4" w:space="0" w:color="auto"/>
            </w:tcBorders>
            <w:shd w:val="clear" w:color="auto" w:fill="auto"/>
            <w:noWrap/>
            <w:vAlign w:val="center"/>
            <w:hideMark/>
          </w:tcPr>
          <w:p w14:paraId="44411ADD"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6.87</w:t>
            </w:r>
          </w:p>
        </w:tc>
      </w:tr>
      <w:tr w:rsidR="00A70CBF" w:rsidRPr="00D93D2D" w14:paraId="607140AD" w14:textId="77777777" w:rsidTr="00A70CBF">
        <w:trPr>
          <w:trHeight w:val="2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58351E34"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50</w:t>
            </w:r>
          </w:p>
        </w:tc>
        <w:tc>
          <w:tcPr>
            <w:tcW w:w="1502" w:type="dxa"/>
            <w:tcBorders>
              <w:top w:val="nil"/>
              <w:left w:val="nil"/>
              <w:bottom w:val="single" w:sz="4" w:space="0" w:color="auto"/>
              <w:right w:val="single" w:sz="4" w:space="0" w:color="auto"/>
            </w:tcBorders>
            <w:shd w:val="clear" w:color="auto" w:fill="auto"/>
            <w:noWrap/>
            <w:vAlign w:val="center"/>
            <w:hideMark/>
          </w:tcPr>
          <w:p w14:paraId="08D4A422"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to   60</w:t>
            </w:r>
          </w:p>
        </w:tc>
        <w:tc>
          <w:tcPr>
            <w:tcW w:w="888" w:type="dxa"/>
            <w:tcBorders>
              <w:top w:val="nil"/>
              <w:left w:val="nil"/>
              <w:bottom w:val="single" w:sz="4" w:space="0" w:color="auto"/>
              <w:right w:val="single" w:sz="4" w:space="0" w:color="auto"/>
            </w:tcBorders>
            <w:shd w:val="clear" w:color="auto" w:fill="auto"/>
            <w:noWrap/>
            <w:vAlign w:val="center"/>
            <w:hideMark/>
          </w:tcPr>
          <w:p w14:paraId="60A96DC3"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11</w:t>
            </w:r>
          </w:p>
        </w:tc>
        <w:tc>
          <w:tcPr>
            <w:tcW w:w="825" w:type="dxa"/>
            <w:tcBorders>
              <w:top w:val="nil"/>
              <w:left w:val="nil"/>
              <w:bottom w:val="single" w:sz="4" w:space="0" w:color="auto"/>
              <w:right w:val="single" w:sz="4" w:space="0" w:color="auto"/>
            </w:tcBorders>
            <w:shd w:val="clear" w:color="auto" w:fill="auto"/>
            <w:noWrap/>
            <w:vAlign w:val="center"/>
            <w:hideMark/>
          </w:tcPr>
          <w:p w14:paraId="5EE4C1A2"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(50)</w:t>
            </w:r>
          </w:p>
        </w:tc>
        <w:tc>
          <w:tcPr>
            <w:tcW w:w="743" w:type="dxa"/>
            <w:tcBorders>
              <w:top w:val="nil"/>
              <w:left w:val="nil"/>
              <w:bottom w:val="single" w:sz="4" w:space="0" w:color="auto"/>
              <w:right w:val="single" w:sz="4" w:space="0" w:color="auto"/>
            </w:tcBorders>
            <w:shd w:val="clear" w:color="auto" w:fill="auto"/>
            <w:noWrap/>
            <w:vAlign w:val="center"/>
            <w:hideMark/>
          </w:tcPr>
          <w:p w14:paraId="08E53DFE"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0.26</w:t>
            </w:r>
          </w:p>
        </w:tc>
        <w:tc>
          <w:tcPr>
            <w:tcW w:w="743" w:type="dxa"/>
            <w:tcBorders>
              <w:top w:val="nil"/>
              <w:left w:val="nil"/>
              <w:bottom w:val="single" w:sz="4" w:space="0" w:color="auto"/>
              <w:right w:val="single" w:sz="4" w:space="0" w:color="auto"/>
            </w:tcBorders>
            <w:shd w:val="clear" w:color="auto" w:fill="auto"/>
            <w:noWrap/>
            <w:vAlign w:val="center"/>
            <w:hideMark/>
          </w:tcPr>
          <w:p w14:paraId="5D880074"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0.53</w:t>
            </w:r>
          </w:p>
        </w:tc>
        <w:tc>
          <w:tcPr>
            <w:tcW w:w="906" w:type="dxa"/>
            <w:tcBorders>
              <w:top w:val="nil"/>
              <w:left w:val="nil"/>
              <w:bottom w:val="single" w:sz="4" w:space="0" w:color="auto"/>
              <w:right w:val="single" w:sz="4" w:space="0" w:color="auto"/>
            </w:tcBorders>
            <w:shd w:val="clear" w:color="auto" w:fill="auto"/>
            <w:noWrap/>
            <w:vAlign w:val="center"/>
            <w:hideMark/>
          </w:tcPr>
          <w:p w14:paraId="45865169"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2.65</w:t>
            </w:r>
          </w:p>
        </w:tc>
        <w:tc>
          <w:tcPr>
            <w:tcW w:w="908" w:type="dxa"/>
            <w:tcBorders>
              <w:top w:val="nil"/>
              <w:left w:val="nil"/>
              <w:bottom w:val="single" w:sz="4" w:space="0" w:color="auto"/>
              <w:right w:val="single" w:sz="4" w:space="0" w:color="auto"/>
            </w:tcBorders>
            <w:shd w:val="clear" w:color="auto" w:fill="auto"/>
            <w:noWrap/>
            <w:vAlign w:val="center"/>
            <w:hideMark/>
          </w:tcPr>
          <w:p w14:paraId="4CEDF8DE"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5.29</w:t>
            </w:r>
          </w:p>
        </w:tc>
      </w:tr>
      <w:tr w:rsidR="00A70CBF" w:rsidRPr="00D93D2D" w14:paraId="6C455C4D" w14:textId="77777777" w:rsidTr="00A70CBF">
        <w:trPr>
          <w:trHeight w:val="2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73CB197E"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60</w:t>
            </w:r>
          </w:p>
        </w:tc>
        <w:tc>
          <w:tcPr>
            <w:tcW w:w="1502" w:type="dxa"/>
            <w:tcBorders>
              <w:top w:val="nil"/>
              <w:left w:val="nil"/>
              <w:bottom w:val="single" w:sz="4" w:space="0" w:color="auto"/>
              <w:right w:val="single" w:sz="4" w:space="0" w:color="auto"/>
            </w:tcBorders>
            <w:shd w:val="clear" w:color="auto" w:fill="auto"/>
            <w:noWrap/>
            <w:vAlign w:val="center"/>
            <w:hideMark/>
          </w:tcPr>
          <w:p w14:paraId="519DDF26"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to   70</w:t>
            </w:r>
          </w:p>
        </w:tc>
        <w:tc>
          <w:tcPr>
            <w:tcW w:w="888" w:type="dxa"/>
            <w:tcBorders>
              <w:top w:val="nil"/>
              <w:left w:val="nil"/>
              <w:bottom w:val="single" w:sz="4" w:space="0" w:color="auto"/>
              <w:right w:val="single" w:sz="4" w:space="0" w:color="auto"/>
            </w:tcBorders>
            <w:shd w:val="clear" w:color="auto" w:fill="auto"/>
            <w:noWrap/>
            <w:vAlign w:val="center"/>
            <w:hideMark/>
          </w:tcPr>
          <w:p w14:paraId="30868FB2"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12</w:t>
            </w:r>
          </w:p>
        </w:tc>
        <w:tc>
          <w:tcPr>
            <w:tcW w:w="825" w:type="dxa"/>
            <w:tcBorders>
              <w:top w:val="nil"/>
              <w:left w:val="nil"/>
              <w:bottom w:val="single" w:sz="4" w:space="0" w:color="auto"/>
              <w:right w:val="single" w:sz="4" w:space="0" w:color="auto"/>
            </w:tcBorders>
            <w:shd w:val="clear" w:color="auto" w:fill="auto"/>
            <w:noWrap/>
            <w:vAlign w:val="center"/>
            <w:hideMark/>
          </w:tcPr>
          <w:p w14:paraId="35435FCE"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(60)</w:t>
            </w:r>
          </w:p>
        </w:tc>
        <w:tc>
          <w:tcPr>
            <w:tcW w:w="743" w:type="dxa"/>
            <w:tcBorders>
              <w:top w:val="nil"/>
              <w:left w:val="nil"/>
              <w:bottom w:val="single" w:sz="4" w:space="0" w:color="auto"/>
              <w:right w:val="single" w:sz="4" w:space="0" w:color="auto"/>
            </w:tcBorders>
            <w:shd w:val="clear" w:color="auto" w:fill="auto"/>
            <w:noWrap/>
            <w:vAlign w:val="center"/>
            <w:hideMark/>
          </w:tcPr>
          <w:p w14:paraId="74BF27E4"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0.26</w:t>
            </w:r>
          </w:p>
        </w:tc>
        <w:tc>
          <w:tcPr>
            <w:tcW w:w="743" w:type="dxa"/>
            <w:tcBorders>
              <w:top w:val="nil"/>
              <w:left w:val="nil"/>
              <w:bottom w:val="single" w:sz="4" w:space="0" w:color="auto"/>
              <w:right w:val="single" w:sz="4" w:space="0" w:color="auto"/>
            </w:tcBorders>
            <w:shd w:val="clear" w:color="auto" w:fill="auto"/>
            <w:noWrap/>
            <w:vAlign w:val="center"/>
            <w:hideMark/>
          </w:tcPr>
          <w:p w14:paraId="646A4FA9"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0.52</w:t>
            </w:r>
          </w:p>
        </w:tc>
        <w:tc>
          <w:tcPr>
            <w:tcW w:w="906" w:type="dxa"/>
            <w:tcBorders>
              <w:top w:val="nil"/>
              <w:left w:val="nil"/>
              <w:bottom w:val="single" w:sz="4" w:space="0" w:color="auto"/>
              <w:right w:val="single" w:sz="4" w:space="0" w:color="auto"/>
            </w:tcBorders>
            <w:shd w:val="clear" w:color="auto" w:fill="auto"/>
            <w:noWrap/>
            <w:vAlign w:val="center"/>
            <w:hideMark/>
          </w:tcPr>
          <w:p w14:paraId="5D7EEDB8"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2.58</w:t>
            </w:r>
          </w:p>
        </w:tc>
        <w:tc>
          <w:tcPr>
            <w:tcW w:w="908" w:type="dxa"/>
            <w:tcBorders>
              <w:top w:val="nil"/>
              <w:left w:val="nil"/>
              <w:bottom w:val="single" w:sz="4" w:space="0" w:color="auto"/>
              <w:right w:val="single" w:sz="4" w:space="0" w:color="auto"/>
            </w:tcBorders>
            <w:shd w:val="clear" w:color="auto" w:fill="auto"/>
            <w:noWrap/>
            <w:vAlign w:val="center"/>
            <w:hideMark/>
          </w:tcPr>
          <w:p w14:paraId="69729830"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5.16</w:t>
            </w:r>
          </w:p>
        </w:tc>
      </w:tr>
      <w:tr w:rsidR="00A70CBF" w:rsidRPr="00D93D2D" w14:paraId="2DC0A2F2" w14:textId="77777777" w:rsidTr="00A70CBF">
        <w:trPr>
          <w:trHeight w:val="260"/>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3BF2E145"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70</w:t>
            </w:r>
          </w:p>
        </w:tc>
        <w:tc>
          <w:tcPr>
            <w:tcW w:w="1502" w:type="dxa"/>
            <w:tcBorders>
              <w:top w:val="nil"/>
              <w:left w:val="nil"/>
              <w:bottom w:val="single" w:sz="4" w:space="0" w:color="auto"/>
              <w:right w:val="single" w:sz="4" w:space="0" w:color="auto"/>
            </w:tcBorders>
            <w:shd w:val="clear" w:color="auto" w:fill="auto"/>
            <w:noWrap/>
            <w:vAlign w:val="center"/>
            <w:hideMark/>
          </w:tcPr>
          <w:p w14:paraId="6FB8F219" w14:textId="77777777" w:rsidR="00A70CBF" w:rsidRPr="00D93D2D" w:rsidRDefault="00A70CBF" w:rsidP="00A70CBF">
            <w:pPr>
              <w:spacing w:after="0" w:line="240" w:lineRule="auto"/>
              <w:jc w:val="center"/>
              <w:rPr>
                <w:rFonts w:eastAsia="Times New Roman" w:cstheme="minorHAnsi"/>
                <w:color w:val="000000"/>
                <w:sz w:val="16"/>
              </w:rPr>
            </w:pPr>
            <w:r w:rsidRPr="00D93D2D">
              <w:rPr>
                <w:rFonts w:eastAsia="Times New Roman" w:cstheme="minorHAnsi"/>
                <w:color w:val="000000"/>
                <w:sz w:val="16"/>
              </w:rPr>
              <w:t>to   90</w:t>
            </w:r>
          </w:p>
        </w:tc>
        <w:tc>
          <w:tcPr>
            <w:tcW w:w="888" w:type="dxa"/>
            <w:tcBorders>
              <w:top w:val="nil"/>
              <w:left w:val="nil"/>
              <w:bottom w:val="single" w:sz="4" w:space="0" w:color="auto"/>
              <w:right w:val="single" w:sz="4" w:space="0" w:color="auto"/>
            </w:tcBorders>
            <w:shd w:val="clear" w:color="auto" w:fill="auto"/>
            <w:noWrap/>
            <w:vAlign w:val="center"/>
            <w:hideMark/>
          </w:tcPr>
          <w:p w14:paraId="252CA7B6"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13</w:t>
            </w:r>
          </w:p>
        </w:tc>
        <w:tc>
          <w:tcPr>
            <w:tcW w:w="825" w:type="dxa"/>
            <w:tcBorders>
              <w:top w:val="nil"/>
              <w:left w:val="nil"/>
              <w:bottom w:val="single" w:sz="4" w:space="0" w:color="auto"/>
              <w:right w:val="single" w:sz="4" w:space="0" w:color="auto"/>
            </w:tcBorders>
            <w:shd w:val="clear" w:color="auto" w:fill="auto"/>
            <w:noWrap/>
            <w:vAlign w:val="center"/>
            <w:hideMark/>
          </w:tcPr>
          <w:p w14:paraId="3D2ACA0F" w14:textId="77777777" w:rsidR="00A70CBF" w:rsidRPr="00D93D2D" w:rsidRDefault="00A70CBF" w:rsidP="00A70CBF">
            <w:pPr>
              <w:spacing w:after="0" w:line="240" w:lineRule="auto"/>
              <w:rPr>
                <w:rFonts w:eastAsia="Times New Roman" w:cstheme="minorHAnsi"/>
                <w:color w:val="000000"/>
                <w:sz w:val="16"/>
              </w:rPr>
            </w:pPr>
            <w:r w:rsidRPr="00D93D2D">
              <w:rPr>
                <w:rFonts w:eastAsia="Times New Roman" w:cstheme="minorHAnsi"/>
                <w:color w:val="000000"/>
                <w:sz w:val="16"/>
              </w:rPr>
              <w:t>DTC (70)</w:t>
            </w:r>
          </w:p>
        </w:tc>
        <w:tc>
          <w:tcPr>
            <w:tcW w:w="743" w:type="dxa"/>
            <w:tcBorders>
              <w:top w:val="nil"/>
              <w:left w:val="nil"/>
              <w:bottom w:val="single" w:sz="4" w:space="0" w:color="auto"/>
              <w:right w:val="single" w:sz="4" w:space="0" w:color="auto"/>
            </w:tcBorders>
            <w:shd w:val="clear" w:color="auto" w:fill="auto"/>
            <w:noWrap/>
            <w:vAlign w:val="center"/>
            <w:hideMark/>
          </w:tcPr>
          <w:p w14:paraId="2D966C3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0.26</w:t>
            </w:r>
          </w:p>
        </w:tc>
        <w:tc>
          <w:tcPr>
            <w:tcW w:w="743" w:type="dxa"/>
            <w:tcBorders>
              <w:top w:val="nil"/>
              <w:left w:val="nil"/>
              <w:bottom w:val="single" w:sz="4" w:space="0" w:color="auto"/>
              <w:right w:val="single" w:sz="4" w:space="0" w:color="auto"/>
            </w:tcBorders>
            <w:shd w:val="clear" w:color="auto" w:fill="auto"/>
            <w:noWrap/>
            <w:vAlign w:val="center"/>
            <w:hideMark/>
          </w:tcPr>
          <w:p w14:paraId="7EC2D18C"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0.52</w:t>
            </w:r>
          </w:p>
        </w:tc>
        <w:tc>
          <w:tcPr>
            <w:tcW w:w="906" w:type="dxa"/>
            <w:tcBorders>
              <w:top w:val="nil"/>
              <w:left w:val="nil"/>
              <w:bottom w:val="single" w:sz="4" w:space="0" w:color="auto"/>
              <w:right w:val="single" w:sz="4" w:space="0" w:color="auto"/>
            </w:tcBorders>
            <w:shd w:val="clear" w:color="auto" w:fill="auto"/>
            <w:noWrap/>
            <w:vAlign w:val="center"/>
            <w:hideMark/>
          </w:tcPr>
          <w:p w14:paraId="12EDD7F5"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2.61</w:t>
            </w:r>
          </w:p>
        </w:tc>
        <w:tc>
          <w:tcPr>
            <w:tcW w:w="908" w:type="dxa"/>
            <w:tcBorders>
              <w:top w:val="nil"/>
              <w:left w:val="nil"/>
              <w:bottom w:val="single" w:sz="4" w:space="0" w:color="auto"/>
              <w:right w:val="single" w:sz="4" w:space="0" w:color="auto"/>
            </w:tcBorders>
            <w:shd w:val="clear" w:color="auto" w:fill="auto"/>
            <w:noWrap/>
            <w:vAlign w:val="center"/>
            <w:hideMark/>
          </w:tcPr>
          <w:p w14:paraId="49827B4A"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5.22</w:t>
            </w:r>
          </w:p>
        </w:tc>
      </w:tr>
    </w:tbl>
    <w:p w14:paraId="2ED455F4" w14:textId="77777777" w:rsidR="00A70CBF" w:rsidRPr="00D93D2D" w:rsidRDefault="00A70CBF" w:rsidP="00060BF2">
      <w:pPr>
        <w:tabs>
          <w:tab w:val="left" w:pos="2430"/>
        </w:tabs>
        <w:jc w:val="both"/>
        <w:rPr>
          <w:rFonts w:cstheme="minorHAnsi"/>
          <w:b/>
        </w:rPr>
      </w:pPr>
    </w:p>
    <w:p w14:paraId="641C4D8D" w14:textId="47C6C084" w:rsidR="0046439E" w:rsidRPr="00D93D2D" w:rsidRDefault="00A262C5" w:rsidP="00060BF2">
      <w:pPr>
        <w:tabs>
          <w:tab w:val="left" w:pos="2430"/>
        </w:tabs>
        <w:jc w:val="both"/>
        <w:rPr>
          <w:rFonts w:cstheme="minorHAnsi"/>
        </w:rPr>
      </w:pPr>
      <w:r w:rsidRPr="00D93D2D">
        <w:rPr>
          <w:rFonts w:cstheme="minorHAnsi"/>
          <w:b/>
        </w:rPr>
        <w:t xml:space="preserve">Table </w:t>
      </w:r>
      <w:r w:rsidR="00576824" w:rsidRPr="00D93D2D">
        <w:rPr>
          <w:rFonts w:cstheme="minorHAnsi"/>
          <w:b/>
        </w:rPr>
        <w:t>S</w:t>
      </w:r>
      <w:r w:rsidR="001E22FE" w:rsidRPr="00D93D2D">
        <w:rPr>
          <w:rFonts w:cstheme="minorHAnsi"/>
          <w:b/>
        </w:rPr>
        <w:t>7</w:t>
      </w:r>
      <w:r w:rsidRPr="00D93D2D">
        <w:rPr>
          <w:rFonts w:cstheme="minorHAnsi"/>
          <w:b/>
        </w:rPr>
        <w:t>.</w:t>
      </w:r>
      <w:r w:rsidRPr="00D93D2D">
        <w:rPr>
          <w:rFonts w:cstheme="minorHAnsi"/>
        </w:rPr>
        <w:t xml:space="preserve"> Sample transport category definitions (expressed as # of sample transported) and mean per-sample cost</w:t>
      </w:r>
    </w:p>
    <w:p w14:paraId="7169E162" w14:textId="22F24EDB" w:rsidR="00B72037" w:rsidRPr="00D93D2D" w:rsidRDefault="00B72037" w:rsidP="00060BF2">
      <w:pPr>
        <w:tabs>
          <w:tab w:val="left" w:pos="2430"/>
        </w:tabs>
        <w:jc w:val="both"/>
        <w:rPr>
          <w:rFonts w:cstheme="minorHAnsi"/>
        </w:rPr>
      </w:pPr>
    </w:p>
    <w:p w14:paraId="44C7D989" w14:textId="77777777" w:rsidR="00A70CBF" w:rsidRPr="00D93D2D" w:rsidRDefault="00A70CBF" w:rsidP="00060BF2">
      <w:pPr>
        <w:tabs>
          <w:tab w:val="left" w:pos="2430"/>
        </w:tabs>
        <w:jc w:val="both"/>
        <w:rPr>
          <w:rFonts w:cstheme="minorHAnsi"/>
        </w:rPr>
      </w:pPr>
    </w:p>
    <w:tbl>
      <w:tblPr>
        <w:tblW w:w="8087" w:type="dxa"/>
        <w:tblLayout w:type="fixed"/>
        <w:tblLook w:val="04A0" w:firstRow="1" w:lastRow="0" w:firstColumn="1" w:lastColumn="0" w:noHBand="0" w:noVBand="1"/>
      </w:tblPr>
      <w:tblGrid>
        <w:gridCol w:w="1091"/>
        <w:gridCol w:w="729"/>
        <w:gridCol w:w="894"/>
        <w:gridCol w:w="894"/>
        <w:gridCol w:w="895"/>
        <w:gridCol w:w="894"/>
        <w:gridCol w:w="895"/>
        <w:gridCol w:w="894"/>
        <w:gridCol w:w="895"/>
        <w:gridCol w:w="6"/>
      </w:tblGrid>
      <w:tr w:rsidR="00A70CBF" w:rsidRPr="00D93D2D" w14:paraId="7A82ED64" w14:textId="77777777" w:rsidTr="00A70CBF">
        <w:trPr>
          <w:trHeight w:val="240"/>
        </w:trPr>
        <w:tc>
          <w:tcPr>
            <w:tcW w:w="1821" w:type="dxa"/>
            <w:gridSpan w:val="2"/>
            <w:vMerge w:val="restart"/>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8BD405C" w14:textId="77777777" w:rsidR="00A70CBF" w:rsidRPr="00D93D2D" w:rsidRDefault="00A70CBF" w:rsidP="00A70CBF">
            <w:pPr>
              <w:spacing w:after="0" w:line="240" w:lineRule="auto"/>
              <w:jc w:val="center"/>
              <w:rPr>
                <w:rFonts w:eastAsia="Times New Roman" w:cstheme="minorHAnsi"/>
                <w:b/>
                <w:bCs/>
                <w:color w:val="000000"/>
                <w:sz w:val="16"/>
              </w:rPr>
            </w:pPr>
            <w:r w:rsidRPr="00D93D2D">
              <w:rPr>
                <w:rFonts w:eastAsia="Times New Roman" w:cstheme="minorHAnsi"/>
                <w:b/>
                <w:bCs/>
                <w:color w:val="000000"/>
                <w:sz w:val="16"/>
              </w:rPr>
              <w:t>Criteria</w:t>
            </w:r>
          </w:p>
        </w:tc>
        <w:tc>
          <w:tcPr>
            <w:tcW w:w="6266" w:type="dxa"/>
            <w:gridSpan w:val="8"/>
            <w:tcBorders>
              <w:top w:val="single" w:sz="4" w:space="0" w:color="auto"/>
              <w:left w:val="nil"/>
              <w:bottom w:val="single" w:sz="4" w:space="0" w:color="auto"/>
              <w:right w:val="single" w:sz="4" w:space="0" w:color="auto"/>
            </w:tcBorders>
            <w:shd w:val="clear" w:color="000000" w:fill="C9C9C9"/>
            <w:noWrap/>
            <w:vAlign w:val="center"/>
            <w:hideMark/>
          </w:tcPr>
          <w:p w14:paraId="1F5AD3FA" w14:textId="77777777" w:rsidR="00A70CBF" w:rsidRPr="00D93D2D" w:rsidRDefault="00A70CBF" w:rsidP="00A70CBF">
            <w:pPr>
              <w:spacing w:after="0" w:line="240" w:lineRule="auto"/>
              <w:jc w:val="center"/>
              <w:rPr>
                <w:rFonts w:eastAsia="Times New Roman" w:cstheme="minorHAnsi"/>
                <w:b/>
                <w:bCs/>
                <w:color w:val="000000"/>
                <w:sz w:val="16"/>
              </w:rPr>
            </w:pPr>
            <w:r w:rsidRPr="00D93D2D">
              <w:rPr>
                <w:rFonts w:eastAsia="Times New Roman" w:cstheme="minorHAnsi"/>
                <w:b/>
                <w:bCs/>
                <w:color w:val="000000"/>
                <w:sz w:val="16"/>
              </w:rPr>
              <w:t>DTC (λ)</w:t>
            </w:r>
          </w:p>
        </w:tc>
      </w:tr>
      <w:tr w:rsidR="00A70CBF" w:rsidRPr="00D93D2D" w14:paraId="4FD643E1" w14:textId="77777777" w:rsidTr="00A70CBF">
        <w:trPr>
          <w:gridAfter w:val="1"/>
          <w:wAfter w:w="5" w:type="dxa"/>
          <w:trHeight w:val="240"/>
        </w:trPr>
        <w:tc>
          <w:tcPr>
            <w:tcW w:w="1821" w:type="dxa"/>
            <w:gridSpan w:val="2"/>
            <w:vMerge/>
            <w:tcBorders>
              <w:top w:val="single" w:sz="4" w:space="0" w:color="auto"/>
              <w:left w:val="single" w:sz="4" w:space="0" w:color="auto"/>
              <w:bottom w:val="single" w:sz="4" w:space="0" w:color="auto"/>
              <w:right w:val="single" w:sz="4" w:space="0" w:color="auto"/>
            </w:tcBorders>
            <w:vAlign w:val="center"/>
            <w:hideMark/>
          </w:tcPr>
          <w:p w14:paraId="0BDA11CA" w14:textId="77777777" w:rsidR="00A70CBF" w:rsidRPr="00D93D2D" w:rsidRDefault="00A70CBF" w:rsidP="00A70CBF">
            <w:pPr>
              <w:spacing w:after="0" w:line="240" w:lineRule="auto"/>
              <w:rPr>
                <w:rFonts w:eastAsia="Times New Roman" w:cstheme="minorHAnsi"/>
                <w:b/>
                <w:bCs/>
                <w:color w:val="000000"/>
                <w:sz w:val="16"/>
              </w:rPr>
            </w:pPr>
          </w:p>
        </w:tc>
        <w:tc>
          <w:tcPr>
            <w:tcW w:w="894" w:type="dxa"/>
            <w:tcBorders>
              <w:top w:val="nil"/>
              <w:left w:val="nil"/>
              <w:bottom w:val="single" w:sz="4" w:space="0" w:color="auto"/>
              <w:right w:val="single" w:sz="4" w:space="0" w:color="auto"/>
            </w:tcBorders>
            <w:shd w:val="clear" w:color="000000" w:fill="DBDBDB"/>
            <w:noWrap/>
            <w:vAlign w:val="center"/>
            <w:hideMark/>
          </w:tcPr>
          <w:p w14:paraId="47E91A9F" w14:textId="77777777" w:rsidR="00A70CBF" w:rsidRPr="00D93D2D" w:rsidRDefault="00A70CBF" w:rsidP="00A70CBF">
            <w:pPr>
              <w:spacing w:after="0" w:line="240" w:lineRule="auto"/>
              <w:rPr>
                <w:rFonts w:eastAsia="Times New Roman" w:cstheme="minorHAnsi"/>
                <w:i/>
                <w:iCs/>
                <w:color w:val="000000"/>
                <w:sz w:val="16"/>
              </w:rPr>
            </w:pPr>
            <w:r w:rsidRPr="00D93D2D">
              <w:rPr>
                <w:rFonts w:eastAsia="Times New Roman" w:cstheme="minorHAnsi"/>
                <w:i/>
                <w:iCs/>
                <w:color w:val="000000"/>
                <w:sz w:val="16"/>
              </w:rPr>
              <w:t>DTC10</w:t>
            </w:r>
          </w:p>
        </w:tc>
        <w:tc>
          <w:tcPr>
            <w:tcW w:w="894" w:type="dxa"/>
            <w:tcBorders>
              <w:top w:val="nil"/>
              <w:left w:val="nil"/>
              <w:bottom w:val="single" w:sz="4" w:space="0" w:color="auto"/>
              <w:right w:val="single" w:sz="4" w:space="0" w:color="auto"/>
            </w:tcBorders>
            <w:shd w:val="clear" w:color="000000" w:fill="DBDBDB"/>
            <w:noWrap/>
            <w:vAlign w:val="center"/>
            <w:hideMark/>
          </w:tcPr>
          <w:p w14:paraId="54AF0DFE" w14:textId="77777777" w:rsidR="00A70CBF" w:rsidRPr="00D93D2D" w:rsidRDefault="00A70CBF" w:rsidP="00A70CBF">
            <w:pPr>
              <w:spacing w:after="0" w:line="240" w:lineRule="auto"/>
              <w:rPr>
                <w:rFonts w:eastAsia="Times New Roman" w:cstheme="minorHAnsi"/>
                <w:i/>
                <w:iCs/>
                <w:color w:val="000000"/>
                <w:sz w:val="16"/>
              </w:rPr>
            </w:pPr>
            <w:r w:rsidRPr="00D93D2D">
              <w:rPr>
                <w:rFonts w:eastAsia="Times New Roman" w:cstheme="minorHAnsi"/>
                <w:i/>
                <w:iCs/>
                <w:color w:val="000000"/>
                <w:sz w:val="16"/>
              </w:rPr>
              <w:t>DTC20</w:t>
            </w:r>
          </w:p>
        </w:tc>
        <w:tc>
          <w:tcPr>
            <w:tcW w:w="895" w:type="dxa"/>
            <w:tcBorders>
              <w:top w:val="nil"/>
              <w:left w:val="nil"/>
              <w:bottom w:val="single" w:sz="4" w:space="0" w:color="auto"/>
              <w:right w:val="single" w:sz="4" w:space="0" w:color="auto"/>
            </w:tcBorders>
            <w:shd w:val="clear" w:color="000000" w:fill="DBDBDB"/>
            <w:noWrap/>
            <w:vAlign w:val="center"/>
            <w:hideMark/>
          </w:tcPr>
          <w:p w14:paraId="5AB8A702" w14:textId="77777777" w:rsidR="00A70CBF" w:rsidRPr="00D93D2D" w:rsidRDefault="00A70CBF" w:rsidP="00A70CBF">
            <w:pPr>
              <w:spacing w:after="0" w:line="240" w:lineRule="auto"/>
              <w:rPr>
                <w:rFonts w:eastAsia="Times New Roman" w:cstheme="minorHAnsi"/>
                <w:i/>
                <w:iCs/>
                <w:color w:val="000000"/>
                <w:sz w:val="16"/>
              </w:rPr>
            </w:pPr>
            <w:r w:rsidRPr="00D93D2D">
              <w:rPr>
                <w:rFonts w:eastAsia="Times New Roman" w:cstheme="minorHAnsi"/>
                <w:i/>
                <w:iCs/>
                <w:color w:val="000000"/>
                <w:sz w:val="16"/>
              </w:rPr>
              <w:t>DTC30</w:t>
            </w:r>
          </w:p>
        </w:tc>
        <w:tc>
          <w:tcPr>
            <w:tcW w:w="894" w:type="dxa"/>
            <w:tcBorders>
              <w:top w:val="nil"/>
              <w:left w:val="nil"/>
              <w:bottom w:val="single" w:sz="4" w:space="0" w:color="auto"/>
              <w:right w:val="single" w:sz="4" w:space="0" w:color="auto"/>
            </w:tcBorders>
            <w:shd w:val="clear" w:color="000000" w:fill="DBDBDB"/>
            <w:noWrap/>
            <w:vAlign w:val="center"/>
            <w:hideMark/>
          </w:tcPr>
          <w:p w14:paraId="78EBDA7B" w14:textId="77777777" w:rsidR="00A70CBF" w:rsidRPr="00D93D2D" w:rsidRDefault="00A70CBF" w:rsidP="00A70CBF">
            <w:pPr>
              <w:spacing w:after="0" w:line="240" w:lineRule="auto"/>
              <w:rPr>
                <w:rFonts w:eastAsia="Times New Roman" w:cstheme="minorHAnsi"/>
                <w:i/>
                <w:iCs/>
                <w:color w:val="000000"/>
                <w:sz w:val="16"/>
              </w:rPr>
            </w:pPr>
            <w:r w:rsidRPr="00D93D2D">
              <w:rPr>
                <w:rFonts w:eastAsia="Times New Roman" w:cstheme="minorHAnsi"/>
                <w:i/>
                <w:iCs/>
                <w:color w:val="000000"/>
                <w:sz w:val="16"/>
              </w:rPr>
              <w:t>DTC40</w:t>
            </w:r>
          </w:p>
        </w:tc>
        <w:tc>
          <w:tcPr>
            <w:tcW w:w="895" w:type="dxa"/>
            <w:tcBorders>
              <w:top w:val="nil"/>
              <w:left w:val="nil"/>
              <w:bottom w:val="single" w:sz="4" w:space="0" w:color="auto"/>
              <w:right w:val="single" w:sz="4" w:space="0" w:color="auto"/>
            </w:tcBorders>
            <w:shd w:val="clear" w:color="000000" w:fill="DBDBDB"/>
            <w:noWrap/>
            <w:vAlign w:val="center"/>
            <w:hideMark/>
          </w:tcPr>
          <w:p w14:paraId="0B2989F6" w14:textId="77777777" w:rsidR="00A70CBF" w:rsidRPr="00D93D2D" w:rsidRDefault="00A70CBF" w:rsidP="00A70CBF">
            <w:pPr>
              <w:spacing w:after="0" w:line="240" w:lineRule="auto"/>
              <w:rPr>
                <w:rFonts w:eastAsia="Times New Roman" w:cstheme="minorHAnsi"/>
                <w:i/>
                <w:iCs/>
                <w:color w:val="000000"/>
                <w:sz w:val="16"/>
              </w:rPr>
            </w:pPr>
            <w:r w:rsidRPr="00D93D2D">
              <w:rPr>
                <w:rFonts w:eastAsia="Times New Roman" w:cstheme="minorHAnsi"/>
                <w:i/>
                <w:iCs/>
                <w:color w:val="000000"/>
                <w:sz w:val="16"/>
              </w:rPr>
              <w:t>DTC50</w:t>
            </w:r>
          </w:p>
        </w:tc>
        <w:tc>
          <w:tcPr>
            <w:tcW w:w="894" w:type="dxa"/>
            <w:tcBorders>
              <w:top w:val="nil"/>
              <w:left w:val="nil"/>
              <w:bottom w:val="single" w:sz="4" w:space="0" w:color="auto"/>
              <w:right w:val="single" w:sz="4" w:space="0" w:color="auto"/>
            </w:tcBorders>
            <w:shd w:val="clear" w:color="000000" w:fill="DBDBDB"/>
            <w:noWrap/>
            <w:vAlign w:val="center"/>
            <w:hideMark/>
          </w:tcPr>
          <w:p w14:paraId="539E5DC9" w14:textId="77777777" w:rsidR="00A70CBF" w:rsidRPr="00D93D2D" w:rsidRDefault="00A70CBF" w:rsidP="00A70CBF">
            <w:pPr>
              <w:spacing w:after="0" w:line="240" w:lineRule="auto"/>
              <w:rPr>
                <w:rFonts w:eastAsia="Times New Roman" w:cstheme="minorHAnsi"/>
                <w:i/>
                <w:iCs/>
                <w:color w:val="000000"/>
                <w:sz w:val="16"/>
              </w:rPr>
            </w:pPr>
            <w:r w:rsidRPr="00D93D2D">
              <w:rPr>
                <w:rFonts w:eastAsia="Times New Roman" w:cstheme="minorHAnsi"/>
                <w:i/>
                <w:iCs/>
                <w:color w:val="000000"/>
                <w:sz w:val="16"/>
              </w:rPr>
              <w:t>DTC60</w:t>
            </w:r>
          </w:p>
        </w:tc>
        <w:tc>
          <w:tcPr>
            <w:tcW w:w="895" w:type="dxa"/>
            <w:tcBorders>
              <w:top w:val="nil"/>
              <w:left w:val="nil"/>
              <w:bottom w:val="single" w:sz="4" w:space="0" w:color="auto"/>
              <w:right w:val="single" w:sz="4" w:space="0" w:color="auto"/>
            </w:tcBorders>
            <w:shd w:val="clear" w:color="000000" w:fill="DBDBDB"/>
            <w:noWrap/>
            <w:vAlign w:val="center"/>
            <w:hideMark/>
          </w:tcPr>
          <w:p w14:paraId="7D80C36E" w14:textId="77777777" w:rsidR="00A70CBF" w:rsidRPr="00D93D2D" w:rsidRDefault="00A70CBF" w:rsidP="00A70CBF">
            <w:pPr>
              <w:spacing w:after="0" w:line="240" w:lineRule="auto"/>
              <w:rPr>
                <w:rFonts w:eastAsia="Times New Roman" w:cstheme="minorHAnsi"/>
                <w:i/>
                <w:iCs/>
                <w:color w:val="000000"/>
                <w:sz w:val="16"/>
              </w:rPr>
            </w:pPr>
            <w:r w:rsidRPr="00D93D2D">
              <w:rPr>
                <w:rFonts w:eastAsia="Times New Roman" w:cstheme="minorHAnsi"/>
                <w:i/>
                <w:iCs/>
                <w:color w:val="000000"/>
                <w:sz w:val="16"/>
              </w:rPr>
              <w:t>DTC( &gt; 70)</w:t>
            </w:r>
          </w:p>
        </w:tc>
      </w:tr>
      <w:tr w:rsidR="00A70CBF" w:rsidRPr="00D93D2D" w14:paraId="48A38E2D" w14:textId="77777777" w:rsidTr="00A70CBF">
        <w:trPr>
          <w:gridAfter w:val="1"/>
          <w:wAfter w:w="6" w:type="dxa"/>
          <w:trHeight w:val="240"/>
        </w:trPr>
        <w:tc>
          <w:tcPr>
            <w:tcW w:w="1092" w:type="dxa"/>
            <w:vMerge w:val="restart"/>
            <w:tcBorders>
              <w:top w:val="nil"/>
              <w:left w:val="single" w:sz="4" w:space="0" w:color="auto"/>
              <w:bottom w:val="single" w:sz="4" w:space="0" w:color="auto"/>
              <w:right w:val="single" w:sz="4" w:space="0" w:color="auto"/>
            </w:tcBorders>
            <w:shd w:val="clear" w:color="000000" w:fill="C9C9C9"/>
            <w:vAlign w:val="center"/>
            <w:hideMark/>
          </w:tcPr>
          <w:p w14:paraId="69F6DE63" w14:textId="77777777" w:rsidR="00A70CBF" w:rsidRPr="00D93D2D" w:rsidRDefault="00A70CBF" w:rsidP="00A70CBF">
            <w:pPr>
              <w:spacing w:after="0" w:line="240" w:lineRule="auto"/>
              <w:jc w:val="center"/>
              <w:rPr>
                <w:rFonts w:eastAsia="Times New Roman" w:cstheme="minorHAnsi"/>
                <w:b/>
                <w:bCs/>
                <w:color w:val="000000"/>
                <w:sz w:val="16"/>
              </w:rPr>
            </w:pPr>
            <w:r w:rsidRPr="00D93D2D">
              <w:rPr>
                <w:rFonts w:eastAsia="Times New Roman" w:cstheme="minorHAnsi"/>
                <w:b/>
                <w:bCs/>
                <w:color w:val="000000"/>
                <w:sz w:val="16"/>
              </w:rPr>
              <w:t>% TB sample transport</w:t>
            </w:r>
          </w:p>
        </w:tc>
        <w:tc>
          <w:tcPr>
            <w:tcW w:w="728" w:type="dxa"/>
            <w:tcBorders>
              <w:top w:val="nil"/>
              <w:left w:val="nil"/>
              <w:bottom w:val="single" w:sz="4" w:space="0" w:color="auto"/>
              <w:right w:val="single" w:sz="4" w:space="0" w:color="auto"/>
            </w:tcBorders>
            <w:shd w:val="clear" w:color="000000" w:fill="DBDBDB"/>
            <w:noWrap/>
            <w:vAlign w:val="center"/>
            <w:hideMark/>
          </w:tcPr>
          <w:p w14:paraId="3EBE5907" w14:textId="77777777" w:rsidR="00A70CBF" w:rsidRPr="00D93D2D" w:rsidRDefault="00A70CBF" w:rsidP="00A70CBF">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5%</w:t>
            </w:r>
          </w:p>
        </w:tc>
        <w:tc>
          <w:tcPr>
            <w:tcW w:w="894" w:type="dxa"/>
            <w:tcBorders>
              <w:top w:val="nil"/>
              <w:left w:val="nil"/>
              <w:bottom w:val="single" w:sz="4" w:space="0" w:color="auto"/>
              <w:right w:val="single" w:sz="4" w:space="0" w:color="auto"/>
            </w:tcBorders>
            <w:shd w:val="clear" w:color="auto" w:fill="auto"/>
            <w:noWrap/>
            <w:vAlign w:val="center"/>
            <w:hideMark/>
          </w:tcPr>
          <w:p w14:paraId="276A2BF3"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15.98</w:t>
            </w:r>
          </w:p>
        </w:tc>
        <w:tc>
          <w:tcPr>
            <w:tcW w:w="894" w:type="dxa"/>
            <w:tcBorders>
              <w:top w:val="nil"/>
              <w:left w:val="nil"/>
              <w:bottom w:val="single" w:sz="4" w:space="0" w:color="auto"/>
              <w:right w:val="single" w:sz="4" w:space="0" w:color="auto"/>
            </w:tcBorders>
            <w:shd w:val="clear" w:color="auto" w:fill="auto"/>
            <w:noWrap/>
            <w:vAlign w:val="center"/>
            <w:hideMark/>
          </w:tcPr>
          <w:p w14:paraId="2F24CAEA"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14.29</w:t>
            </w:r>
          </w:p>
        </w:tc>
        <w:tc>
          <w:tcPr>
            <w:tcW w:w="895" w:type="dxa"/>
            <w:tcBorders>
              <w:top w:val="nil"/>
              <w:left w:val="nil"/>
              <w:bottom w:val="single" w:sz="4" w:space="0" w:color="auto"/>
              <w:right w:val="single" w:sz="4" w:space="0" w:color="auto"/>
            </w:tcBorders>
            <w:shd w:val="clear" w:color="auto" w:fill="auto"/>
            <w:noWrap/>
            <w:vAlign w:val="center"/>
            <w:hideMark/>
          </w:tcPr>
          <w:p w14:paraId="31895158"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17.60</w:t>
            </w:r>
          </w:p>
        </w:tc>
        <w:tc>
          <w:tcPr>
            <w:tcW w:w="894" w:type="dxa"/>
            <w:tcBorders>
              <w:top w:val="nil"/>
              <w:left w:val="nil"/>
              <w:bottom w:val="single" w:sz="4" w:space="0" w:color="auto"/>
              <w:right w:val="single" w:sz="4" w:space="0" w:color="auto"/>
            </w:tcBorders>
            <w:shd w:val="clear" w:color="auto" w:fill="auto"/>
            <w:noWrap/>
            <w:vAlign w:val="center"/>
            <w:hideMark/>
          </w:tcPr>
          <w:p w14:paraId="7C026ABE"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14.36</w:t>
            </w:r>
          </w:p>
        </w:tc>
        <w:tc>
          <w:tcPr>
            <w:tcW w:w="895" w:type="dxa"/>
            <w:tcBorders>
              <w:top w:val="nil"/>
              <w:left w:val="nil"/>
              <w:bottom w:val="single" w:sz="4" w:space="0" w:color="auto"/>
              <w:right w:val="single" w:sz="4" w:space="0" w:color="auto"/>
            </w:tcBorders>
            <w:shd w:val="clear" w:color="auto" w:fill="auto"/>
            <w:noWrap/>
            <w:vAlign w:val="center"/>
            <w:hideMark/>
          </w:tcPr>
          <w:p w14:paraId="03C5E9B2"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15.68</w:t>
            </w:r>
          </w:p>
        </w:tc>
        <w:tc>
          <w:tcPr>
            <w:tcW w:w="894" w:type="dxa"/>
            <w:tcBorders>
              <w:top w:val="nil"/>
              <w:left w:val="nil"/>
              <w:bottom w:val="single" w:sz="4" w:space="0" w:color="auto"/>
              <w:right w:val="single" w:sz="4" w:space="0" w:color="auto"/>
            </w:tcBorders>
            <w:shd w:val="clear" w:color="auto" w:fill="auto"/>
            <w:noWrap/>
            <w:vAlign w:val="center"/>
            <w:hideMark/>
          </w:tcPr>
          <w:p w14:paraId="5AA31014"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14.24</w:t>
            </w:r>
          </w:p>
        </w:tc>
        <w:tc>
          <w:tcPr>
            <w:tcW w:w="895" w:type="dxa"/>
            <w:tcBorders>
              <w:top w:val="nil"/>
              <w:left w:val="nil"/>
              <w:bottom w:val="single" w:sz="4" w:space="0" w:color="auto"/>
              <w:right w:val="single" w:sz="4" w:space="0" w:color="auto"/>
            </w:tcBorders>
            <w:shd w:val="clear" w:color="auto" w:fill="auto"/>
            <w:noWrap/>
            <w:vAlign w:val="center"/>
            <w:hideMark/>
          </w:tcPr>
          <w:p w14:paraId="3CACB4DE"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14.00</w:t>
            </w:r>
          </w:p>
        </w:tc>
      </w:tr>
      <w:tr w:rsidR="00A70CBF" w:rsidRPr="00D93D2D" w14:paraId="5D78F70B" w14:textId="77777777" w:rsidTr="00A70CBF">
        <w:trPr>
          <w:gridAfter w:val="1"/>
          <w:wAfter w:w="6" w:type="dxa"/>
          <w:trHeight w:val="240"/>
        </w:trPr>
        <w:tc>
          <w:tcPr>
            <w:tcW w:w="1092" w:type="dxa"/>
            <w:vMerge/>
            <w:tcBorders>
              <w:top w:val="nil"/>
              <w:left w:val="single" w:sz="4" w:space="0" w:color="auto"/>
              <w:bottom w:val="single" w:sz="4" w:space="0" w:color="auto"/>
              <w:right w:val="single" w:sz="4" w:space="0" w:color="auto"/>
            </w:tcBorders>
            <w:vAlign w:val="center"/>
            <w:hideMark/>
          </w:tcPr>
          <w:p w14:paraId="459232E8" w14:textId="77777777" w:rsidR="00A70CBF" w:rsidRPr="00D93D2D" w:rsidRDefault="00A70CBF" w:rsidP="00A70CBF">
            <w:pPr>
              <w:spacing w:after="0" w:line="240" w:lineRule="auto"/>
              <w:rPr>
                <w:rFonts w:eastAsia="Times New Roman" w:cstheme="minorHAnsi"/>
                <w:b/>
                <w:bCs/>
                <w:color w:val="000000"/>
                <w:sz w:val="16"/>
              </w:rPr>
            </w:pPr>
          </w:p>
        </w:tc>
        <w:tc>
          <w:tcPr>
            <w:tcW w:w="728" w:type="dxa"/>
            <w:tcBorders>
              <w:top w:val="nil"/>
              <w:left w:val="nil"/>
              <w:bottom w:val="single" w:sz="4" w:space="0" w:color="auto"/>
              <w:right w:val="single" w:sz="4" w:space="0" w:color="auto"/>
            </w:tcBorders>
            <w:shd w:val="clear" w:color="000000" w:fill="DBDBDB"/>
            <w:noWrap/>
            <w:vAlign w:val="center"/>
            <w:hideMark/>
          </w:tcPr>
          <w:p w14:paraId="14B7D0F7" w14:textId="77777777" w:rsidR="00A70CBF" w:rsidRPr="00D93D2D" w:rsidRDefault="00A70CBF" w:rsidP="00A70CBF">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10%</w:t>
            </w:r>
          </w:p>
        </w:tc>
        <w:tc>
          <w:tcPr>
            <w:tcW w:w="894" w:type="dxa"/>
            <w:tcBorders>
              <w:top w:val="nil"/>
              <w:left w:val="nil"/>
              <w:bottom w:val="single" w:sz="4" w:space="0" w:color="auto"/>
              <w:right w:val="single" w:sz="4" w:space="0" w:color="auto"/>
            </w:tcBorders>
            <w:shd w:val="clear" w:color="auto" w:fill="auto"/>
            <w:noWrap/>
            <w:vAlign w:val="center"/>
            <w:hideMark/>
          </w:tcPr>
          <w:p w14:paraId="6AD84FAC"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16.91</w:t>
            </w:r>
          </w:p>
        </w:tc>
        <w:tc>
          <w:tcPr>
            <w:tcW w:w="894" w:type="dxa"/>
            <w:tcBorders>
              <w:top w:val="nil"/>
              <w:left w:val="nil"/>
              <w:bottom w:val="single" w:sz="4" w:space="0" w:color="auto"/>
              <w:right w:val="single" w:sz="4" w:space="0" w:color="auto"/>
            </w:tcBorders>
            <w:shd w:val="clear" w:color="auto" w:fill="auto"/>
            <w:noWrap/>
            <w:vAlign w:val="center"/>
            <w:hideMark/>
          </w:tcPr>
          <w:p w14:paraId="07755F51"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14.78</w:t>
            </w:r>
          </w:p>
        </w:tc>
        <w:tc>
          <w:tcPr>
            <w:tcW w:w="895" w:type="dxa"/>
            <w:tcBorders>
              <w:top w:val="nil"/>
              <w:left w:val="nil"/>
              <w:bottom w:val="single" w:sz="4" w:space="0" w:color="auto"/>
              <w:right w:val="single" w:sz="4" w:space="0" w:color="auto"/>
            </w:tcBorders>
            <w:shd w:val="clear" w:color="auto" w:fill="auto"/>
            <w:noWrap/>
            <w:vAlign w:val="center"/>
            <w:hideMark/>
          </w:tcPr>
          <w:p w14:paraId="3CD65435"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18.02</w:t>
            </w:r>
          </w:p>
        </w:tc>
        <w:tc>
          <w:tcPr>
            <w:tcW w:w="894" w:type="dxa"/>
            <w:tcBorders>
              <w:top w:val="nil"/>
              <w:left w:val="nil"/>
              <w:bottom w:val="single" w:sz="4" w:space="0" w:color="auto"/>
              <w:right w:val="single" w:sz="4" w:space="0" w:color="auto"/>
            </w:tcBorders>
            <w:shd w:val="clear" w:color="auto" w:fill="auto"/>
            <w:noWrap/>
            <w:vAlign w:val="center"/>
            <w:hideMark/>
          </w:tcPr>
          <w:p w14:paraId="05694E6C"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14.70</w:t>
            </w:r>
          </w:p>
        </w:tc>
        <w:tc>
          <w:tcPr>
            <w:tcW w:w="895" w:type="dxa"/>
            <w:tcBorders>
              <w:top w:val="nil"/>
              <w:left w:val="nil"/>
              <w:bottom w:val="single" w:sz="4" w:space="0" w:color="auto"/>
              <w:right w:val="single" w:sz="4" w:space="0" w:color="auto"/>
            </w:tcBorders>
            <w:shd w:val="clear" w:color="auto" w:fill="auto"/>
            <w:noWrap/>
            <w:vAlign w:val="center"/>
            <w:hideMark/>
          </w:tcPr>
          <w:p w14:paraId="33F23E8E"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15.98</w:t>
            </w:r>
          </w:p>
        </w:tc>
        <w:tc>
          <w:tcPr>
            <w:tcW w:w="894" w:type="dxa"/>
            <w:tcBorders>
              <w:top w:val="nil"/>
              <w:left w:val="nil"/>
              <w:bottom w:val="single" w:sz="4" w:space="0" w:color="auto"/>
              <w:right w:val="single" w:sz="4" w:space="0" w:color="auto"/>
            </w:tcBorders>
            <w:shd w:val="clear" w:color="auto" w:fill="auto"/>
            <w:noWrap/>
            <w:vAlign w:val="center"/>
            <w:hideMark/>
          </w:tcPr>
          <w:p w14:paraId="6F56A5B3"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14.51</w:t>
            </w:r>
          </w:p>
        </w:tc>
        <w:tc>
          <w:tcPr>
            <w:tcW w:w="895" w:type="dxa"/>
            <w:tcBorders>
              <w:top w:val="nil"/>
              <w:left w:val="nil"/>
              <w:bottom w:val="single" w:sz="4" w:space="0" w:color="auto"/>
              <w:right w:val="single" w:sz="4" w:space="0" w:color="auto"/>
            </w:tcBorders>
            <w:shd w:val="clear" w:color="auto" w:fill="auto"/>
            <w:noWrap/>
            <w:vAlign w:val="center"/>
            <w:hideMark/>
          </w:tcPr>
          <w:p w14:paraId="6A1FB53E"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14.26</w:t>
            </w:r>
          </w:p>
        </w:tc>
      </w:tr>
      <w:tr w:rsidR="00A70CBF" w:rsidRPr="00D93D2D" w14:paraId="45CB02A2" w14:textId="77777777" w:rsidTr="00A70CBF">
        <w:trPr>
          <w:gridAfter w:val="1"/>
          <w:wAfter w:w="6" w:type="dxa"/>
          <w:trHeight w:val="240"/>
        </w:trPr>
        <w:tc>
          <w:tcPr>
            <w:tcW w:w="1092" w:type="dxa"/>
            <w:vMerge/>
            <w:tcBorders>
              <w:top w:val="nil"/>
              <w:left w:val="single" w:sz="4" w:space="0" w:color="auto"/>
              <w:bottom w:val="single" w:sz="4" w:space="0" w:color="auto"/>
              <w:right w:val="single" w:sz="4" w:space="0" w:color="auto"/>
            </w:tcBorders>
            <w:vAlign w:val="center"/>
            <w:hideMark/>
          </w:tcPr>
          <w:p w14:paraId="04AA53F1" w14:textId="77777777" w:rsidR="00A70CBF" w:rsidRPr="00D93D2D" w:rsidRDefault="00A70CBF" w:rsidP="00A70CBF">
            <w:pPr>
              <w:spacing w:after="0" w:line="240" w:lineRule="auto"/>
              <w:rPr>
                <w:rFonts w:eastAsia="Times New Roman" w:cstheme="minorHAnsi"/>
                <w:b/>
                <w:bCs/>
                <w:color w:val="000000"/>
                <w:sz w:val="16"/>
              </w:rPr>
            </w:pPr>
          </w:p>
        </w:tc>
        <w:tc>
          <w:tcPr>
            <w:tcW w:w="728" w:type="dxa"/>
            <w:tcBorders>
              <w:top w:val="nil"/>
              <w:left w:val="nil"/>
              <w:bottom w:val="single" w:sz="4" w:space="0" w:color="auto"/>
              <w:right w:val="single" w:sz="4" w:space="0" w:color="auto"/>
            </w:tcBorders>
            <w:shd w:val="clear" w:color="000000" w:fill="DBDBDB"/>
            <w:noWrap/>
            <w:vAlign w:val="center"/>
            <w:hideMark/>
          </w:tcPr>
          <w:p w14:paraId="1562EA18" w14:textId="77777777" w:rsidR="00A70CBF" w:rsidRPr="00D93D2D" w:rsidRDefault="00A70CBF" w:rsidP="00A70CBF">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50%</w:t>
            </w:r>
          </w:p>
        </w:tc>
        <w:tc>
          <w:tcPr>
            <w:tcW w:w="894" w:type="dxa"/>
            <w:tcBorders>
              <w:top w:val="nil"/>
              <w:left w:val="nil"/>
              <w:bottom w:val="single" w:sz="4" w:space="0" w:color="auto"/>
              <w:right w:val="single" w:sz="4" w:space="0" w:color="auto"/>
            </w:tcBorders>
            <w:shd w:val="clear" w:color="auto" w:fill="auto"/>
            <w:noWrap/>
            <w:vAlign w:val="center"/>
            <w:hideMark/>
          </w:tcPr>
          <w:p w14:paraId="0EBB4E46"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24.32</w:t>
            </w:r>
          </w:p>
        </w:tc>
        <w:tc>
          <w:tcPr>
            <w:tcW w:w="894" w:type="dxa"/>
            <w:tcBorders>
              <w:top w:val="nil"/>
              <w:left w:val="nil"/>
              <w:bottom w:val="single" w:sz="4" w:space="0" w:color="auto"/>
              <w:right w:val="single" w:sz="4" w:space="0" w:color="auto"/>
            </w:tcBorders>
            <w:shd w:val="clear" w:color="auto" w:fill="auto"/>
            <w:noWrap/>
            <w:vAlign w:val="center"/>
            <w:hideMark/>
          </w:tcPr>
          <w:p w14:paraId="42B685B5"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18.67</w:t>
            </w:r>
          </w:p>
        </w:tc>
        <w:tc>
          <w:tcPr>
            <w:tcW w:w="895" w:type="dxa"/>
            <w:tcBorders>
              <w:top w:val="nil"/>
              <w:left w:val="nil"/>
              <w:bottom w:val="single" w:sz="4" w:space="0" w:color="auto"/>
              <w:right w:val="single" w:sz="4" w:space="0" w:color="auto"/>
            </w:tcBorders>
            <w:shd w:val="clear" w:color="auto" w:fill="auto"/>
            <w:noWrap/>
            <w:vAlign w:val="center"/>
            <w:hideMark/>
          </w:tcPr>
          <w:p w14:paraId="6F344605"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21.38</w:t>
            </w:r>
          </w:p>
        </w:tc>
        <w:tc>
          <w:tcPr>
            <w:tcW w:w="894" w:type="dxa"/>
            <w:tcBorders>
              <w:top w:val="nil"/>
              <w:left w:val="nil"/>
              <w:bottom w:val="single" w:sz="4" w:space="0" w:color="auto"/>
              <w:right w:val="single" w:sz="4" w:space="0" w:color="auto"/>
            </w:tcBorders>
            <w:shd w:val="clear" w:color="auto" w:fill="auto"/>
            <w:noWrap/>
            <w:vAlign w:val="center"/>
            <w:hideMark/>
          </w:tcPr>
          <w:p w14:paraId="436F22C8"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17.36</w:t>
            </w:r>
          </w:p>
        </w:tc>
        <w:tc>
          <w:tcPr>
            <w:tcW w:w="895" w:type="dxa"/>
            <w:tcBorders>
              <w:top w:val="nil"/>
              <w:left w:val="nil"/>
              <w:bottom w:val="single" w:sz="4" w:space="0" w:color="auto"/>
              <w:right w:val="single" w:sz="4" w:space="0" w:color="auto"/>
            </w:tcBorders>
            <w:shd w:val="clear" w:color="auto" w:fill="auto"/>
            <w:noWrap/>
            <w:vAlign w:val="center"/>
            <w:hideMark/>
          </w:tcPr>
          <w:p w14:paraId="19961AF7"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18.38</w:t>
            </w:r>
          </w:p>
        </w:tc>
        <w:tc>
          <w:tcPr>
            <w:tcW w:w="894" w:type="dxa"/>
            <w:tcBorders>
              <w:top w:val="nil"/>
              <w:left w:val="nil"/>
              <w:bottom w:val="single" w:sz="4" w:space="0" w:color="auto"/>
              <w:right w:val="single" w:sz="4" w:space="0" w:color="auto"/>
            </w:tcBorders>
            <w:shd w:val="clear" w:color="auto" w:fill="auto"/>
            <w:noWrap/>
            <w:vAlign w:val="center"/>
            <w:hideMark/>
          </w:tcPr>
          <w:p w14:paraId="2E953412"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16.66</w:t>
            </w:r>
          </w:p>
        </w:tc>
        <w:tc>
          <w:tcPr>
            <w:tcW w:w="895" w:type="dxa"/>
            <w:tcBorders>
              <w:top w:val="nil"/>
              <w:left w:val="nil"/>
              <w:bottom w:val="single" w:sz="4" w:space="0" w:color="auto"/>
              <w:right w:val="single" w:sz="4" w:space="0" w:color="auto"/>
            </w:tcBorders>
            <w:shd w:val="clear" w:color="auto" w:fill="auto"/>
            <w:noWrap/>
            <w:vAlign w:val="center"/>
            <w:hideMark/>
          </w:tcPr>
          <w:p w14:paraId="2CFB752D"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16.35</w:t>
            </w:r>
          </w:p>
        </w:tc>
      </w:tr>
      <w:tr w:rsidR="00A70CBF" w:rsidRPr="00D93D2D" w14:paraId="691A4021" w14:textId="77777777" w:rsidTr="00A70CBF">
        <w:trPr>
          <w:gridAfter w:val="1"/>
          <w:wAfter w:w="6" w:type="dxa"/>
          <w:trHeight w:val="240"/>
        </w:trPr>
        <w:tc>
          <w:tcPr>
            <w:tcW w:w="1092" w:type="dxa"/>
            <w:vMerge/>
            <w:tcBorders>
              <w:top w:val="nil"/>
              <w:left w:val="single" w:sz="4" w:space="0" w:color="auto"/>
              <w:bottom w:val="single" w:sz="4" w:space="0" w:color="auto"/>
              <w:right w:val="single" w:sz="4" w:space="0" w:color="auto"/>
            </w:tcBorders>
            <w:vAlign w:val="center"/>
            <w:hideMark/>
          </w:tcPr>
          <w:p w14:paraId="1830DF0A" w14:textId="77777777" w:rsidR="00A70CBF" w:rsidRPr="00D93D2D" w:rsidRDefault="00A70CBF" w:rsidP="00A70CBF">
            <w:pPr>
              <w:spacing w:after="0" w:line="240" w:lineRule="auto"/>
              <w:rPr>
                <w:rFonts w:eastAsia="Times New Roman" w:cstheme="minorHAnsi"/>
                <w:b/>
                <w:bCs/>
                <w:color w:val="000000"/>
                <w:sz w:val="16"/>
              </w:rPr>
            </w:pPr>
          </w:p>
        </w:tc>
        <w:tc>
          <w:tcPr>
            <w:tcW w:w="728" w:type="dxa"/>
            <w:tcBorders>
              <w:top w:val="nil"/>
              <w:left w:val="nil"/>
              <w:bottom w:val="single" w:sz="4" w:space="0" w:color="auto"/>
              <w:right w:val="single" w:sz="4" w:space="0" w:color="auto"/>
            </w:tcBorders>
            <w:shd w:val="clear" w:color="000000" w:fill="DBDBDB"/>
            <w:noWrap/>
            <w:vAlign w:val="center"/>
            <w:hideMark/>
          </w:tcPr>
          <w:p w14:paraId="25E94279" w14:textId="77777777" w:rsidR="00A70CBF" w:rsidRPr="00D93D2D" w:rsidRDefault="00A70CBF" w:rsidP="00A70CBF">
            <w:pPr>
              <w:spacing w:after="0" w:line="240" w:lineRule="auto"/>
              <w:jc w:val="right"/>
              <w:rPr>
                <w:rFonts w:eastAsia="Times New Roman" w:cstheme="minorHAnsi"/>
                <w:i/>
                <w:iCs/>
                <w:color w:val="000000"/>
                <w:sz w:val="16"/>
              </w:rPr>
            </w:pPr>
            <w:r w:rsidRPr="00D93D2D">
              <w:rPr>
                <w:rFonts w:eastAsia="Times New Roman" w:cstheme="minorHAnsi"/>
                <w:i/>
                <w:iCs/>
                <w:color w:val="000000"/>
                <w:sz w:val="16"/>
              </w:rPr>
              <w:t>100%</w:t>
            </w:r>
          </w:p>
        </w:tc>
        <w:tc>
          <w:tcPr>
            <w:tcW w:w="894" w:type="dxa"/>
            <w:tcBorders>
              <w:top w:val="nil"/>
              <w:left w:val="nil"/>
              <w:bottom w:val="single" w:sz="4" w:space="0" w:color="auto"/>
              <w:right w:val="single" w:sz="4" w:space="0" w:color="auto"/>
            </w:tcBorders>
            <w:shd w:val="clear" w:color="auto" w:fill="auto"/>
            <w:noWrap/>
            <w:vAlign w:val="center"/>
            <w:hideMark/>
          </w:tcPr>
          <w:p w14:paraId="00A7EC82"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33.59</w:t>
            </w:r>
          </w:p>
        </w:tc>
        <w:tc>
          <w:tcPr>
            <w:tcW w:w="894" w:type="dxa"/>
            <w:tcBorders>
              <w:top w:val="nil"/>
              <w:left w:val="nil"/>
              <w:bottom w:val="single" w:sz="4" w:space="0" w:color="auto"/>
              <w:right w:val="single" w:sz="4" w:space="0" w:color="auto"/>
            </w:tcBorders>
            <w:shd w:val="clear" w:color="auto" w:fill="auto"/>
            <w:noWrap/>
            <w:vAlign w:val="center"/>
            <w:hideMark/>
          </w:tcPr>
          <w:p w14:paraId="4528F4D1"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23.54</w:t>
            </w:r>
          </w:p>
        </w:tc>
        <w:tc>
          <w:tcPr>
            <w:tcW w:w="895" w:type="dxa"/>
            <w:tcBorders>
              <w:top w:val="nil"/>
              <w:left w:val="nil"/>
              <w:bottom w:val="single" w:sz="4" w:space="0" w:color="auto"/>
              <w:right w:val="single" w:sz="4" w:space="0" w:color="auto"/>
            </w:tcBorders>
            <w:shd w:val="clear" w:color="auto" w:fill="auto"/>
            <w:noWrap/>
            <w:vAlign w:val="center"/>
            <w:hideMark/>
          </w:tcPr>
          <w:p w14:paraId="4F44DB9B"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25.59</w:t>
            </w:r>
          </w:p>
        </w:tc>
        <w:tc>
          <w:tcPr>
            <w:tcW w:w="894" w:type="dxa"/>
            <w:tcBorders>
              <w:top w:val="nil"/>
              <w:left w:val="nil"/>
              <w:bottom w:val="single" w:sz="4" w:space="0" w:color="auto"/>
              <w:right w:val="single" w:sz="4" w:space="0" w:color="auto"/>
            </w:tcBorders>
            <w:shd w:val="clear" w:color="auto" w:fill="auto"/>
            <w:noWrap/>
            <w:vAlign w:val="center"/>
            <w:hideMark/>
          </w:tcPr>
          <w:p w14:paraId="1FA99AE8"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20.70</w:t>
            </w:r>
          </w:p>
        </w:tc>
        <w:tc>
          <w:tcPr>
            <w:tcW w:w="895" w:type="dxa"/>
            <w:tcBorders>
              <w:top w:val="nil"/>
              <w:left w:val="nil"/>
              <w:bottom w:val="single" w:sz="4" w:space="0" w:color="auto"/>
              <w:right w:val="single" w:sz="4" w:space="0" w:color="auto"/>
            </w:tcBorders>
            <w:shd w:val="clear" w:color="auto" w:fill="auto"/>
            <w:noWrap/>
            <w:vAlign w:val="center"/>
            <w:hideMark/>
          </w:tcPr>
          <w:p w14:paraId="48A888B4"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21.38</w:t>
            </w:r>
          </w:p>
        </w:tc>
        <w:tc>
          <w:tcPr>
            <w:tcW w:w="894" w:type="dxa"/>
            <w:tcBorders>
              <w:top w:val="nil"/>
              <w:left w:val="nil"/>
              <w:bottom w:val="single" w:sz="4" w:space="0" w:color="auto"/>
              <w:right w:val="single" w:sz="4" w:space="0" w:color="auto"/>
            </w:tcBorders>
            <w:shd w:val="clear" w:color="auto" w:fill="auto"/>
            <w:noWrap/>
            <w:vAlign w:val="center"/>
            <w:hideMark/>
          </w:tcPr>
          <w:p w14:paraId="049133BE"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19.35</w:t>
            </w:r>
          </w:p>
        </w:tc>
        <w:tc>
          <w:tcPr>
            <w:tcW w:w="895" w:type="dxa"/>
            <w:tcBorders>
              <w:top w:val="nil"/>
              <w:left w:val="nil"/>
              <w:bottom w:val="single" w:sz="4" w:space="0" w:color="auto"/>
              <w:right w:val="single" w:sz="4" w:space="0" w:color="auto"/>
            </w:tcBorders>
            <w:shd w:val="clear" w:color="auto" w:fill="auto"/>
            <w:noWrap/>
            <w:vAlign w:val="center"/>
            <w:hideMark/>
          </w:tcPr>
          <w:p w14:paraId="517AA50A" w14:textId="77777777" w:rsidR="00A70CBF" w:rsidRPr="00D93D2D" w:rsidRDefault="00A70CBF" w:rsidP="00A70CBF">
            <w:pPr>
              <w:spacing w:after="0" w:line="240" w:lineRule="auto"/>
              <w:jc w:val="right"/>
              <w:rPr>
                <w:rFonts w:eastAsia="Times New Roman" w:cstheme="minorHAnsi"/>
                <w:color w:val="000000"/>
                <w:sz w:val="16"/>
              </w:rPr>
            </w:pPr>
            <w:r w:rsidRPr="00D93D2D">
              <w:rPr>
                <w:rFonts w:eastAsia="Times New Roman" w:cstheme="minorHAnsi"/>
                <w:color w:val="000000"/>
                <w:sz w:val="16"/>
              </w:rPr>
              <w:t>18.96</w:t>
            </w:r>
          </w:p>
        </w:tc>
      </w:tr>
    </w:tbl>
    <w:p w14:paraId="419D1CBE" w14:textId="41F13C87" w:rsidR="00A31048" w:rsidRPr="00D93D2D" w:rsidRDefault="00A31048" w:rsidP="00060BF2">
      <w:pPr>
        <w:tabs>
          <w:tab w:val="left" w:pos="2430"/>
        </w:tabs>
        <w:jc w:val="both"/>
        <w:rPr>
          <w:rFonts w:cstheme="minorHAnsi"/>
        </w:rPr>
      </w:pPr>
    </w:p>
    <w:p w14:paraId="52BCF266" w14:textId="1E0ABCDD" w:rsidR="00A31048" w:rsidRPr="00D93D2D" w:rsidRDefault="00A31048" w:rsidP="00060BF2">
      <w:pPr>
        <w:tabs>
          <w:tab w:val="left" w:pos="2430"/>
        </w:tabs>
        <w:jc w:val="both"/>
        <w:rPr>
          <w:rFonts w:cstheme="minorHAnsi"/>
        </w:rPr>
      </w:pPr>
      <w:r w:rsidRPr="00D93D2D">
        <w:rPr>
          <w:rFonts w:cstheme="minorHAnsi"/>
          <w:b/>
        </w:rPr>
        <w:t xml:space="preserve">Table </w:t>
      </w:r>
      <w:r w:rsidR="00576824" w:rsidRPr="00D93D2D">
        <w:rPr>
          <w:rFonts w:cstheme="minorHAnsi"/>
          <w:b/>
        </w:rPr>
        <w:t>S</w:t>
      </w:r>
      <w:r w:rsidR="001E22FE" w:rsidRPr="00D93D2D">
        <w:rPr>
          <w:rFonts w:cstheme="minorHAnsi"/>
          <w:b/>
        </w:rPr>
        <w:t>8</w:t>
      </w:r>
      <w:r w:rsidRPr="00D93D2D">
        <w:rPr>
          <w:rFonts w:cstheme="minorHAnsi"/>
          <w:b/>
        </w:rPr>
        <w:t>.</w:t>
      </w:r>
      <w:r w:rsidRPr="00D93D2D">
        <w:rPr>
          <w:rFonts w:cstheme="minorHAnsi"/>
        </w:rPr>
        <w:t xml:space="preserve"> A summary of </w:t>
      </w:r>
      <w:r w:rsidR="00F96501" w:rsidRPr="00D93D2D">
        <w:rPr>
          <w:rFonts w:cstheme="minorHAnsi"/>
        </w:rPr>
        <w:t xml:space="preserve">mean </w:t>
      </w:r>
      <w:r w:rsidR="00BE6C6C" w:rsidRPr="00D93D2D">
        <w:rPr>
          <w:rFonts w:cstheme="minorHAnsi"/>
        </w:rPr>
        <w:t>centralized</w:t>
      </w:r>
      <w:r w:rsidR="00F96501" w:rsidRPr="00D93D2D">
        <w:rPr>
          <w:rFonts w:cstheme="minorHAnsi"/>
        </w:rPr>
        <w:t xml:space="preserve"> per-test cost including sample transport cost based on the daily testing volume at each DTC (λ) and % TB sample transported per transport</w:t>
      </w:r>
    </w:p>
    <w:p w14:paraId="638488B9" w14:textId="77777777" w:rsidR="005C035F" w:rsidRPr="00D93D2D" w:rsidRDefault="005C035F" w:rsidP="00060BF2">
      <w:pPr>
        <w:tabs>
          <w:tab w:val="left" w:pos="2430"/>
        </w:tabs>
        <w:jc w:val="both"/>
        <w:rPr>
          <w:rFonts w:cstheme="minorHAnsi"/>
        </w:rPr>
      </w:pPr>
    </w:p>
    <w:p w14:paraId="009AA9BE" w14:textId="67BFFD4B" w:rsidR="005C035F" w:rsidRPr="00D93D2D" w:rsidRDefault="00B119AF" w:rsidP="00060BF2">
      <w:pPr>
        <w:tabs>
          <w:tab w:val="left" w:pos="2430"/>
        </w:tabs>
        <w:jc w:val="both"/>
        <w:rPr>
          <w:rFonts w:cstheme="minorHAnsi"/>
          <w:i/>
        </w:rPr>
      </w:pPr>
      <w:r w:rsidRPr="00D93D2D">
        <w:rPr>
          <w:rFonts w:cstheme="minorHAnsi"/>
          <w:noProof/>
        </w:rPr>
        <w:lastRenderedPageBreak/>
        <w:drawing>
          <wp:inline distT="0" distB="0" distL="0" distR="0" wp14:anchorId="136988D4" wp14:editId="685C12EC">
            <wp:extent cx="5943600" cy="3827780"/>
            <wp:effectExtent l="0" t="0" r="0" b="1270"/>
            <wp:docPr id="3" name="Chart 3">
              <a:extLst xmlns:a="http://schemas.openxmlformats.org/drawingml/2006/main">
                <a:ext uri="{FF2B5EF4-FFF2-40B4-BE49-F238E27FC236}">
                  <a16:creationId xmlns:a16="http://schemas.microsoft.com/office/drawing/2014/main" id="{F546A9E1-63B3-4872-A2F0-A4D6B1DB21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6E9DF0" w14:textId="2DB5B641" w:rsidR="005C035F" w:rsidRPr="00D93D2D" w:rsidRDefault="005C035F" w:rsidP="00060BF2">
      <w:pPr>
        <w:tabs>
          <w:tab w:val="left" w:pos="2430"/>
        </w:tabs>
        <w:jc w:val="both"/>
        <w:rPr>
          <w:rFonts w:cstheme="minorHAnsi"/>
        </w:rPr>
      </w:pPr>
      <w:r w:rsidRPr="00D93D2D">
        <w:rPr>
          <w:rFonts w:cstheme="minorHAnsi"/>
          <w:b/>
        </w:rPr>
        <w:t>Figure S1.</w:t>
      </w:r>
      <w:r w:rsidRPr="00D93D2D">
        <w:rPr>
          <w:rFonts w:cstheme="minorHAnsi"/>
        </w:rPr>
        <w:t xml:space="preserve"> A </w:t>
      </w:r>
      <w:r w:rsidR="00BD6E76" w:rsidRPr="00D93D2D">
        <w:rPr>
          <w:rFonts w:cstheme="minorHAnsi"/>
        </w:rPr>
        <w:t xml:space="preserve">complete </w:t>
      </w:r>
      <w:r w:rsidRPr="00D93D2D">
        <w:rPr>
          <w:rFonts w:cstheme="minorHAnsi"/>
        </w:rPr>
        <w:t xml:space="preserve">graphic summary of per-sample transport cost for each </w:t>
      </w:r>
      <w:r w:rsidR="00BD6E76" w:rsidRPr="00D93D2D">
        <w:rPr>
          <w:rFonts w:cstheme="minorHAnsi"/>
        </w:rPr>
        <w:t>for</w:t>
      </w:r>
      <w:r w:rsidRPr="00D93D2D">
        <w:rPr>
          <w:rFonts w:cstheme="minorHAnsi"/>
        </w:rPr>
        <w:t xml:space="preserve"> </w:t>
      </w:r>
      <w:r w:rsidR="004D1530" w:rsidRPr="00D93D2D">
        <w:rPr>
          <w:rFonts w:cstheme="minorHAnsi"/>
        </w:rPr>
        <w:t>260 likely sample transport</w:t>
      </w:r>
      <w:r w:rsidRPr="00D93D2D">
        <w:rPr>
          <w:rFonts w:cstheme="minorHAnsi"/>
        </w:rPr>
        <w:t xml:space="preserve"> scenarios</w:t>
      </w:r>
      <w:r w:rsidR="004D1530" w:rsidRPr="00D93D2D">
        <w:rPr>
          <w:rFonts w:cstheme="minorHAnsi"/>
        </w:rPr>
        <w:t>,</w:t>
      </w:r>
      <w:r w:rsidRPr="00D93D2D">
        <w:rPr>
          <w:rFonts w:cstheme="minorHAnsi"/>
        </w:rPr>
        <w:t xml:space="preserve"> </w:t>
      </w:r>
      <w:r w:rsidR="00AE6FC6" w:rsidRPr="00D93D2D">
        <w:rPr>
          <w:rFonts w:cstheme="minorHAnsi"/>
        </w:rPr>
        <w:t>ordered by mean daily sputum sample transported to the DTC</w:t>
      </w:r>
      <w:r w:rsidR="004D1530" w:rsidRPr="00D93D2D">
        <w:rPr>
          <w:rFonts w:cstheme="minorHAnsi"/>
        </w:rPr>
        <w:t xml:space="preserve"> (x-axis) and exclusivity of the TB sample transported (in %)</w:t>
      </w:r>
    </w:p>
    <w:p w14:paraId="32C03DFA" w14:textId="23CC644D" w:rsidR="004D1530" w:rsidRPr="00D93D2D" w:rsidRDefault="004D1530" w:rsidP="00E24FDA">
      <w:pPr>
        <w:tabs>
          <w:tab w:val="left" w:pos="2430"/>
        </w:tabs>
        <w:jc w:val="both"/>
        <w:rPr>
          <w:rFonts w:cstheme="minorHAnsi"/>
        </w:rPr>
      </w:pPr>
      <w:r w:rsidRPr="00D93D2D">
        <w:rPr>
          <w:rFonts w:cstheme="minorHAnsi"/>
        </w:rPr>
        <w:t>Each line in the graph represents the exclusivity of TB sample transport (expressed in terms of percentage where 100% indicates sample transport network exclusively established to transport TB samples). All DTC daily test volume scenarios (between 10 to 70 or samples tested per day)</w:t>
      </w:r>
      <w:r w:rsidR="00E24FDA" w:rsidRPr="00D93D2D">
        <w:rPr>
          <w:rFonts w:cstheme="minorHAnsi"/>
        </w:rPr>
        <w:t xml:space="preserve"> and number of district microscopy centers (DMC, minimum 3 to maximum 39) </w:t>
      </w:r>
      <w:r w:rsidRPr="00D93D2D">
        <w:rPr>
          <w:rFonts w:cstheme="minorHAnsi"/>
        </w:rPr>
        <w:t xml:space="preserve">were </w:t>
      </w:r>
      <w:r w:rsidR="00E24FDA" w:rsidRPr="00D93D2D">
        <w:rPr>
          <w:rFonts w:cstheme="minorHAnsi"/>
        </w:rPr>
        <w:t xml:space="preserve">combined in this figure. </w:t>
      </w:r>
    </w:p>
    <w:p w14:paraId="3E17F0A0" w14:textId="77777777" w:rsidR="004D1530" w:rsidRPr="00D93D2D" w:rsidRDefault="004D1530" w:rsidP="00060BF2">
      <w:pPr>
        <w:tabs>
          <w:tab w:val="left" w:pos="2430"/>
        </w:tabs>
        <w:jc w:val="both"/>
        <w:rPr>
          <w:rFonts w:cstheme="minorHAnsi"/>
        </w:rPr>
      </w:pPr>
    </w:p>
    <w:p w14:paraId="4F196B7C" w14:textId="77777777" w:rsidR="009A3C9B" w:rsidRPr="00D93D2D" w:rsidRDefault="009A3C9B" w:rsidP="00060BF2">
      <w:pPr>
        <w:tabs>
          <w:tab w:val="left" w:pos="2430"/>
        </w:tabs>
        <w:jc w:val="both"/>
        <w:rPr>
          <w:rFonts w:cstheme="minorHAnsi"/>
        </w:rPr>
      </w:pPr>
    </w:p>
    <w:p w14:paraId="1D3D6078" w14:textId="77777777" w:rsidR="009A3C9B" w:rsidRPr="00D93D2D" w:rsidRDefault="009A3C9B" w:rsidP="00060BF2">
      <w:pPr>
        <w:tabs>
          <w:tab w:val="left" w:pos="2430"/>
        </w:tabs>
        <w:jc w:val="both"/>
        <w:rPr>
          <w:rFonts w:cstheme="minorHAnsi"/>
        </w:rPr>
      </w:pPr>
    </w:p>
    <w:p w14:paraId="56AAAF10" w14:textId="77777777" w:rsidR="009A3C9B" w:rsidRPr="00D93D2D" w:rsidRDefault="009A3C9B" w:rsidP="00060BF2">
      <w:pPr>
        <w:tabs>
          <w:tab w:val="left" w:pos="2430"/>
        </w:tabs>
        <w:jc w:val="both"/>
        <w:rPr>
          <w:rFonts w:cstheme="minorHAnsi"/>
        </w:rPr>
      </w:pPr>
    </w:p>
    <w:p w14:paraId="6D0ADFFD" w14:textId="77777777" w:rsidR="009A3C9B" w:rsidRPr="00D93D2D" w:rsidRDefault="009A3C9B" w:rsidP="00060BF2">
      <w:pPr>
        <w:tabs>
          <w:tab w:val="left" w:pos="2430"/>
        </w:tabs>
        <w:jc w:val="both"/>
        <w:rPr>
          <w:rFonts w:cstheme="minorHAnsi"/>
        </w:rPr>
      </w:pPr>
    </w:p>
    <w:p w14:paraId="553FCB52" w14:textId="77777777" w:rsidR="009A3C9B" w:rsidRPr="00D93D2D" w:rsidRDefault="009A3C9B" w:rsidP="00060BF2">
      <w:pPr>
        <w:tabs>
          <w:tab w:val="left" w:pos="2430"/>
        </w:tabs>
        <w:jc w:val="both"/>
        <w:rPr>
          <w:rFonts w:cstheme="minorHAnsi"/>
        </w:rPr>
      </w:pPr>
    </w:p>
    <w:p w14:paraId="0B67DD89" w14:textId="77777777" w:rsidR="009A3C9B" w:rsidRPr="00D93D2D" w:rsidRDefault="009A3C9B" w:rsidP="00060BF2">
      <w:pPr>
        <w:tabs>
          <w:tab w:val="left" w:pos="2430"/>
        </w:tabs>
        <w:jc w:val="both"/>
        <w:rPr>
          <w:rFonts w:cstheme="minorHAnsi"/>
        </w:rPr>
      </w:pPr>
    </w:p>
    <w:p w14:paraId="2AAA94F5" w14:textId="77777777" w:rsidR="009A3C9B" w:rsidRPr="00D93D2D" w:rsidRDefault="009A3C9B" w:rsidP="00060BF2">
      <w:pPr>
        <w:tabs>
          <w:tab w:val="left" w:pos="2430"/>
        </w:tabs>
        <w:jc w:val="both"/>
        <w:rPr>
          <w:rFonts w:cstheme="minorHAnsi"/>
        </w:rPr>
      </w:pPr>
    </w:p>
    <w:p w14:paraId="66D1C7D9" w14:textId="77777777" w:rsidR="009A3C9B" w:rsidRPr="00D93D2D" w:rsidRDefault="009A3C9B" w:rsidP="00060BF2">
      <w:pPr>
        <w:tabs>
          <w:tab w:val="left" w:pos="2430"/>
        </w:tabs>
        <w:jc w:val="both"/>
        <w:rPr>
          <w:rFonts w:cstheme="minorHAnsi"/>
        </w:rPr>
      </w:pPr>
    </w:p>
    <w:p w14:paraId="784660DC" w14:textId="77777777" w:rsidR="002F266B" w:rsidRPr="00D93D2D" w:rsidRDefault="002F266B" w:rsidP="00060BF2">
      <w:pPr>
        <w:tabs>
          <w:tab w:val="left" w:pos="2430"/>
        </w:tabs>
        <w:jc w:val="both"/>
        <w:rPr>
          <w:rFonts w:cstheme="minorHAnsi"/>
        </w:rPr>
      </w:pPr>
    </w:p>
    <w:p w14:paraId="18951D85" w14:textId="77777777" w:rsidR="009A3C9B" w:rsidRPr="00D93D2D" w:rsidRDefault="009A3C9B" w:rsidP="00060BF2">
      <w:pPr>
        <w:tabs>
          <w:tab w:val="left" w:pos="2430"/>
        </w:tabs>
        <w:jc w:val="both"/>
        <w:rPr>
          <w:rFonts w:cstheme="minorHAnsi"/>
        </w:rPr>
        <w:sectPr w:rsidR="009A3C9B" w:rsidRPr="00D93D2D" w:rsidSect="009A3C9B">
          <w:footnotePr>
            <w:numFmt w:val="chicago"/>
            <w:numStart w:val="2"/>
          </w:footnotePr>
          <w:pgSz w:w="12240" w:h="15840"/>
          <w:pgMar w:top="1440" w:right="1440" w:bottom="1440" w:left="1440" w:header="720" w:footer="720" w:gutter="0"/>
          <w:cols w:space="720"/>
          <w:docGrid w:linePitch="360"/>
        </w:sectPr>
      </w:pPr>
    </w:p>
    <w:p w14:paraId="305615CD" w14:textId="1A82F9DF" w:rsidR="002F266B" w:rsidRPr="00D93D2D" w:rsidRDefault="002F266B">
      <w:pPr>
        <w:rPr>
          <w:rFonts w:cstheme="minorHAnsi"/>
        </w:rPr>
      </w:pPr>
      <w:r w:rsidRPr="00D93D2D">
        <w:rPr>
          <w:rFonts w:cstheme="minorHAnsi"/>
          <w:noProof/>
        </w:rPr>
        <w:lastRenderedPageBreak/>
        <w:drawing>
          <wp:inline distT="0" distB="0" distL="0" distR="0" wp14:anchorId="71FD3158" wp14:editId="46410D65">
            <wp:extent cx="8224314" cy="2584982"/>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46494" cy="2591953"/>
                    </a:xfrm>
                    <a:prstGeom prst="rect">
                      <a:avLst/>
                    </a:prstGeom>
                    <a:noFill/>
                  </pic:spPr>
                </pic:pic>
              </a:graphicData>
            </a:graphic>
          </wp:inline>
        </w:drawing>
      </w:r>
    </w:p>
    <w:p w14:paraId="718F2572" w14:textId="77777777" w:rsidR="002F266B" w:rsidRPr="00D93D2D" w:rsidRDefault="002F266B" w:rsidP="002F266B">
      <w:pPr>
        <w:tabs>
          <w:tab w:val="left" w:pos="2430"/>
        </w:tabs>
        <w:jc w:val="both"/>
        <w:rPr>
          <w:rFonts w:cstheme="minorHAnsi"/>
        </w:rPr>
      </w:pPr>
      <w:r w:rsidRPr="00D93D2D">
        <w:rPr>
          <w:rFonts w:cstheme="minorHAnsi"/>
          <w:b/>
        </w:rPr>
        <w:t>Figure S2.</w:t>
      </w:r>
      <w:r w:rsidRPr="00D93D2D">
        <w:rPr>
          <w:rFonts w:cstheme="minorHAnsi"/>
        </w:rPr>
        <w:t xml:space="preserve"> Complete process overview of unit cost calculation for each Xpert testing scenarios. </w:t>
      </w:r>
    </w:p>
    <w:p w14:paraId="58F7C484" w14:textId="1924D08F" w:rsidR="002F266B" w:rsidRPr="00D93D2D" w:rsidRDefault="001134FB">
      <w:pPr>
        <w:rPr>
          <w:rFonts w:cstheme="minorHAnsi"/>
        </w:rPr>
      </w:pPr>
      <w:r w:rsidRPr="00D93D2D">
        <w:rPr>
          <w:rFonts w:cstheme="minorHAnsi"/>
        </w:rPr>
        <w:t xml:space="preserve">For each district TB center (DTC) volume scenarios, we assessed a range hub-and-spoke sample transport network arrangement based on the total distance traveled and the number of district microscopy centers (DMC) associated with each DTC (Step 1). Originally, a total of 500 possible sample transport scenarios were evaluated. We eliminated highly unlikely scenarios – scenarios with more than 100 samples transported per day in a single district TB center (DTC) region (Step 2) and total daily travel distance greater than 250km (Step 3) – based on India’s current TB health system structure. We then developed a reference table for sample transport cost based on total volume transported and relevant DTC categories (Step 4, Table 7). Then, we matched and assigned daily sample transport costs to the DTC daily test costs based on DTC daily test volumes (Step 5, see section 1.3) to compute mean DTC testing costs inclusive of sample transport.  </w:t>
      </w:r>
    </w:p>
    <w:p w14:paraId="6DF82F02" w14:textId="653060C0" w:rsidR="00DE7916" w:rsidRPr="00D93D2D" w:rsidRDefault="00DE7916">
      <w:pPr>
        <w:rPr>
          <w:rFonts w:cstheme="minorHAnsi"/>
        </w:rPr>
      </w:pPr>
    </w:p>
    <w:p w14:paraId="0BFC9DDD" w14:textId="7540E147" w:rsidR="00DE7916" w:rsidRPr="00D93D2D" w:rsidRDefault="00DE7916">
      <w:pPr>
        <w:rPr>
          <w:rFonts w:cstheme="minorHAnsi"/>
        </w:rPr>
      </w:pPr>
    </w:p>
    <w:p w14:paraId="550F5142" w14:textId="47AD438B" w:rsidR="00DE7916" w:rsidRPr="00D93D2D" w:rsidRDefault="00DE7916">
      <w:pPr>
        <w:rPr>
          <w:rFonts w:cstheme="minorHAnsi"/>
        </w:rPr>
      </w:pPr>
    </w:p>
    <w:p w14:paraId="5D04FAEB" w14:textId="408DC22D" w:rsidR="00DE7916" w:rsidRPr="00D93D2D" w:rsidRDefault="00DE7916">
      <w:pPr>
        <w:rPr>
          <w:rFonts w:cstheme="minorHAnsi"/>
        </w:rPr>
      </w:pPr>
    </w:p>
    <w:p w14:paraId="195EFE7C" w14:textId="6C558F1F" w:rsidR="00202599" w:rsidRPr="00D93D2D" w:rsidRDefault="00202599">
      <w:pPr>
        <w:rPr>
          <w:rFonts w:cstheme="minorHAnsi"/>
        </w:rPr>
      </w:pPr>
    </w:p>
    <w:p w14:paraId="29607B52" w14:textId="00055BC5" w:rsidR="00202599" w:rsidRPr="00D93D2D" w:rsidRDefault="006A5101">
      <w:pPr>
        <w:rPr>
          <w:rFonts w:cstheme="minorHAnsi"/>
        </w:rPr>
      </w:pPr>
      <w:r w:rsidRPr="00D93D2D">
        <w:rPr>
          <w:rFonts w:cstheme="minorHAnsi"/>
          <w:noProof/>
        </w:rPr>
        <w:lastRenderedPageBreak/>
        <w:drawing>
          <wp:inline distT="0" distB="0" distL="0" distR="0" wp14:anchorId="2661C486" wp14:editId="0A61B697">
            <wp:extent cx="8229319" cy="53822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b="2720"/>
                    <a:stretch/>
                  </pic:blipFill>
                  <pic:spPr bwMode="auto">
                    <a:xfrm>
                      <a:off x="0" y="0"/>
                      <a:ext cx="8229319" cy="5382285"/>
                    </a:xfrm>
                    <a:prstGeom prst="rect">
                      <a:avLst/>
                    </a:prstGeom>
                    <a:noFill/>
                    <a:ln>
                      <a:noFill/>
                    </a:ln>
                    <a:extLst>
                      <a:ext uri="{53640926-AAD7-44D8-BBD7-CCE9431645EC}">
                        <a14:shadowObscured xmlns:a14="http://schemas.microsoft.com/office/drawing/2010/main"/>
                      </a:ext>
                    </a:extLst>
                  </pic:spPr>
                </pic:pic>
              </a:graphicData>
            </a:graphic>
          </wp:inline>
        </w:drawing>
      </w:r>
    </w:p>
    <w:p w14:paraId="19ACF5C1" w14:textId="6D50761F" w:rsidR="00A70CBF" w:rsidRPr="00D93D2D" w:rsidRDefault="00202599">
      <w:pPr>
        <w:rPr>
          <w:rFonts w:cstheme="minorHAnsi"/>
        </w:rPr>
      </w:pPr>
      <w:r w:rsidRPr="00D93D2D">
        <w:rPr>
          <w:rFonts w:cstheme="minorHAnsi"/>
          <w:b/>
        </w:rPr>
        <w:t>Figure S3</w:t>
      </w:r>
      <w:r w:rsidR="006A5101" w:rsidRPr="00D93D2D">
        <w:rPr>
          <w:rFonts w:cstheme="minorHAnsi"/>
          <w:b/>
        </w:rPr>
        <w:t>.</w:t>
      </w:r>
      <w:r w:rsidR="006A5101" w:rsidRPr="00D93D2D">
        <w:rPr>
          <w:rFonts w:cstheme="minorHAnsi"/>
        </w:rPr>
        <w:t xml:space="preserve"> Illustrative summary of cost difference of decentralized Xpert testing (DMC) compared to centralized Xpert testing (DTC).</w:t>
      </w:r>
      <w:r w:rsidR="00A70CBF" w:rsidRPr="00D93D2D">
        <w:rPr>
          <w:rFonts w:cstheme="minorHAnsi"/>
        </w:rPr>
        <w:br w:type="page"/>
      </w:r>
    </w:p>
    <w:p w14:paraId="58CF8953" w14:textId="77777777" w:rsidR="008E7CB9" w:rsidRPr="00D93D2D" w:rsidRDefault="008E7CB9" w:rsidP="00060BF2">
      <w:pPr>
        <w:tabs>
          <w:tab w:val="left" w:pos="2430"/>
        </w:tabs>
        <w:jc w:val="both"/>
        <w:rPr>
          <w:rFonts w:cstheme="minorHAnsi"/>
          <w:i/>
        </w:rPr>
        <w:sectPr w:rsidR="008E7CB9" w:rsidRPr="00D93D2D" w:rsidSect="00A70CBF">
          <w:footnotePr>
            <w:numFmt w:val="chicago"/>
            <w:numStart w:val="2"/>
          </w:footnotePr>
          <w:pgSz w:w="15840" w:h="12240" w:orient="landscape"/>
          <w:pgMar w:top="1440" w:right="1440" w:bottom="1440" w:left="1440" w:header="720" w:footer="720" w:gutter="0"/>
          <w:cols w:space="720"/>
          <w:docGrid w:linePitch="360"/>
        </w:sectPr>
      </w:pPr>
    </w:p>
    <w:p w14:paraId="2854E104" w14:textId="72AA8866" w:rsidR="00E9532B" w:rsidRPr="00D93D2D" w:rsidRDefault="00B614B1" w:rsidP="00B614B1">
      <w:pPr>
        <w:rPr>
          <w:rFonts w:cstheme="minorHAnsi"/>
        </w:rPr>
      </w:pPr>
      <w:r w:rsidRPr="00D93D2D">
        <w:rPr>
          <w:rFonts w:cstheme="minorHAnsi"/>
        </w:rPr>
        <w:lastRenderedPageBreak/>
        <w:t xml:space="preserve">Each panel (e.g. Panel A) represents cost difference calculated for each decentralized Xpert testing scenario (presented by DMC volume – DMC 0.1 indicated DMC’s mean daily testing volume of 0.1) compared against varied levels of centralized testing volumes (DTC 10 to 70+) and the exclusivity of TB samples transported (5 to 100%). Red cells represent scenarios where decentralized Xpert testing would be more expensive than centralized testing whereas blue cells represent scenarios in which decentralized test costs would be favored over centralized testing, after accounting for sample transport costs (Panel B). Panel C is the complete illustrative overview of the cost differences of decentralized Xpert  compared to centralized testing for all DMC, DTC, and exclusivity of TB sample transported scenarios.   </w:t>
      </w:r>
    </w:p>
    <w:p w14:paraId="5B3032D1" w14:textId="39304D2B" w:rsidR="00066DF3" w:rsidRPr="00D93D2D" w:rsidRDefault="00066DF3" w:rsidP="00066DF3">
      <w:pPr>
        <w:pStyle w:val="Heading2"/>
        <w:jc w:val="both"/>
        <w:rPr>
          <w:rFonts w:cstheme="minorHAnsi"/>
        </w:rPr>
      </w:pPr>
      <w:bookmarkStart w:id="6" w:name="_Toc12877760"/>
      <w:r>
        <w:rPr>
          <w:rFonts w:cstheme="minorHAnsi"/>
        </w:rPr>
        <w:t>Sensitivity analysis of GeneXpert equipment useful life – a worked example</w:t>
      </w:r>
      <w:bookmarkEnd w:id="6"/>
      <w:r w:rsidRPr="00D93D2D">
        <w:rPr>
          <w:rFonts w:cstheme="minorHAnsi"/>
        </w:rPr>
        <w:t xml:space="preserve"> </w:t>
      </w:r>
    </w:p>
    <w:p w14:paraId="54D68B0A" w14:textId="7C8B1057" w:rsidR="00E9532B" w:rsidRPr="009A35D4" w:rsidRDefault="00016FB6" w:rsidP="00B614B1">
      <w:pPr>
        <w:rPr>
          <w:rFonts w:cstheme="minorHAnsi"/>
        </w:rPr>
      </w:pPr>
      <w:r w:rsidRPr="009A35D4">
        <w:rPr>
          <w:rFonts w:cstheme="minorHAnsi"/>
        </w:rPr>
        <w:t>The a</w:t>
      </w:r>
      <w:r w:rsidR="00E9532B" w:rsidRPr="009A35D4">
        <w:rPr>
          <w:rFonts w:cstheme="minorHAnsi"/>
        </w:rPr>
        <w:t xml:space="preserve">nnual cost of the GeneXpert system (IV or </w:t>
      </w:r>
      <w:r w:rsidRPr="009A35D4">
        <w:rPr>
          <w:rFonts w:cstheme="minorHAnsi"/>
        </w:rPr>
        <w:t>single-module</w:t>
      </w:r>
      <w:r w:rsidR="00E9532B" w:rsidRPr="009A35D4">
        <w:rPr>
          <w:rFonts w:cstheme="minorHAnsi"/>
        </w:rPr>
        <w:t>) was assessed by combining annuitized equipment procurement cost</w:t>
      </w:r>
      <w:r w:rsidRPr="009A35D4">
        <w:rPr>
          <w:rFonts w:cstheme="minorHAnsi"/>
        </w:rPr>
        <w:t>s</w:t>
      </w:r>
      <w:r w:rsidR="00E9532B" w:rsidRPr="009A35D4">
        <w:rPr>
          <w:rFonts w:cstheme="minorHAnsi"/>
        </w:rPr>
        <w:t xml:space="preserve"> (20% mark-up on equipment list price</w:t>
      </w:r>
      <w:r w:rsidRPr="009A35D4">
        <w:rPr>
          <w:rFonts w:cstheme="minorHAnsi"/>
        </w:rPr>
        <w:t>, then</w:t>
      </w:r>
      <w:r w:rsidR="00E9532B" w:rsidRPr="009A35D4">
        <w:rPr>
          <w:rFonts w:cstheme="minorHAnsi"/>
        </w:rPr>
        <w:t xml:space="preserve"> dividing this estimate by</w:t>
      </w:r>
      <w:r w:rsidRPr="009A35D4">
        <w:rPr>
          <w:rFonts w:cstheme="minorHAnsi"/>
        </w:rPr>
        <w:t xml:space="preserve"> an</w:t>
      </w:r>
      <w:r w:rsidR="00E9532B" w:rsidRPr="009A35D4">
        <w:rPr>
          <w:rFonts w:cstheme="minorHAnsi"/>
        </w:rPr>
        <w:t xml:space="preserve"> annuali</w:t>
      </w:r>
      <w:r w:rsidRPr="009A35D4">
        <w:rPr>
          <w:rFonts w:cstheme="minorHAnsi"/>
        </w:rPr>
        <w:t>zation</w:t>
      </w:r>
      <w:r w:rsidR="00E9532B" w:rsidRPr="009A35D4">
        <w:rPr>
          <w:rFonts w:cstheme="minorHAnsi"/>
        </w:rPr>
        <w:t xml:space="preserve"> factor [AF]). AF is calculated based on the following equation: </w:t>
      </w:r>
    </w:p>
    <w:p w14:paraId="338995BD" w14:textId="77777777" w:rsidR="0074528F" w:rsidRPr="009A35D4" w:rsidRDefault="0074528F" w:rsidP="00B614B1">
      <w:pPr>
        <w:rPr>
          <w:rFonts w:cstheme="minorHAnsi"/>
        </w:rPr>
      </w:pPr>
    </w:p>
    <w:p w14:paraId="192F7FEF" w14:textId="40424422" w:rsidR="00E9532B" w:rsidRPr="009A35D4" w:rsidRDefault="00E9532B" w:rsidP="00E9532B">
      <w:pPr>
        <w:jc w:val="center"/>
        <w:rPr>
          <w:rFonts w:cstheme="minorHAnsi"/>
          <w:i/>
          <w:iCs/>
        </w:rPr>
      </w:pPr>
      <w:r w:rsidRPr="009A35D4">
        <w:rPr>
          <w:rFonts w:cstheme="minorHAnsi"/>
          <w:i/>
          <w:iCs/>
        </w:rPr>
        <w:t>AF = (1-DF)/r, where DF = 1/(1+r)</w:t>
      </w:r>
      <w:r w:rsidRPr="009A35D4">
        <w:rPr>
          <w:rFonts w:cstheme="minorHAnsi"/>
          <w:i/>
          <w:iCs/>
          <w:vertAlign w:val="superscript"/>
        </w:rPr>
        <w:t>n</w:t>
      </w:r>
      <w:r w:rsidRPr="009A35D4">
        <w:rPr>
          <w:rFonts w:cstheme="minorHAnsi"/>
          <w:i/>
          <w:iCs/>
        </w:rPr>
        <w:t>, n = expected useful life (years) and r = discount rate</w:t>
      </w:r>
    </w:p>
    <w:p w14:paraId="493CA956" w14:textId="77777777" w:rsidR="0074528F" w:rsidRPr="009A35D4" w:rsidRDefault="0074528F" w:rsidP="00E9532B">
      <w:pPr>
        <w:jc w:val="center"/>
        <w:rPr>
          <w:rFonts w:cstheme="minorHAnsi"/>
        </w:rPr>
      </w:pPr>
    </w:p>
    <w:p w14:paraId="4E5E184E" w14:textId="0F895A7D" w:rsidR="001E5AF7" w:rsidRPr="009A35D4" w:rsidRDefault="001E5AF7" w:rsidP="00E9532B">
      <w:pPr>
        <w:rPr>
          <w:rFonts w:cstheme="minorHAnsi"/>
        </w:rPr>
      </w:pPr>
      <w:r w:rsidRPr="009A35D4">
        <w:rPr>
          <w:rFonts w:cstheme="minorHAnsi"/>
        </w:rPr>
        <w:t xml:space="preserve">For example, if we assume 2 years of </w:t>
      </w:r>
      <w:r w:rsidR="0074528F" w:rsidRPr="009A35D4">
        <w:rPr>
          <w:rFonts w:cstheme="minorHAnsi"/>
        </w:rPr>
        <w:t xml:space="preserve">equipment </w:t>
      </w:r>
      <w:r w:rsidRPr="009A35D4">
        <w:rPr>
          <w:rFonts w:cstheme="minorHAnsi"/>
        </w:rPr>
        <w:t xml:space="preserve">useful life </w:t>
      </w:r>
      <w:r w:rsidR="0074528F" w:rsidRPr="009A35D4">
        <w:rPr>
          <w:rFonts w:cstheme="minorHAnsi"/>
        </w:rPr>
        <w:t xml:space="preserve">years </w:t>
      </w:r>
      <w:r w:rsidRPr="009A35D4">
        <w:rPr>
          <w:rFonts w:cstheme="minorHAnsi"/>
        </w:rPr>
        <w:t>(</w:t>
      </w:r>
      <w:r w:rsidR="0074528F" w:rsidRPr="009A35D4">
        <w:rPr>
          <w:rFonts w:cstheme="minorHAnsi"/>
        </w:rPr>
        <w:t>ELY</w:t>
      </w:r>
      <w:r w:rsidRPr="009A35D4">
        <w:rPr>
          <w:rFonts w:cstheme="minorHAnsi"/>
        </w:rPr>
        <w:t xml:space="preserve">) under </w:t>
      </w:r>
      <w:r w:rsidR="00016FB6" w:rsidRPr="009A35D4">
        <w:rPr>
          <w:rFonts w:cstheme="minorHAnsi"/>
        </w:rPr>
        <w:t xml:space="preserve">a </w:t>
      </w:r>
      <w:r w:rsidRPr="009A35D4">
        <w:rPr>
          <w:rFonts w:cstheme="minorHAnsi"/>
        </w:rPr>
        <w:t xml:space="preserve">3% </w:t>
      </w:r>
      <w:r w:rsidR="00016FB6" w:rsidRPr="009A35D4">
        <w:rPr>
          <w:rFonts w:cstheme="minorHAnsi"/>
        </w:rPr>
        <w:t xml:space="preserve">annual </w:t>
      </w:r>
      <w:r w:rsidRPr="009A35D4">
        <w:rPr>
          <w:rFonts w:cstheme="minorHAnsi"/>
        </w:rPr>
        <w:t xml:space="preserve">discount rate, AF will be 1.9135. We repeated this calculation for a total of four different </w:t>
      </w:r>
      <w:r w:rsidR="0074528F" w:rsidRPr="009A35D4">
        <w:rPr>
          <w:rFonts w:cstheme="minorHAnsi"/>
        </w:rPr>
        <w:t>ELY</w:t>
      </w:r>
      <w:r w:rsidRPr="009A35D4">
        <w:rPr>
          <w:rFonts w:cstheme="minorHAnsi"/>
        </w:rPr>
        <w:t xml:space="preserve"> scenarios (2, 5, 10, and 15 years) relevant for the GeneXpert system where the table of AF is shown below: </w:t>
      </w:r>
    </w:p>
    <w:tbl>
      <w:tblPr>
        <w:tblW w:w="3480" w:type="dxa"/>
        <w:jc w:val="center"/>
        <w:tblLook w:val="04A0" w:firstRow="1" w:lastRow="0" w:firstColumn="1" w:lastColumn="0" w:noHBand="0" w:noVBand="1"/>
      </w:tblPr>
      <w:tblGrid>
        <w:gridCol w:w="1740"/>
        <w:gridCol w:w="1740"/>
      </w:tblGrid>
      <w:tr w:rsidR="001E5AF7" w:rsidRPr="009A35D4" w14:paraId="1132FAB6" w14:textId="77777777" w:rsidTr="009A35D4">
        <w:trPr>
          <w:trHeight w:val="817"/>
          <w:jc w:val="center"/>
        </w:trPr>
        <w:tc>
          <w:tcPr>
            <w:tcW w:w="174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39E78105" w14:textId="77777777" w:rsidR="001E5AF7" w:rsidRPr="009A35D4" w:rsidRDefault="001E5AF7" w:rsidP="001E5AF7">
            <w:pPr>
              <w:spacing w:after="0" w:line="240" w:lineRule="auto"/>
              <w:jc w:val="center"/>
              <w:rPr>
                <w:rFonts w:eastAsia="Times New Roman" w:cstheme="minorHAnsi"/>
                <w:b/>
                <w:bCs/>
                <w:sz w:val="20"/>
                <w:szCs w:val="20"/>
              </w:rPr>
            </w:pPr>
            <w:r w:rsidRPr="009A35D4">
              <w:rPr>
                <w:rFonts w:eastAsia="Times New Roman" w:cstheme="minorHAnsi"/>
                <w:b/>
                <w:bCs/>
                <w:sz w:val="20"/>
                <w:szCs w:val="20"/>
              </w:rPr>
              <w:t>Useful Life (years)</w:t>
            </w:r>
          </w:p>
        </w:tc>
        <w:tc>
          <w:tcPr>
            <w:tcW w:w="1740" w:type="dxa"/>
            <w:tcBorders>
              <w:top w:val="single" w:sz="4" w:space="0" w:color="auto"/>
              <w:left w:val="nil"/>
              <w:bottom w:val="single" w:sz="4" w:space="0" w:color="auto"/>
              <w:right w:val="single" w:sz="4" w:space="0" w:color="auto"/>
            </w:tcBorders>
            <w:shd w:val="clear" w:color="000000" w:fill="A6A6A6"/>
            <w:vAlign w:val="center"/>
            <w:hideMark/>
          </w:tcPr>
          <w:p w14:paraId="014D6547" w14:textId="77777777" w:rsidR="001E5AF7" w:rsidRPr="009A35D4" w:rsidRDefault="001E5AF7" w:rsidP="001E5AF7">
            <w:pPr>
              <w:spacing w:after="0" w:line="240" w:lineRule="auto"/>
              <w:jc w:val="center"/>
              <w:rPr>
                <w:rFonts w:eastAsia="Times New Roman" w:cstheme="minorHAnsi"/>
                <w:b/>
                <w:bCs/>
                <w:sz w:val="20"/>
                <w:szCs w:val="20"/>
              </w:rPr>
            </w:pPr>
            <w:r w:rsidRPr="009A35D4">
              <w:rPr>
                <w:rFonts w:eastAsia="Times New Roman" w:cstheme="minorHAnsi"/>
                <w:b/>
                <w:bCs/>
                <w:sz w:val="20"/>
                <w:szCs w:val="20"/>
              </w:rPr>
              <w:t>Annualization Factor</w:t>
            </w:r>
          </w:p>
        </w:tc>
      </w:tr>
      <w:tr w:rsidR="001E5AF7" w:rsidRPr="009A35D4" w14:paraId="4445D46F" w14:textId="77777777" w:rsidTr="009A35D4">
        <w:trPr>
          <w:trHeight w:val="292"/>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BC8C825"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30</w:t>
            </w:r>
          </w:p>
        </w:tc>
        <w:tc>
          <w:tcPr>
            <w:tcW w:w="1740" w:type="dxa"/>
            <w:tcBorders>
              <w:top w:val="nil"/>
              <w:left w:val="nil"/>
              <w:bottom w:val="single" w:sz="4" w:space="0" w:color="auto"/>
              <w:right w:val="single" w:sz="4" w:space="0" w:color="auto"/>
            </w:tcBorders>
            <w:shd w:val="clear" w:color="auto" w:fill="auto"/>
            <w:noWrap/>
            <w:vAlign w:val="bottom"/>
            <w:hideMark/>
          </w:tcPr>
          <w:p w14:paraId="10B32958"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19.6004</w:t>
            </w:r>
          </w:p>
        </w:tc>
      </w:tr>
      <w:tr w:rsidR="001E5AF7" w:rsidRPr="009A35D4" w14:paraId="4DCB5645" w14:textId="77777777" w:rsidTr="009A35D4">
        <w:trPr>
          <w:trHeight w:val="292"/>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5F37A65"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15</w:t>
            </w:r>
          </w:p>
        </w:tc>
        <w:tc>
          <w:tcPr>
            <w:tcW w:w="1740" w:type="dxa"/>
            <w:tcBorders>
              <w:top w:val="nil"/>
              <w:left w:val="nil"/>
              <w:bottom w:val="single" w:sz="4" w:space="0" w:color="auto"/>
              <w:right w:val="single" w:sz="4" w:space="0" w:color="auto"/>
            </w:tcBorders>
            <w:shd w:val="clear" w:color="auto" w:fill="auto"/>
            <w:noWrap/>
            <w:vAlign w:val="bottom"/>
            <w:hideMark/>
          </w:tcPr>
          <w:p w14:paraId="28AB46E4"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11.9379</w:t>
            </w:r>
          </w:p>
        </w:tc>
      </w:tr>
      <w:tr w:rsidR="001E5AF7" w:rsidRPr="009A35D4" w14:paraId="71B25417" w14:textId="77777777" w:rsidTr="009A35D4">
        <w:trPr>
          <w:trHeight w:val="292"/>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CB96CD0"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10</w:t>
            </w:r>
          </w:p>
        </w:tc>
        <w:tc>
          <w:tcPr>
            <w:tcW w:w="1740" w:type="dxa"/>
            <w:tcBorders>
              <w:top w:val="nil"/>
              <w:left w:val="nil"/>
              <w:bottom w:val="single" w:sz="4" w:space="0" w:color="auto"/>
              <w:right w:val="single" w:sz="4" w:space="0" w:color="auto"/>
            </w:tcBorders>
            <w:shd w:val="clear" w:color="auto" w:fill="auto"/>
            <w:noWrap/>
            <w:vAlign w:val="bottom"/>
            <w:hideMark/>
          </w:tcPr>
          <w:p w14:paraId="40900F93"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8.5302</w:t>
            </w:r>
          </w:p>
        </w:tc>
      </w:tr>
      <w:tr w:rsidR="001E5AF7" w:rsidRPr="009A35D4" w14:paraId="30FAB068" w14:textId="77777777" w:rsidTr="009A35D4">
        <w:trPr>
          <w:trHeight w:val="292"/>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150E074"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5</w:t>
            </w:r>
          </w:p>
        </w:tc>
        <w:tc>
          <w:tcPr>
            <w:tcW w:w="1740" w:type="dxa"/>
            <w:tcBorders>
              <w:top w:val="nil"/>
              <w:left w:val="nil"/>
              <w:bottom w:val="single" w:sz="4" w:space="0" w:color="auto"/>
              <w:right w:val="single" w:sz="4" w:space="0" w:color="auto"/>
            </w:tcBorders>
            <w:shd w:val="clear" w:color="auto" w:fill="auto"/>
            <w:noWrap/>
            <w:vAlign w:val="bottom"/>
            <w:hideMark/>
          </w:tcPr>
          <w:p w14:paraId="76BFA3C5"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4.5797</w:t>
            </w:r>
          </w:p>
        </w:tc>
      </w:tr>
      <w:tr w:rsidR="001E5AF7" w:rsidRPr="009A35D4" w14:paraId="3D48F5C6" w14:textId="77777777" w:rsidTr="009A35D4">
        <w:trPr>
          <w:trHeight w:val="292"/>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C4E58BB"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2</w:t>
            </w:r>
          </w:p>
        </w:tc>
        <w:tc>
          <w:tcPr>
            <w:tcW w:w="1740" w:type="dxa"/>
            <w:tcBorders>
              <w:top w:val="nil"/>
              <w:left w:val="nil"/>
              <w:bottom w:val="single" w:sz="4" w:space="0" w:color="auto"/>
              <w:right w:val="single" w:sz="4" w:space="0" w:color="auto"/>
            </w:tcBorders>
            <w:shd w:val="clear" w:color="auto" w:fill="auto"/>
            <w:noWrap/>
            <w:vAlign w:val="bottom"/>
            <w:hideMark/>
          </w:tcPr>
          <w:p w14:paraId="04AEB456" w14:textId="77777777" w:rsidR="001E5AF7" w:rsidRPr="009A35D4" w:rsidRDefault="001E5AF7" w:rsidP="001E5AF7">
            <w:pPr>
              <w:spacing w:after="0" w:line="240" w:lineRule="auto"/>
              <w:jc w:val="center"/>
              <w:rPr>
                <w:rFonts w:eastAsia="Times New Roman" w:cstheme="minorHAnsi"/>
                <w:color w:val="000000"/>
              </w:rPr>
            </w:pPr>
            <w:r w:rsidRPr="009A35D4">
              <w:rPr>
                <w:rFonts w:eastAsia="Times New Roman" w:cstheme="minorHAnsi"/>
                <w:color w:val="000000"/>
              </w:rPr>
              <w:t>1.9135</w:t>
            </w:r>
          </w:p>
        </w:tc>
      </w:tr>
    </w:tbl>
    <w:p w14:paraId="28BDF19A" w14:textId="19EA59E5" w:rsidR="001E5AF7" w:rsidRPr="009A35D4" w:rsidRDefault="001E5AF7" w:rsidP="00E9532B">
      <w:pPr>
        <w:rPr>
          <w:rFonts w:cstheme="minorHAnsi"/>
        </w:rPr>
      </w:pPr>
      <w:r w:rsidRPr="009A35D4">
        <w:rPr>
          <w:rFonts w:cstheme="minorHAnsi"/>
        </w:rPr>
        <w:t xml:space="preserve"> </w:t>
      </w:r>
    </w:p>
    <w:p w14:paraId="4E875B77" w14:textId="7C248605" w:rsidR="001E5AF7" w:rsidRPr="009A35D4" w:rsidRDefault="001E5AF7" w:rsidP="00E9532B">
      <w:pPr>
        <w:rPr>
          <w:rFonts w:cstheme="minorHAnsi"/>
        </w:rPr>
      </w:pPr>
      <w:r w:rsidRPr="009A35D4">
        <w:rPr>
          <w:rFonts w:cstheme="minorHAnsi"/>
          <w:b/>
          <w:bCs/>
        </w:rPr>
        <w:t>Table S</w:t>
      </w:r>
      <w:r w:rsidR="00DD25D9" w:rsidRPr="009A35D4">
        <w:rPr>
          <w:rFonts w:cstheme="minorHAnsi"/>
          <w:b/>
          <w:bCs/>
        </w:rPr>
        <w:t>9.</w:t>
      </w:r>
      <w:r w:rsidR="00DD25D9" w:rsidRPr="009A35D4">
        <w:rPr>
          <w:rFonts w:cstheme="minorHAnsi"/>
        </w:rPr>
        <w:t xml:space="preserve"> Annualization factor associated with relevant useful life assumed for capital assets.</w:t>
      </w:r>
    </w:p>
    <w:p w14:paraId="43ACF697" w14:textId="6EE19644" w:rsidR="00DD25D9" w:rsidRPr="009A35D4" w:rsidRDefault="00DD25D9" w:rsidP="00DD25D9">
      <w:pPr>
        <w:rPr>
          <w:rFonts w:cstheme="minorHAnsi"/>
        </w:rPr>
      </w:pPr>
      <w:r w:rsidRPr="009A35D4">
        <w:rPr>
          <w:rFonts w:cstheme="minorHAnsi"/>
        </w:rPr>
        <w:t xml:space="preserve">Using this table, we provide </w:t>
      </w:r>
      <w:r w:rsidR="00E9532B" w:rsidRPr="009A35D4">
        <w:rPr>
          <w:rFonts w:cstheme="minorHAnsi"/>
        </w:rPr>
        <w:t xml:space="preserve">an example of two MC test volume scenarios </w:t>
      </w:r>
      <w:r w:rsidR="001E5AF7" w:rsidRPr="009A35D4">
        <w:rPr>
          <w:rFonts w:cstheme="minorHAnsi"/>
        </w:rPr>
        <w:t>(0.3. and 3 per day) to demonstrate differences in mean per-test costs for four different</w:t>
      </w:r>
      <w:r w:rsidRPr="009A35D4">
        <w:rPr>
          <w:rFonts w:cstheme="minorHAnsi"/>
        </w:rPr>
        <w:t xml:space="preserve"> </w:t>
      </w:r>
      <w:r w:rsidR="0074528F" w:rsidRPr="009A35D4">
        <w:rPr>
          <w:rFonts w:cstheme="minorHAnsi"/>
        </w:rPr>
        <w:t>ELY</w:t>
      </w:r>
      <w:r w:rsidRPr="009A35D4">
        <w:rPr>
          <w:rFonts w:cstheme="minorHAnsi"/>
        </w:rPr>
        <w:t xml:space="preserve"> levels</w:t>
      </w:r>
      <w:r w:rsidR="001E5AF7" w:rsidRPr="009A35D4">
        <w:rPr>
          <w:rFonts w:cstheme="minorHAnsi"/>
        </w:rPr>
        <w:t xml:space="preserve"> assumed for </w:t>
      </w:r>
      <w:r w:rsidR="00016FB6" w:rsidRPr="009A35D4">
        <w:rPr>
          <w:rFonts w:cstheme="minorHAnsi"/>
        </w:rPr>
        <w:t xml:space="preserve">single-module </w:t>
      </w:r>
      <w:r w:rsidR="001E5AF7" w:rsidRPr="009A35D4">
        <w:rPr>
          <w:rFonts w:cstheme="minorHAnsi"/>
        </w:rPr>
        <w:t xml:space="preserve">GeneXpert (10 years of useful life was used for our main analysis). </w:t>
      </w:r>
      <w:r w:rsidRPr="009A35D4">
        <w:rPr>
          <w:rFonts w:cstheme="minorHAnsi"/>
        </w:rPr>
        <w:t xml:space="preserve">In doing so, we first repeated </w:t>
      </w:r>
      <w:r w:rsidR="00016FB6" w:rsidRPr="009A35D4">
        <w:rPr>
          <w:rFonts w:cstheme="minorHAnsi"/>
        </w:rPr>
        <w:t xml:space="preserve">the </w:t>
      </w:r>
      <w:r w:rsidRPr="009A35D4">
        <w:rPr>
          <w:rFonts w:cstheme="minorHAnsi"/>
        </w:rPr>
        <w:t>steps provided in Section 1.2 to develop index per-test unit cost</w:t>
      </w:r>
      <w:r w:rsidR="00016FB6" w:rsidRPr="009A35D4">
        <w:rPr>
          <w:rFonts w:cstheme="minorHAnsi"/>
        </w:rPr>
        <w:t>s</w:t>
      </w:r>
      <w:r w:rsidRPr="009A35D4">
        <w:rPr>
          <w:rFonts w:cstheme="minorHAnsi"/>
        </w:rPr>
        <w:t xml:space="preserve"> </w:t>
      </w:r>
      <w:r w:rsidR="00016FB6" w:rsidRPr="009A35D4">
        <w:rPr>
          <w:rFonts w:cstheme="minorHAnsi"/>
        </w:rPr>
        <w:t>according to the</w:t>
      </w:r>
      <w:r w:rsidR="0074528F" w:rsidRPr="009A35D4">
        <w:rPr>
          <w:rFonts w:cstheme="minorHAnsi"/>
        </w:rPr>
        <w:t xml:space="preserve"> number of GeneXpert</w:t>
      </w:r>
      <w:r w:rsidR="00016FB6" w:rsidRPr="009A35D4">
        <w:rPr>
          <w:rFonts w:cstheme="minorHAnsi"/>
        </w:rPr>
        <w:t xml:space="preserve"> devices</w:t>
      </w:r>
      <w:r w:rsidR="0074528F" w:rsidRPr="009A35D4">
        <w:rPr>
          <w:rFonts w:cstheme="minorHAnsi"/>
        </w:rPr>
        <w:t xml:space="preserve"> procured </w:t>
      </w:r>
      <w:r w:rsidR="00016FB6" w:rsidRPr="009A35D4">
        <w:rPr>
          <w:rFonts w:cstheme="minorHAnsi"/>
        </w:rPr>
        <w:t xml:space="preserve">and the number of tests performed </w:t>
      </w:r>
      <w:r w:rsidR="0074528F" w:rsidRPr="009A35D4">
        <w:rPr>
          <w:rFonts w:cstheme="minorHAnsi"/>
        </w:rPr>
        <w:t xml:space="preserve">at the MC </w:t>
      </w:r>
      <w:r w:rsidR="00016FB6" w:rsidRPr="009A35D4">
        <w:rPr>
          <w:rFonts w:cstheme="minorHAnsi"/>
        </w:rPr>
        <w:t xml:space="preserve">level </w:t>
      </w:r>
      <w:r w:rsidR="0074528F" w:rsidRPr="009A35D4">
        <w:rPr>
          <w:rFonts w:cstheme="minorHAnsi"/>
        </w:rPr>
        <w:t xml:space="preserve">(Table S10, orange colored cells are primary estimates used in our main analysis). </w:t>
      </w:r>
      <w:r w:rsidR="003F60A7" w:rsidRPr="009A35D4">
        <w:rPr>
          <w:rFonts w:cstheme="minorHAnsi"/>
        </w:rPr>
        <w:t>“0” tests represent</w:t>
      </w:r>
      <w:r w:rsidR="00016FB6" w:rsidRPr="009A35D4">
        <w:rPr>
          <w:rFonts w:cstheme="minorHAnsi"/>
        </w:rPr>
        <w:t>s</w:t>
      </w:r>
      <w:r w:rsidR="003F60A7" w:rsidRPr="009A35D4">
        <w:rPr>
          <w:rFonts w:cstheme="minorHAnsi"/>
        </w:rPr>
        <w:t xml:space="preserve"> a scenario in which the laboratory would not perform any test using the GeneXpert machine (i.e. no Xpert test performed) and the cost represents </w:t>
      </w:r>
      <w:r w:rsidR="00506D5E" w:rsidRPr="009A35D4">
        <w:rPr>
          <w:rFonts w:cstheme="minorHAnsi"/>
        </w:rPr>
        <w:t xml:space="preserve">only </w:t>
      </w:r>
      <w:r w:rsidR="003F60A7" w:rsidRPr="009A35D4">
        <w:rPr>
          <w:rFonts w:cstheme="minorHAnsi"/>
        </w:rPr>
        <w:t xml:space="preserve">the daily opportunity cost of ownership of the GeneXpert system. In the example below, </w:t>
      </w:r>
      <w:r w:rsidR="00506D5E" w:rsidRPr="009A35D4">
        <w:rPr>
          <w:rFonts w:cstheme="minorHAnsi"/>
        </w:rPr>
        <w:t>the per-test unit cost of Xpert</w:t>
      </w:r>
      <w:r w:rsidR="003F60A7" w:rsidRPr="009A35D4">
        <w:rPr>
          <w:rFonts w:cstheme="minorHAnsi"/>
        </w:rPr>
        <w:t xml:space="preserve"> ranged between $4.</w:t>
      </w:r>
      <w:r w:rsidR="00584042" w:rsidRPr="009A35D4">
        <w:rPr>
          <w:rFonts w:cstheme="minorHAnsi"/>
        </w:rPr>
        <w:t>16</w:t>
      </w:r>
      <w:r w:rsidR="003F60A7" w:rsidRPr="009A35D4">
        <w:rPr>
          <w:rFonts w:cstheme="minorHAnsi"/>
        </w:rPr>
        <w:t xml:space="preserve"> to $20.52 depending on the number of GeneXpert</w:t>
      </w:r>
      <w:r w:rsidR="00506D5E" w:rsidRPr="009A35D4">
        <w:rPr>
          <w:rFonts w:cstheme="minorHAnsi"/>
        </w:rPr>
        <w:t xml:space="preserve"> modules</w:t>
      </w:r>
      <w:r w:rsidR="003F60A7" w:rsidRPr="009A35D4">
        <w:rPr>
          <w:rFonts w:cstheme="minorHAnsi"/>
        </w:rPr>
        <w:t xml:space="preserve"> procured and </w:t>
      </w:r>
      <w:r w:rsidR="00506D5E" w:rsidRPr="009A35D4">
        <w:rPr>
          <w:rFonts w:cstheme="minorHAnsi"/>
        </w:rPr>
        <w:t>the estimated</w:t>
      </w:r>
      <w:r w:rsidR="003F60A7" w:rsidRPr="009A35D4">
        <w:rPr>
          <w:rFonts w:cstheme="minorHAnsi"/>
        </w:rPr>
        <w:t xml:space="preserve"> ELY</w:t>
      </w:r>
      <w:r w:rsidR="00680D88">
        <w:rPr>
          <w:rFonts w:cstheme="minorHAnsi"/>
        </w:rPr>
        <w:t>.</w:t>
      </w:r>
      <w:bookmarkStart w:id="7" w:name="_GoBack"/>
      <w:bookmarkEnd w:id="7"/>
    </w:p>
    <w:tbl>
      <w:tblPr>
        <w:tblW w:w="9180" w:type="dxa"/>
        <w:tblLook w:val="04A0" w:firstRow="1" w:lastRow="0" w:firstColumn="1" w:lastColumn="0" w:noHBand="0" w:noVBand="1"/>
      </w:tblPr>
      <w:tblGrid>
        <w:gridCol w:w="1020"/>
        <w:gridCol w:w="1020"/>
        <w:gridCol w:w="1020"/>
        <w:gridCol w:w="1020"/>
        <w:gridCol w:w="1020"/>
        <w:gridCol w:w="1020"/>
        <w:gridCol w:w="1020"/>
        <w:gridCol w:w="1020"/>
        <w:gridCol w:w="1020"/>
      </w:tblGrid>
      <w:tr w:rsidR="00EB0541" w:rsidRPr="00EB0541" w14:paraId="027758EA" w14:textId="77777777" w:rsidTr="00EB0541">
        <w:trPr>
          <w:trHeight w:val="292"/>
        </w:trPr>
        <w:tc>
          <w:tcPr>
            <w:tcW w:w="102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D4253AE" w14:textId="77777777" w:rsidR="00EB0541" w:rsidRPr="00EB0541" w:rsidRDefault="00EB0541" w:rsidP="00EB0541">
            <w:pPr>
              <w:spacing w:after="0" w:line="240" w:lineRule="auto"/>
              <w:jc w:val="center"/>
              <w:rPr>
                <w:rFonts w:ascii="Calibri" w:eastAsia="Times New Roman" w:hAnsi="Calibri" w:cs="Calibri"/>
                <w:b/>
                <w:bCs/>
                <w:color w:val="000000"/>
              </w:rPr>
            </w:pPr>
            <w:r w:rsidRPr="00EB0541">
              <w:rPr>
                <w:rFonts w:ascii="Calibri" w:eastAsia="Times New Roman" w:hAnsi="Calibri" w:cs="Calibri"/>
                <w:b/>
                <w:bCs/>
                <w:color w:val="000000"/>
              </w:rPr>
              <w:lastRenderedPageBreak/>
              <w:t># tests</w:t>
            </w:r>
          </w:p>
        </w:tc>
        <w:tc>
          <w:tcPr>
            <w:tcW w:w="4080" w:type="dxa"/>
            <w:gridSpan w:val="4"/>
            <w:tcBorders>
              <w:top w:val="single" w:sz="4" w:space="0" w:color="auto"/>
              <w:left w:val="nil"/>
              <w:bottom w:val="single" w:sz="4" w:space="0" w:color="auto"/>
              <w:right w:val="single" w:sz="4" w:space="0" w:color="auto"/>
            </w:tcBorders>
            <w:shd w:val="clear" w:color="000000" w:fill="A6A6A6"/>
            <w:noWrap/>
            <w:vAlign w:val="bottom"/>
            <w:hideMark/>
          </w:tcPr>
          <w:p w14:paraId="749126A1" w14:textId="77777777" w:rsidR="00EB0541" w:rsidRPr="00EB0541" w:rsidRDefault="00EB0541" w:rsidP="00EB0541">
            <w:pPr>
              <w:spacing w:after="0" w:line="240" w:lineRule="auto"/>
              <w:jc w:val="center"/>
              <w:rPr>
                <w:rFonts w:ascii="Calibri" w:eastAsia="Times New Roman" w:hAnsi="Calibri" w:cs="Calibri"/>
                <w:color w:val="000000"/>
              </w:rPr>
            </w:pPr>
            <w:r w:rsidRPr="00EB0541">
              <w:rPr>
                <w:rFonts w:ascii="Calibri" w:eastAsia="Times New Roman" w:hAnsi="Calibri" w:cs="Calibri"/>
                <w:color w:val="000000"/>
              </w:rPr>
              <w:t xml:space="preserve">1 GeneXpert Omni </w:t>
            </w:r>
          </w:p>
        </w:tc>
        <w:tc>
          <w:tcPr>
            <w:tcW w:w="4080" w:type="dxa"/>
            <w:gridSpan w:val="4"/>
            <w:tcBorders>
              <w:top w:val="single" w:sz="4" w:space="0" w:color="auto"/>
              <w:left w:val="nil"/>
              <w:bottom w:val="single" w:sz="4" w:space="0" w:color="auto"/>
              <w:right w:val="single" w:sz="4" w:space="0" w:color="auto"/>
            </w:tcBorders>
            <w:shd w:val="clear" w:color="000000" w:fill="A6A6A6"/>
            <w:noWrap/>
            <w:vAlign w:val="bottom"/>
            <w:hideMark/>
          </w:tcPr>
          <w:p w14:paraId="7F83E865" w14:textId="77777777" w:rsidR="00EB0541" w:rsidRPr="00EB0541" w:rsidRDefault="00EB0541" w:rsidP="00EB0541">
            <w:pPr>
              <w:spacing w:after="0" w:line="240" w:lineRule="auto"/>
              <w:jc w:val="center"/>
              <w:rPr>
                <w:rFonts w:ascii="Calibri" w:eastAsia="Times New Roman" w:hAnsi="Calibri" w:cs="Calibri"/>
                <w:color w:val="000000"/>
              </w:rPr>
            </w:pPr>
            <w:r w:rsidRPr="00EB0541">
              <w:rPr>
                <w:rFonts w:ascii="Calibri" w:eastAsia="Times New Roman" w:hAnsi="Calibri" w:cs="Calibri"/>
                <w:color w:val="000000"/>
              </w:rPr>
              <w:t xml:space="preserve">2 GeneXpert Omni </w:t>
            </w:r>
          </w:p>
        </w:tc>
      </w:tr>
      <w:tr w:rsidR="00EB0541" w:rsidRPr="00EB0541" w14:paraId="46E99698" w14:textId="77777777" w:rsidTr="00EB0541">
        <w:trPr>
          <w:trHeight w:val="292"/>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379AC3FA" w14:textId="77777777" w:rsidR="00EB0541" w:rsidRPr="00EB0541" w:rsidRDefault="00EB0541" w:rsidP="00EB0541">
            <w:pPr>
              <w:spacing w:after="0" w:line="240" w:lineRule="auto"/>
              <w:rPr>
                <w:rFonts w:ascii="Calibri" w:eastAsia="Times New Roman" w:hAnsi="Calibri" w:cs="Calibri"/>
                <w:b/>
                <w:bCs/>
                <w:color w:val="000000"/>
              </w:rPr>
            </w:pPr>
          </w:p>
        </w:tc>
        <w:tc>
          <w:tcPr>
            <w:tcW w:w="4080"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475D25CA" w14:textId="77777777" w:rsidR="00EB0541" w:rsidRPr="00EB0541" w:rsidRDefault="00EB0541" w:rsidP="00EB0541">
            <w:pPr>
              <w:spacing w:after="0" w:line="240" w:lineRule="auto"/>
              <w:jc w:val="center"/>
              <w:rPr>
                <w:rFonts w:ascii="Calibri" w:eastAsia="Times New Roman" w:hAnsi="Calibri" w:cs="Calibri"/>
                <w:b/>
                <w:bCs/>
                <w:color w:val="000000"/>
              </w:rPr>
            </w:pPr>
            <w:r w:rsidRPr="00EB0541">
              <w:rPr>
                <w:rFonts w:ascii="Calibri" w:eastAsia="Times New Roman" w:hAnsi="Calibri" w:cs="Calibri"/>
                <w:b/>
                <w:bCs/>
                <w:color w:val="000000"/>
              </w:rPr>
              <w:t>Estimated Useful Life (years)</w:t>
            </w:r>
          </w:p>
        </w:tc>
        <w:tc>
          <w:tcPr>
            <w:tcW w:w="4080"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5B7F8A4D" w14:textId="77777777" w:rsidR="00EB0541" w:rsidRPr="00EB0541" w:rsidRDefault="00EB0541" w:rsidP="00EB0541">
            <w:pPr>
              <w:spacing w:after="0" w:line="240" w:lineRule="auto"/>
              <w:jc w:val="center"/>
              <w:rPr>
                <w:rFonts w:ascii="Calibri" w:eastAsia="Times New Roman" w:hAnsi="Calibri" w:cs="Calibri"/>
                <w:b/>
                <w:bCs/>
                <w:color w:val="000000"/>
              </w:rPr>
            </w:pPr>
            <w:r w:rsidRPr="00EB0541">
              <w:rPr>
                <w:rFonts w:ascii="Calibri" w:eastAsia="Times New Roman" w:hAnsi="Calibri" w:cs="Calibri"/>
                <w:b/>
                <w:bCs/>
                <w:color w:val="000000"/>
              </w:rPr>
              <w:t>Estimated Useful Life (years)</w:t>
            </w:r>
          </w:p>
        </w:tc>
      </w:tr>
      <w:tr w:rsidR="00EB0541" w:rsidRPr="00EB0541" w14:paraId="0CDD7E87" w14:textId="77777777" w:rsidTr="00EB0541">
        <w:trPr>
          <w:trHeight w:val="292"/>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0A433145" w14:textId="77777777" w:rsidR="00EB0541" w:rsidRPr="00EB0541" w:rsidRDefault="00EB0541" w:rsidP="00EB0541">
            <w:pPr>
              <w:spacing w:after="0" w:line="240" w:lineRule="auto"/>
              <w:rPr>
                <w:rFonts w:ascii="Calibri" w:eastAsia="Times New Roman" w:hAnsi="Calibri" w:cs="Calibri"/>
                <w:b/>
                <w:bCs/>
                <w:color w:val="000000"/>
              </w:rPr>
            </w:pPr>
          </w:p>
        </w:tc>
        <w:tc>
          <w:tcPr>
            <w:tcW w:w="1020" w:type="dxa"/>
            <w:tcBorders>
              <w:top w:val="nil"/>
              <w:left w:val="nil"/>
              <w:bottom w:val="single" w:sz="4" w:space="0" w:color="auto"/>
              <w:right w:val="single" w:sz="4" w:space="0" w:color="auto"/>
            </w:tcBorders>
            <w:shd w:val="clear" w:color="000000" w:fill="D9D9D9"/>
            <w:noWrap/>
            <w:vAlign w:val="center"/>
            <w:hideMark/>
          </w:tcPr>
          <w:p w14:paraId="4EC5D4B2" w14:textId="77777777" w:rsidR="00EB0541" w:rsidRPr="00EB0541" w:rsidRDefault="00EB0541" w:rsidP="00EB0541">
            <w:pPr>
              <w:spacing w:after="0" w:line="240" w:lineRule="auto"/>
              <w:jc w:val="center"/>
              <w:rPr>
                <w:rFonts w:ascii="Calibri" w:eastAsia="Times New Roman" w:hAnsi="Calibri" w:cs="Calibri"/>
                <w:i/>
                <w:iCs/>
                <w:color w:val="000000"/>
              </w:rPr>
            </w:pPr>
            <w:r w:rsidRPr="00EB0541">
              <w:rPr>
                <w:rFonts w:ascii="Calibri" w:eastAsia="Times New Roman" w:hAnsi="Calibri" w:cs="Calibri"/>
                <w:i/>
                <w:iCs/>
                <w:color w:val="000000"/>
              </w:rPr>
              <w:t>2</w:t>
            </w:r>
          </w:p>
        </w:tc>
        <w:tc>
          <w:tcPr>
            <w:tcW w:w="1020" w:type="dxa"/>
            <w:tcBorders>
              <w:top w:val="nil"/>
              <w:left w:val="nil"/>
              <w:bottom w:val="single" w:sz="4" w:space="0" w:color="auto"/>
              <w:right w:val="single" w:sz="4" w:space="0" w:color="auto"/>
            </w:tcBorders>
            <w:shd w:val="clear" w:color="000000" w:fill="D9D9D9"/>
            <w:noWrap/>
            <w:vAlign w:val="center"/>
            <w:hideMark/>
          </w:tcPr>
          <w:p w14:paraId="167D8616" w14:textId="77777777" w:rsidR="00EB0541" w:rsidRPr="00EB0541" w:rsidRDefault="00EB0541" w:rsidP="00EB0541">
            <w:pPr>
              <w:spacing w:after="0" w:line="240" w:lineRule="auto"/>
              <w:jc w:val="center"/>
              <w:rPr>
                <w:rFonts w:ascii="Calibri" w:eastAsia="Times New Roman" w:hAnsi="Calibri" w:cs="Calibri"/>
                <w:i/>
                <w:iCs/>
                <w:color w:val="000000"/>
              </w:rPr>
            </w:pPr>
            <w:r w:rsidRPr="00EB0541">
              <w:rPr>
                <w:rFonts w:ascii="Calibri" w:eastAsia="Times New Roman" w:hAnsi="Calibri" w:cs="Calibri"/>
                <w:i/>
                <w:iCs/>
                <w:color w:val="000000"/>
              </w:rPr>
              <w:t>5</w:t>
            </w:r>
          </w:p>
        </w:tc>
        <w:tc>
          <w:tcPr>
            <w:tcW w:w="1020" w:type="dxa"/>
            <w:tcBorders>
              <w:top w:val="nil"/>
              <w:left w:val="nil"/>
              <w:bottom w:val="single" w:sz="4" w:space="0" w:color="auto"/>
              <w:right w:val="single" w:sz="4" w:space="0" w:color="auto"/>
            </w:tcBorders>
            <w:shd w:val="clear" w:color="000000" w:fill="D9D9D9"/>
            <w:noWrap/>
            <w:vAlign w:val="center"/>
            <w:hideMark/>
          </w:tcPr>
          <w:p w14:paraId="688DB02A" w14:textId="77777777" w:rsidR="00EB0541" w:rsidRPr="00EB0541" w:rsidRDefault="00EB0541" w:rsidP="00EB0541">
            <w:pPr>
              <w:spacing w:after="0" w:line="240" w:lineRule="auto"/>
              <w:jc w:val="center"/>
              <w:rPr>
                <w:rFonts w:ascii="Calibri" w:eastAsia="Times New Roman" w:hAnsi="Calibri" w:cs="Calibri"/>
                <w:i/>
                <w:iCs/>
                <w:color w:val="000000"/>
              </w:rPr>
            </w:pPr>
            <w:r w:rsidRPr="00EB0541">
              <w:rPr>
                <w:rFonts w:ascii="Calibri" w:eastAsia="Times New Roman" w:hAnsi="Calibri" w:cs="Calibri"/>
                <w:i/>
                <w:iCs/>
                <w:color w:val="000000"/>
              </w:rPr>
              <w:t>10</w:t>
            </w:r>
          </w:p>
        </w:tc>
        <w:tc>
          <w:tcPr>
            <w:tcW w:w="1020" w:type="dxa"/>
            <w:tcBorders>
              <w:top w:val="nil"/>
              <w:left w:val="nil"/>
              <w:bottom w:val="single" w:sz="4" w:space="0" w:color="auto"/>
              <w:right w:val="single" w:sz="4" w:space="0" w:color="auto"/>
            </w:tcBorders>
            <w:shd w:val="clear" w:color="000000" w:fill="D9D9D9"/>
            <w:noWrap/>
            <w:vAlign w:val="center"/>
            <w:hideMark/>
          </w:tcPr>
          <w:p w14:paraId="1EAC219D" w14:textId="77777777" w:rsidR="00EB0541" w:rsidRPr="00EB0541" w:rsidRDefault="00EB0541" w:rsidP="00EB0541">
            <w:pPr>
              <w:spacing w:after="0" w:line="240" w:lineRule="auto"/>
              <w:jc w:val="center"/>
              <w:rPr>
                <w:rFonts w:ascii="Calibri" w:eastAsia="Times New Roman" w:hAnsi="Calibri" w:cs="Calibri"/>
                <w:i/>
                <w:iCs/>
                <w:color w:val="000000"/>
              </w:rPr>
            </w:pPr>
            <w:r w:rsidRPr="00EB0541">
              <w:rPr>
                <w:rFonts w:ascii="Calibri" w:eastAsia="Times New Roman" w:hAnsi="Calibri" w:cs="Calibri"/>
                <w:i/>
                <w:iCs/>
                <w:color w:val="000000"/>
              </w:rPr>
              <w:t>15</w:t>
            </w:r>
          </w:p>
        </w:tc>
        <w:tc>
          <w:tcPr>
            <w:tcW w:w="1020" w:type="dxa"/>
            <w:tcBorders>
              <w:top w:val="nil"/>
              <w:left w:val="nil"/>
              <w:bottom w:val="single" w:sz="4" w:space="0" w:color="auto"/>
              <w:right w:val="single" w:sz="4" w:space="0" w:color="auto"/>
            </w:tcBorders>
            <w:shd w:val="clear" w:color="000000" w:fill="D9D9D9"/>
            <w:noWrap/>
            <w:vAlign w:val="center"/>
            <w:hideMark/>
          </w:tcPr>
          <w:p w14:paraId="4C923C28" w14:textId="77777777" w:rsidR="00EB0541" w:rsidRPr="00EB0541" w:rsidRDefault="00EB0541" w:rsidP="00EB0541">
            <w:pPr>
              <w:spacing w:after="0" w:line="240" w:lineRule="auto"/>
              <w:jc w:val="center"/>
              <w:rPr>
                <w:rFonts w:ascii="Calibri" w:eastAsia="Times New Roman" w:hAnsi="Calibri" w:cs="Calibri"/>
                <w:i/>
                <w:iCs/>
                <w:color w:val="000000"/>
              </w:rPr>
            </w:pPr>
            <w:r w:rsidRPr="00EB0541">
              <w:rPr>
                <w:rFonts w:ascii="Calibri" w:eastAsia="Times New Roman" w:hAnsi="Calibri" w:cs="Calibri"/>
                <w:i/>
                <w:iCs/>
                <w:color w:val="000000"/>
              </w:rPr>
              <w:t>2</w:t>
            </w:r>
          </w:p>
        </w:tc>
        <w:tc>
          <w:tcPr>
            <w:tcW w:w="1020" w:type="dxa"/>
            <w:tcBorders>
              <w:top w:val="nil"/>
              <w:left w:val="nil"/>
              <w:bottom w:val="single" w:sz="4" w:space="0" w:color="auto"/>
              <w:right w:val="single" w:sz="4" w:space="0" w:color="auto"/>
            </w:tcBorders>
            <w:shd w:val="clear" w:color="000000" w:fill="D9D9D9"/>
            <w:noWrap/>
            <w:vAlign w:val="center"/>
            <w:hideMark/>
          </w:tcPr>
          <w:p w14:paraId="211AA63F" w14:textId="77777777" w:rsidR="00EB0541" w:rsidRPr="00EB0541" w:rsidRDefault="00EB0541" w:rsidP="00EB0541">
            <w:pPr>
              <w:spacing w:after="0" w:line="240" w:lineRule="auto"/>
              <w:jc w:val="center"/>
              <w:rPr>
                <w:rFonts w:ascii="Calibri" w:eastAsia="Times New Roman" w:hAnsi="Calibri" w:cs="Calibri"/>
                <w:i/>
                <w:iCs/>
                <w:color w:val="000000"/>
              </w:rPr>
            </w:pPr>
            <w:r w:rsidRPr="00EB0541">
              <w:rPr>
                <w:rFonts w:ascii="Calibri" w:eastAsia="Times New Roman" w:hAnsi="Calibri" w:cs="Calibri"/>
                <w:i/>
                <w:iCs/>
                <w:color w:val="000000"/>
              </w:rPr>
              <w:t>5</w:t>
            </w:r>
          </w:p>
        </w:tc>
        <w:tc>
          <w:tcPr>
            <w:tcW w:w="1020" w:type="dxa"/>
            <w:tcBorders>
              <w:top w:val="nil"/>
              <w:left w:val="nil"/>
              <w:bottom w:val="single" w:sz="4" w:space="0" w:color="auto"/>
              <w:right w:val="single" w:sz="4" w:space="0" w:color="auto"/>
            </w:tcBorders>
            <w:shd w:val="clear" w:color="000000" w:fill="D9D9D9"/>
            <w:noWrap/>
            <w:vAlign w:val="center"/>
            <w:hideMark/>
          </w:tcPr>
          <w:p w14:paraId="16687EF4" w14:textId="77777777" w:rsidR="00EB0541" w:rsidRPr="00EB0541" w:rsidRDefault="00EB0541" w:rsidP="00EB0541">
            <w:pPr>
              <w:spacing w:after="0" w:line="240" w:lineRule="auto"/>
              <w:jc w:val="center"/>
              <w:rPr>
                <w:rFonts w:ascii="Calibri" w:eastAsia="Times New Roman" w:hAnsi="Calibri" w:cs="Calibri"/>
                <w:i/>
                <w:iCs/>
                <w:color w:val="000000"/>
              </w:rPr>
            </w:pPr>
            <w:r w:rsidRPr="00EB0541">
              <w:rPr>
                <w:rFonts w:ascii="Calibri" w:eastAsia="Times New Roman" w:hAnsi="Calibri" w:cs="Calibri"/>
                <w:i/>
                <w:iCs/>
                <w:color w:val="000000"/>
              </w:rPr>
              <w:t>10</w:t>
            </w:r>
          </w:p>
        </w:tc>
        <w:tc>
          <w:tcPr>
            <w:tcW w:w="1020" w:type="dxa"/>
            <w:tcBorders>
              <w:top w:val="nil"/>
              <w:left w:val="nil"/>
              <w:bottom w:val="single" w:sz="4" w:space="0" w:color="auto"/>
              <w:right w:val="single" w:sz="4" w:space="0" w:color="auto"/>
            </w:tcBorders>
            <w:shd w:val="clear" w:color="000000" w:fill="D9D9D9"/>
            <w:noWrap/>
            <w:vAlign w:val="center"/>
            <w:hideMark/>
          </w:tcPr>
          <w:p w14:paraId="41DB15BB" w14:textId="77777777" w:rsidR="00EB0541" w:rsidRPr="00EB0541" w:rsidRDefault="00EB0541" w:rsidP="00EB0541">
            <w:pPr>
              <w:spacing w:after="0" w:line="240" w:lineRule="auto"/>
              <w:jc w:val="center"/>
              <w:rPr>
                <w:rFonts w:ascii="Calibri" w:eastAsia="Times New Roman" w:hAnsi="Calibri" w:cs="Calibri"/>
                <w:i/>
                <w:iCs/>
                <w:color w:val="000000"/>
              </w:rPr>
            </w:pPr>
            <w:r w:rsidRPr="00EB0541">
              <w:rPr>
                <w:rFonts w:ascii="Calibri" w:eastAsia="Times New Roman" w:hAnsi="Calibri" w:cs="Calibri"/>
                <w:i/>
                <w:iCs/>
                <w:color w:val="000000"/>
              </w:rPr>
              <w:t>15</w:t>
            </w:r>
          </w:p>
        </w:tc>
      </w:tr>
      <w:tr w:rsidR="00EB0541" w:rsidRPr="00EB0541" w14:paraId="426E202C" w14:textId="77777777" w:rsidTr="00EB0541">
        <w:trPr>
          <w:trHeight w:val="2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84BC17C"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0</w:t>
            </w:r>
          </w:p>
        </w:tc>
        <w:tc>
          <w:tcPr>
            <w:tcW w:w="1020" w:type="dxa"/>
            <w:tcBorders>
              <w:top w:val="nil"/>
              <w:left w:val="nil"/>
              <w:bottom w:val="single" w:sz="4" w:space="0" w:color="auto"/>
              <w:right w:val="single" w:sz="4" w:space="0" w:color="auto"/>
            </w:tcBorders>
            <w:shd w:val="clear" w:color="auto" w:fill="auto"/>
            <w:noWrap/>
            <w:vAlign w:val="bottom"/>
            <w:hideMark/>
          </w:tcPr>
          <w:p w14:paraId="7D4A6D9D"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$10.26</w:t>
            </w:r>
          </w:p>
        </w:tc>
        <w:tc>
          <w:tcPr>
            <w:tcW w:w="1020" w:type="dxa"/>
            <w:tcBorders>
              <w:top w:val="nil"/>
              <w:left w:val="nil"/>
              <w:bottom w:val="single" w:sz="4" w:space="0" w:color="auto"/>
              <w:right w:val="single" w:sz="4" w:space="0" w:color="auto"/>
            </w:tcBorders>
            <w:shd w:val="clear" w:color="auto" w:fill="auto"/>
            <w:noWrap/>
            <w:vAlign w:val="bottom"/>
            <w:hideMark/>
          </w:tcPr>
          <w:p w14:paraId="2B5C0963"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$6.03</w:t>
            </w:r>
          </w:p>
        </w:tc>
        <w:tc>
          <w:tcPr>
            <w:tcW w:w="1020" w:type="dxa"/>
            <w:tcBorders>
              <w:top w:val="nil"/>
              <w:left w:val="nil"/>
              <w:bottom w:val="single" w:sz="4" w:space="0" w:color="auto"/>
              <w:right w:val="single" w:sz="4" w:space="0" w:color="auto"/>
            </w:tcBorders>
            <w:shd w:val="clear" w:color="000000" w:fill="F8CBAD"/>
            <w:noWrap/>
            <w:vAlign w:val="bottom"/>
            <w:hideMark/>
          </w:tcPr>
          <w:p w14:paraId="04E0DD6E"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$4.63</w:t>
            </w:r>
          </w:p>
        </w:tc>
        <w:tc>
          <w:tcPr>
            <w:tcW w:w="1020" w:type="dxa"/>
            <w:tcBorders>
              <w:top w:val="nil"/>
              <w:left w:val="nil"/>
              <w:bottom w:val="single" w:sz="4" w:space="0" w:color="auto"/>
              <w:right w:val="single" w:sz="4" w:space="0" w:color="auto"/>
            </w:tcBorders>
            <w:shd w:val="clear" w:color="auto" w:fill="auto"/>
            <w:noWrap/>
            <w:vAlign w:val="bottom"/>
            <w:hideMark/>
          </w:tcPr>
          <w:p w14:paraId="419B7CDC"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$4.16</w:t>
            </w:r>
          </w:p>
        </w:tc>
        <w:tc>
          <w:tcPr>
            <w:tcW w:w="1020" w:type="dxa"/>
            <w:tcBorders>
              <w:top w:val="nil"/>
              <w:left w:val="nil"/>
              <w:bottom w:val="single" w:sz="4" w:space="0" w:color="auto"/>
              <w:right w:val="single" w:sz="4" w:space="0" w:color="auto"/>
            </w:tcBorders>
            <w:shd w:val="clear" w:color="auto" w:fill="auto"/>
            <w:noWrap/>
            <w:vAlign w:val="bottom"/>
            <w:hideMark/>
          </w:tcPr>
          <w:p w14:paraId="0511CABC"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$20.52</w:t>
            </w:r>
          </w:p>
        </w:tc>
        <w:tc>
          <w:tcPr>
            <w:tcW w:w="1020" w:type="dxa"/>
            <w:tcBorders>
              <w:top w:val="nil"/>
              <w:left w:val="nil"/>
              <w:bottom w:val="single" w:sz="4" w:space="0" w:color="auto"/>
              <w:right w:val="single" w:sz="4" w:space="0" w:color="auto"/>
            </w:tcBorders>
            <w:shd w:val="clear" w:color="auto" w:fill="auto"/>
            <w:noWrap/>
            <w:vAlign w:val="bottom"/>
            <w:hideMark/>
          </w:tcPr>
          <w:p w14:paraId="169B345D"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$12.07</w:t>
            </w:r>
          </w:p>
        </w:tc>
        <w:tc>
          <w:tcPr>
            <w:tcW w:w="1020" w:type="dxa"/>
            <w:tcBorders>
              <w:top w:val="nil"/>
              <w:left w:val="nil"/>
              <w:bottom w:val="single" w:sz="4" w:space="0" w:color="auto"/>
              <w:right w:val="single" w:sz="4" w:space="0" w:color="auto"/>
            </w:tcBorders>
            <w:shd w:val="clear" w:color="000000" w:fill="F8CBAD"/>
            <w:noWrap/>
            <w:vAlign w:val="bottom"/>
            <w:hideMark/>
          </w:tcPr>
          <w:p w14:paraId="5B3491C0"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$9.26</w:t>
            </w:r>
          </w:p>
        </w:tc>
        <w:tc>
          <w:tcPr>
            <w:tcW w:w="1020" w:type="dxa"/>
            <w:tcBorders>
              <w:top w:val="nil"/>
              <w:left w:val="nil"/>
              <w:bottom w:val="single" w:sz="4" w:space="0" w:color="auto"/>
              <w:right w:val="single" w:sz="4" w:space="0" w:color="auto"/>
            </w:tcBorders>
            <w:shd w:val="clear" w:color="auto" w:fill="auto"/>
            <w:noWrap/>
            <w:vAlign w:val="bottom"/>
            <w:hideMark/>
          </w:tcPr>
          <w:p w14:paraId="0AC854E9"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$8.33</w:t>
            </w:r>
          </w:p>
        </w:tc>
      </w:tr>
      <w:tr w:rsidR="00EB0541" w:rsidRPr="00EB0541" w14:paraId="5EC9EF4C" w14:textId="77777777" w:rsidTr="00EB0541">
        <w:trPr>
          <w:trHeight w:val="2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5D5144D"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w:t>
            </w:r>
          </w:p>
        </w:tc>
        <w:tc>
          <w:tcPr>
            <w:tcW w:w="1020" w:type="dxa"/>
            <w:tcBorders>
              <w:top w:val="nil"/>
              <w:left w:val="nil"/>
              <w:bottom w:val="single" w:sz="4" w:space="0" w:color="auto"/>
              <w:right w:val="single" w:sz="4" w:space="0" w:color="auto"/>
            </w:tcBorders>
            <w:shd w:val="clear" w:color="auto" w:fill="auto"/>
            <w:noWrap/>
            <w:vAlign w:val="bottom"/>
            <w:hideMark/>
          </w:tcPr>
          <w:p w14:paraId="2A78790F"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$26.30</w:t>
            </w:r>
          </w:p>
        </w:tc>
        <w:tc>
          <w:tcPr>
            <w:tcW w:w="1020" w:type="dxa"/>
            <w:tcBorders>
              <w:top w:val="nil"/>
              <w:left w:val="nil"/>
              <w:bottom w:val="single" w:sz="4" w:space="0" w:color="auto"/>
              <w:right w:val="single" w:sz="4" w:space="0" w:color="auto"/>
            </w:tcBorders>
            <w:shd w:val="clear" w:color="auto" w:fill="auto"/>
            <w:noWrap/>
            <w:vAlign w:val="bottom"/>
            <w:hideMark/>
          </w:tcPr>
          <w:p w14:paraId="6AC8F8EE"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$20.62</w:t>
            </w:r>
          </w:p>
        </w:tc>
        <w:tc>
          <w:tcPr>
            <w:tcW w:w="1020" w:type="dxa"/>
            <w:tcBorders>
              <w:top w:val="nil"/>
              <w:left w:val="nil"/>
              <w:bottom w:val="single" w:sz="4" w:space="0" w:color="auto"/>
              <w:right w:val="single" w:sz="4" w:space="0" w:color="auto"/>
            </w:tcBorders>
            <w:shd w:val="clear" w:color="000000" w:fill="F8CBAD"/>
            <w:noWrap/>
            <w:vAlign w:val="bottom"/>
            <w:hideMark/>
          </w:tcPr>
          <w:p w14:paraId="3B02C36A"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$18.55</w:t>
            </w:r>
          </w:p>
        </w:tc>
        <w:tc>
          <w:tcPr>
            <w:tcW w:w="1020" w:type="dxa"/>
            <w:tcBorders>
              <w:top w:val="nil"/>
              <w:left w:val="nil"/>
              <w:bottom w:val="single" w:sz="4" w:space="0" w:color="auto"/>
              <w:right w:val="single" w:sz="4" w:space="0" w:color="auto"/>
            </w:tcBorders>
            <w:shd w:val="clear" w:color="auto" w:fill="auto"/>
            <w:noWrap/>
            <w:vAlign w:val="bottom"/>
            <w:hideMark/>
          </w:tcPr>
          <w:p w14:paraId="740F8435"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$18.02</w:t>
            </w:r>
          </w:p>
        </w:tc>
        <w:tc>
          <w:tcPr>
            <w:tcW w:w="1020" w:type="dxa"/>
            <w:tcBorders>
              <w:top w:val="nil"/>
              <w:left w:val="nil"/>
              <w:bottom w:val="single" w:sz="4" w:space="0" w:color="auto"/>
              <w:right w:val="single" w:sz="4" w:space="0" w:color="auto"/>
            </w:tcBorders>
            <w:shd w:val="clear" w:color="auto" w:fill="auto"/>
            <w:noWrap/>
            <w:vAlign w:val="bottom"/>
            <w:hideMark/>
          </w:tcPr>
          <w:p w14:paraId="124FE921"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$36.56</w:t>
            </w:r>
          </w:p>
        </w:tc>
        <w:tc>
          <w:tcPr>
            <w:tcW w:w="1020" w:type="dxa"/>
            <w:tcBorders>
              <w:top w:val="nil"/>
              <w:left w:val="nil"/>
              <w:bottom w:val="single" w:sz="4" w:space="0" w:color="auto"/>
              <w:right w:val="single" w:sz="4" w:space="0" w:color="auto"/>
            </w:tcBorders>
            <w:shd w:val="clear" w:color="auto" w:fill="auto"/>
            <w:noWrap/>
            <w:vAlign w:val="bottom"/>
            <w:hideMark/>
          </w:tcPr>
          <w:p w14:paraId="1EAF64D7"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$26.66</w:t>
            </w:r>
          </w:p>
        </w:tc>
        <w:tc>
          <w:tcPr>
            <w:tcW w:w="1020" w:type="dxa"/>
            <w:tcBorders>
              <w:top w:val="nil"/>
              <w:left w:val="nil"/>
              <w:bottom w:val="single" w:sz="4" w:space="0" w:color="auto"/>
              <w:right w:val="single" w:sz="4" w:space="0" w:color="auto"/>
            </w:tcBorders>
            <w:shd w:val="clear" w:color="000000" w:fill="F8CBAD"/>
            <w:noWrap/>
            <w:vAlign w:val="bottom"/>
            <w:hideMark/>
          </w:tcPr>
          <w:p w14:paraId="49BC5B61"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$23.18</w:t>
            </w:r>
          </w:p>
        </w:tc>
        <w:tc>
          <w:tcPr>
            <w:tcW w:w="1020" w:type="dxa"/>
            <w:tcBorders>
              <w:top w:val="nil"/>
              <w:left w:val="nil"/>
              <w:bottom w:val="single" w:sz="4" w:space="0" w:color="auto"/>
              <w:right w:val="single" w:sz="4" w:space="0" w:color="auto"/>
            </w:tcBorders>
            <w:shd w:val="clear" w:color="auto" w:fill="auto"/>
            <w:noWrap/>
            <w:vAlign w:val="bottom"/>
            <w:hideMark/>
          </w:tcPr>
          <w:p w14:paraId="5A0A78D2"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$22.19</w:t>
            </w:r>
          </w:p>
        </w:tc>
      </w:tr>
      <w:tr w:rsidR="00EB0541" w:rsidRPr="00EB0541" w14:paraId="1C0DCA5F" w14:textId="77777777" w:rsidTr="00EB0541">
        <w:trPr>
          <w:trHeight w:val="2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EE1CBE"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w:t>
            </w:r>
          </w:p>
        </w:tc>
        <w:tc>
          <w:tcPr>
            <w:tcW w:w="1020" w:type="dxa"/>
            <w:tcBorders>
              <w:top w:val="nil"/>
              <w:left w:val="nil"/>
              <w:bottom w:val="single" w:sz="4" w:space="0" w:color="auto"/>
              <w:right w:val="single" w:sz="4" w:space="0" w:color="auto"/>
            </w:tcBorders>
            <w:shd w:val="clear" w:color="auto" w:fill="auto"/>
            <w:noWrap/>
            <w:vAlign w:val="bottom"/>
            <w:hideMark/>
          </w:tcPr>
          <w:p w14:paraId="60D1483D"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$19.19</w:t>
            </w:r>
          </w:p>
        </w:tc>
        <w:tc>
          <w:tcPr>
            <w:tcW w:w="1020" w:type="dxa"/>
            <w:tcBorders>
              <w:top w:val="nil"/>
              <w:left w:val="nil"/>
              <w:bottom w:val="single" w:sz="4" w:space="0" w:color="auto"/>
              <w:right w:val="single" w:sz="4" w:space="0" w:color="auto"/>
            </w:tcBorders>
            <w:shd w:val="clear" w:color="auto" w:fill="auto"/>
            <w:noWrap/>
            <w:vAlign w:val="bottom"/>
            <w:hideMark/>
          </w:tcPr>
          <w:p w14:paraId="57CD343C"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$16.35</w:t>
            </w:r>
          </w:p>
        </w:tc>
        <w:tc>
          <w:tcPr>
            <w:tcW w:w="1020" w:type="dxa"/>
            <w:tcBorders>
              <w:top w:val="nil"/>
              <w:left w:val="nil"/>
              <w:bottom w:val="single" w:sz="4" w:space="0" w:color="auto"/>
              <w:right w:val="single" w:sz="4" w:space="0" w:color="auto"/>
            </w:tcBorders>
            <w:shd w:val="clear" w:color="000000" w:fill="F8CBAD"/>
            <w:noWrap/>
            <w:vAlign w:val="bottom"/>
            <w:hideMark/>
          </w:tcPr>
          <w:p w14:paraId="7659C719"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$15.31</w:t>
            </w:r>
          </w:p>
        </w:tc>
        <w:tc>
          <w:tcPr>
            <w:tcW w:w="1020" w:type="dxa"/>
            <w:tcBorders>
              <w:top w:val="nil"/>
              <w:left w:val="nil"/>
              <w:bottom w:val="single" w:sz="4" w:space="0" w:color="auto"/>
              <w:right w:val="single" w:sz="4" w:space="0" w:color="auto"/>
            </w:tcBorders>
            <w:shd w:val="clear" w:color="auto" w:fill="auto"/>
            <w:noWrap/>
            <w:vAlign w:val="bottom"/>
            <w:hideMark/>
          </w:tcPr>
          <w:p w14:paraId="6D37FA19"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$15.05</w:t>
            </w:r>
          </w:p>
        </w:tc>
        <w:tc>
          <w:tcPr>
            <w:tcW w:w="1020" w:type="dxa"/>
            <w:tcBorders>
              <w:top w:val="nil"/>
              <w:left w:val="nil"/>
              <w:bottom w:val="single" w:sz="4" w:space="0" w:color="auto"/>
              <w:right w:val="single" w:sz="4" w:space="0" w:color="auto"/>
            </w:tcBorders>
            <w:shd w:val="clear" w:color="auto" w:fill="auto"/>
            <w:noWrap/>
            <w:vAlign w:val="bottom"/>
            <w:hideMark/>
          </w:tcPr>
          <w:p w14:paraId="17828034"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$29.45</w:t>
            </w:r>
          </w:p>
        </w:tc>
        <w:tc>
          <w:tcPr>
            <w:tcW w:w="1020" w:type="dxa"/>
            <w:tcBorders>
              <w:top w:val="nil"/>
              <w:left w:val="nil"/>
              <w:bottom w:val="single" w:sz="4" w:space="0" w:color="auto"/>
              <w:right w:val="single" w:sz="4" w:space="0" w:color="auto"/>
            </w:tcBorders>
            <w:shd w:val="clear" w:color="auto" w:fill="auto"/>
            <w:noWrap/>
            <w:vAlign w:val="bottom"/>
            <w:hideMark/>
          </w:tcPr>
          <w:p w14:paraId="047D0CC2"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$22.38</w:t>
            </w:r>
          </w:p>
        </w:tc>
        <w:tc>
          <w:tcPr>
            <w:tcW w:w="1020" w:type="dxa"/>
            <w:tcBorders>
              <w:top w:val="nil"/>
              <w:left w:val="nil"/>
              <w:bottom w:val="single" w:sz="4" w:space="0" w:color="auto"/>
              <w:right w:val="single" w:sz="4" w:space="0" w:color="auto"/>
            </w:tcBorders>
            <w:shd w:val="clear" w:color="000000" w:fill="F8CBAD"/>
            <w:noWrap/>
            <w:vAlign w:val="bottom"/>
            <w:hideMark/>
          </w:tcPr>
          <w:p w14:paraId="4C5F14FD"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$19.94</w:t>
            </w:r>
          </w:p>
        </w:tc>
        <w:tc>
          <w:tcPr>
            <w:tcW w:w="1020" w:type="dxa"/>
            <w:tcBorders>
              <w:top w:val="nil"/>
              <w:left w:val="nil"/>
              <w:bottom w:val="single" w:sz="4" w:space="0" w:color="auto"/>
              <w:right w:val="single" w:sz="4" w:space="0" w:color="auto"/>
            </w:tcBorders>
            <w:shd w:val="clear" w:color="auto" w:fill="auto"/>
            <w:noWrap/>
            <w:vAlign w:val="bottom"/>
            <w:hideMark/>
          </w:tcPr>
          <w:p w14:paraId="76B515AF"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$19.21</w:t>
            </w:r>
          </w:p>
        </w:tc>
      </w:tr>
      <w:tr w:rsidR="00EB0541" w:rsidRPr="00EB0541" w14:paraId="2337C71D" w14:textId="77777777" w:rsidTr="00EB0541">
        <w:trPr>
          <w:trHeight w:val="2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8195249"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4</w:t>
            </w:r>
          </w:p>
        </w:tc>
        <w:tc>
          <w:tcPr>
            <w:tcW w:w="1020" w:type="dxa"/>
            <w:tcBorders>
              <w:top w:val="nil"/>
              <w:left w:val="nil"/>
              <w:bottom w:val="single" w:sz="4" w:space="0" w:color="auto"/>
              <w:right w:val="single" w:sz="4" w:space="0" w:color="auto"/>
            </w:tcBorders>
            <w:shd w:val="clear" w:color="auto" w:fill="auto"/>
            <w:noWrap/>
            <w:vAlign w:val="bottom"/>
            <w:hideMark/>
          </w:tcPr>
          <w:p w14:paraId="5E76A810"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$15.63</w:t>
            </w:r>
          </w:p>
        </w:tc>
        <w:tc>
          <w:tcPr>
            <w:tcW w:w="1020" w:type="dxa"/>
            <w:tcBorders>
              <w:top w:val="nil"/>
              <w:left w:val="nil"/>
              <w:bottom w:val="single" w:sz="4" w:space="0" w:color="auto"/>
              <w:right w:val="single" w:sz="4" w:space="0" w:color="auto"/>
            </w:tcBorders>
            <w:shd w:val="clear" w:color="auto" w:fill="auto"/>
            <w:noWrap/>
            <w:vAlign w:val="bottom"/>
            <w:hideMark/>
          </w:tcPr>
          <w:p w14:paraId="091A5D16"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$14.21</w:t>
            </w:r>
          </w:p>
        </w:tc>
        <w:tc>
          <w:tcPr>
            <w:tcW w:w="1020" w:type="dxa"/>
            <w:tcBorders>
              <w:top w:val="nil"/>
              <w:left w:val="nil"/>
              <w:bottom w:val="single" w:sz="4" w:space="0" w:color="auto"/>
              <w:right w:val="single" w:sz="4" w:space="0" w:color="auto"/>
            </w:tcBorders>
            <w:shd w:val="clear" w:color="000000" w:fill="F8CBAD"/>
            <w:noWrap/>
            <w:vAlign w:val="bottom"/>
            <w:hideMark/>
          </w:tcPr>
          <w:p w14:paraId="5371BE5A"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$13.70</w:t>
            </w:r>
          </w:p>
        </w:tc>
        <w:tc>
          <w:tcPr>
            <w:tcW w:w="1020" w:type="dxa"/>
            <w:tcBorders>
              <w:top w:val="nil"/>
              <w:left w:val="nil"/>
              <w:bottom w:val="single" w:sz="4" w:space="0" w:color="auto"/>
              <w:right w:val="single" w:sz="4" w:space="0" w:color="auto"/>
            </w:tcBorders>
            <w:shd w:val="clear" w:color="auto" w:fill="auto"/>
            <w:noWrap/>
            <w:vAlign w:val="bottom"/>
            <w:hideMark/>
          </w:tcPr>
          <w:p w14:paraId="4DA066B9"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$13.56</w:t>
            </w:r>
          </w:p>
        </w:tc>
        <w:tc>
          <w:tcPr>
            <w:tcW w:w="1020" w:type="dxa"/>
            <w:tcBorders>
              <w:top w:val="nil"/>
              <w:left w:val="nil"/>
              <w:bottom w:val="single" w:sz="4" w:space="0" w:color="auto"/>
              <w:right w:val="single" w:sz="4" w:space="0" w:color="auto"/>
            </w:tcBorders>
            <w:shd w:val="clear" w:color="auto" w:fill="auto"/>
            <w:noWrap/>
            <w:vAlign w:val="bottom"/>
            <w:hideMark/>
          </w:tcPr>
          <w:p w14:paraId="1D91B3DB"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$25.89</w:t>
            </w:r>
          </w:p>
        </w:tc>
        <w:tc>
          <w:tcPr>
            <w:tcW w:w="1020" w:type="dxa"/>
            <w:tcBorders>
              <w:top w:val="nil"/>
              <w:left w:val="nil"/>
              <w:bottom w:val="single" w:sz="4" w:space="0" w:color="auto"/>
              <w:right w:val="single" w:sz="4" w:space="0" w:color="auto"/>
            </w:tcBorders>
            <w:shd w:val="clear" w:color="auto" w:fill="auto"/>
            <w:noWrap/>
            <w:vAlign w:val="bottom"/>
            <w:hideMark/>
          </w:tcPr>
          <w:p w14:paraId="79AD9A91"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$20.25</w:t>
            </w:r>
          </w:p>
        </w:tc>
        <w:tc>
          <w:tcPr>
            <w:tcW w:w="1020" w:type="dxa"/>
            <w:tcBorders>
              <w:top w:val="nil"/>
              <w:left w:val="nil"/>
              <w:bottom w:val="single" w:sz="4" w:space="0" w:color="auto"/>
              <w:right w:val="single" w:sz="4" w:space="0" w:color="auto"/>
            </w:tcBorders>
            <w:shd w:val="clear" w:color="000000" w:fill="F8CBAD"/>
            <w:noWrap/>
            <w:vAlign w:val="bottom"/>
            <w:hideMark/>
          </w:tcPr>
          <w:p w14:paraId="140FADDB"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$18.33</w:t>
            </w:r>
          </w:p>
        </w:tc>
        <w:tc>
          <w:tcPr>
            <w:tcW w:w="1020" w:type="dxa"/>
            <w:tcBorders>
              <w:top w:val="nil"/>
              <w:left w:val="nil"/>
              <w:bottom w:val="single" w:sz="4" w:space="0" w:color="auto"/>
              <w:right w:val="single" w:sz="4" w:space="0" w:color="auto"/>
            </w:tcBorders>
            <w:shd w:val="clear" w:color="auto" w:fill="auto"/>
            <w:noWrap/>
            <w:vAlign w:val="bottom"/>
            <w:hideMark/>
          </w:tcPr>
          <w:p w14:paraId="388D63BB"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$17.73</w:t>
            </w:r>
          </w:p>
        </w:tc>
      </w:tr>
      <w:tr w:rsidR="00EB0541" w:rsidRPr="00EB0541" w14:paraId="5E0CA9D6" w14:textId="77777777" w:rsidTr="00EB0541">
        <w:trPr>
          <w:trHeight w:val="2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DE76A2"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6</w:t>
            </w:r>
          </w:p>
        </w:tc>
        <w:tc>
          <w:tcPr>
            <w:tcW w:w="1020" w:type="dxa"/>
            <w:tcBorders>
              <w:top w:val="nil"/>
              <w:left w:val="nil"/>
              <w:bottom w:val="single" w:sz="4" w:space="0" w:color="auto"/>
              <w:right w:val="single" w:sz="4" w:space="0" w:color="auto"/>
            </w:tcBorders>
            <w:shd w:val="clear" w:color="auto" w:fill="auto"/>
            <w:noWrap/>
            <w:vAlign w:val="bottom"/>
            <w:hideMark/>
          </w:tcPr>
          <w:p w14:paraId="4A79E930"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$16.49</w:t>
            </w:r>
          </w:p>
        </w:tc>
        <w:tc>
          <w:tcPr>
            <w:tcW w:w="1020" w:type="dxa"/>
            <w:tcBorders>
              <w:top w:val="nil"/>
              <w:left w:val="nil"/>
              <w:bottom w:val="single" w:sz="4" w:space="0" w:color="auto"/>
              <w:right w:val="single" w:sz="4" w:space="0" w:color="auto"/>
            </w:tcBorders>
            <w:shd w:val="clear" w:color="auto" w:fill="auto"/>
            <w:noWrap/>
            <w:vAlign w:val="bottom"/>
            <w:hideMark/>
          </w:tcPr>
          <w:p w14:paraId="41F3A317"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$14.60</w:t>
            </w:r>
          </w:p>
        </w:tc>
        <w:tc>
          <w:tcPr>
            <w:tcW w:w="1020" w:type="dxa"/>
            <w:tcBorders>
              <w:top w:val="nil"/>
              <w:left w:val="nil"/>
              <w:bottom w:val="single" w:sz="4" w:space="0" w:color="auto"/>
              <w:right w:val="single" w:sz="4" w:space="0" w:color="auto"/>
            </w:tcBorders>
            <w:shd w:val="clear" w:color="000000" w:fill="F8CBAD"/>
            <w:noWrap/>
            <w:vAlign w:val="bottom"/>
            <w:hideMark/>
          </w:tcPr>
          <w:p w14:paraId="3AC47C3A"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$13.91</w:t>
            </w:r>
          </w:p>
        </w:tc>
        <w:tc>
          <w:tcPr>
            <w:tcW w:w="1020" w:type="dxa"/>
            <w:tcBorders>
              <w:top w:val="nil"/>
              <w:left w:val="nil"/>
              <w:bottom w:val="single" w:sz="4" w:space="0" w:color="auto"/>
              <w:right w:val="single" w:sz="4" w:space="0" w:color="auto"/>
            </w:tcBorders>
            <w:shd w:val="clear" w:color="auto" w:fill="auto"/>
            <w:noWrap/>
            <w:vAlign w:val="bottom"/>
            <w:hideMark/>
          </w:tcPr>
          <w:p w14:paraId="1EDE92DE"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$13.74</w:t>
            </w:r>
          </w:p>
        </w:tc>
        <w:tc>
          <w:tcPr>
            <w:tcW w:w="1020" w:type="dxa"/>
            <w:tcBorders>
              <w:top w:val="nil"/>
              <w:left w:val="nil"/>
              <w:bottom w:val="single" w:sz="4" w:space="0" w:color="auto"/>
              <w:right w:val="single" w:sz="4" w:space="0" w:color="auto"/>
            </w:tcBorders>
            <w:shd w:val="clear" w:color="auto" w:fill="auto"/>
            <w:noWrap/>
            <w:vAlign w:val="bottom"/>
            <w:hideMark/>
          </w:tcPr>
          <w:p w14:paraId="5BB5014C"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$21.62</w:t>
            </w:r>
          </w:p>
        </w:tc>
        <w:tc>
          <w:tcPr>
            <w:tcW w:w="1020" w:type="dxa"/>
            <w:tcBorders>
              <w:top w:val="nil"/>
              <w:left w:val="nil"/>
              <w:bottom w:val="single" w:sz="4" w:space="0" w:color="auto"/>
              <w:right w:val="single" w:sz="4" w:space="0" w:color="auto"/>
            </w:tcBorders>
            <w:shd w:val="clear" w:color="auto" w:fill="auto"/>
            <w:noWrap/>
            <w:vAlign w:val="bottom"/>
            <w:hideMark/>
          </w:tcPr>
          <w:p w14:paraId="49FFB8B8"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$17.62</w:t>
            </w:r>
          </w:p>
        </w:tc>
        <w:tc>
          <w:tcPr>
            <w:tcW w:w="1020" w:type="dxa"/>
            <w:tcBorders>
              <w:top w:val="nil"/>
              <w:left w:val="nil"/>
              <w:bottom w:val="single" w:sz="4" w:space="0" w:color="auto"/>
              <w:right w:val="single" w:sz="4" w:space="0" w:color="auto"/>
            </w:tcBorders>
            <w:shd w:val="clear" w:color="000000" w:fill="F8CBAD"/>
            <w:noWrap/>
            <w:vAlign w:val="bottom"/>
            <w:hideMark/>
          </w:tcPr>
          <w:p w14:paraId="725E4B33"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$16.23</w:t>
            </w:r>
          </w:p>
        </w:tc>
        <w:tc>
          <w:tcPr>
            <w:tcW w:w="1020" w:type="dxa"/>
            <w:tcBorders>
              <w:top w:val="nil"/>
              <w:left w:val="nil"/>
              <w:bottom w:val="single" w:sz="4" w:space="0" w:color="auto"/>
              <w:right w:val="single" w:sz="4" w:space="0" w:color="auto"/>
            </w:tcBorders>
            <w:shd w:val="clear" w:color="auto" w:fill="auto"/>
            <w:noWrap/>
            <w:vAlign w:val="bottom"/>
            <w:hideMark/>
          </w:tcPr>
          <w:p w14:paraId="2677D3FF"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$15.82</w:t>
            </w:r>
          </w:p>
        </w:tc>
      </w:tr>
      <w:tr w:rsidR="00EB0541" w:rsidRPr="00EB0541" w14:paraId="50AF51D3" w14:textId="77777777" w:rsidTr="00EB0541">
        <w:trPr>
          <w:trHeight w:val="2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6DC6C88"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7</w:t>
            </w:r>
          </w:p>
        </w:tc>
        <w:tc>
          <w:tcPr>
            <w:tcW w:w="1020" w:type="dxa"/>
            <w:tcBorders>
              <w:top w:val="nil"/>
              <w:left w:val="nil"/>
              <w:bottom w:val="single" w:sz="4" w:space="0" w:color="auto"/>
              <w:right w:val="single" w:sz="4" w:space="0" w:color="auto"/>
            </w:tcBorders>
            <w:shd w:val="clear" w:color="auto" w:fill="auto"/>
            <w:noWrap/>
            <w:vAlign w:val="bottom"/>
            <w:hideMark/>
          </w:tcPr>
          <w:p w14:paraId="713C658F"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$16.14</w:t>
            </w:r>
          </w:p>
        </w:tc>
        <w:tc>
          <w:tcPr>
            <w:tcW w:w="1020" w:type="dxa"/>
            <w:tcBorders>
              <w:top w:val="nil"/>
              <w:left w:val="nil"/>
              <w:bottom w:val="single" w:sz="4" w:space="0" w:color="auto"/>
              <w:right w:val="single" w:sz="4" w:space="0" w:color="auto"/>
            </w:tcBorders>
            <w:shd w:val="clear" w:color="auto" w:fill="auto"/>
            <w:noWrap/>
            <w:vAlign w:val="bottom"/>
            <w:hideMark/>
          </w:tcPr>
          <w:p w14:paraId="35111C15"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$14.52</w:t>
            </w:r>
          </w:p>
        </w:tc>
        <w:tc>
          <w:tcPr>
            <w:tcW w:w="1020" w:type="dxa"/>
            <w:tcBorders>
              <w:top w:val="nil"/>
              <w:left w:val="nil"/>
              <w:bottom w:val="single" w:sz="4" w:space="0" w:color="auto"/>
              <w:right w:val="single" w:sz="4" w:space="0" w:color="auto"/>
            </w:tcBorders>
            <w:shd w:val="clear" w:color="000000" w:fill="F8CBAD"/>
            <w:noWrap/>
            <w:vAlign w:val="bottom"/>
            <w:hideMark/>
          </w:tcPr>
          <w:p w14:paraId="6C6F124A"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$13.93</w:t>
            </w:r>
          </w:p>
        </w:tc>
        <w:tc>
          <w:tcPr>
            <w:tcW w:w="1020" w:type="dxa"/>
            <w:tcBorders>
              <w:top w:val="nil"/>
              <w:left w:val="nil"/>
              <w:bottom w:val="single" w:sz="4" w:space="0" w:color="auto"/>
              <w:right w:val="single" w:sz="4" w:space="0" w:color="auto"/>
            </w:tcBorders>
            <w:shd w:val="clear" w:color="auto" w:fill="auto"/>
            <w:noWrap/>
            <w:vAlign w:val="bottom"/>
            <w:hideMark/>
          </w:tcPr>
          <w:p w14:paraId="7C1D97B7"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$13.77</w:t>
            </w:r>
          </w:p>
        </w:tc>
        <w:tc>
          <w:tcPr>
            <w:tcW w:w="1020" w:type="dxa"/>
            <w:tcBorders>
              <w:top w:val="nil"/>
              <w:left w:val="nil"/>
              <w:bottom w:val="single" w:sz="4" w:space="0" w:color="auto"/>
              <w:right w:val="single" w:sz="4" w:space="0" w:color="auto"/>
            </w:tcBorders>
            <w:shd w:val="clear" w:color="auto" w:fill="auto"/>
            <w:noWrap/>
            <w:vAlign w:val="bottom"/>
            <w:hideMark/>
          </w:tcPr>
          <w:p w14:paraId="16524AFC"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$18.70</w:t>
            </w:r>
          </w:p>
        </w:tc>
        <w:tc>
          <w:tcPr>
            <w:tcW w:w="1020" w:type="dxa"/>
            <w:tcBorders>
              <w:top w:val="nil"/>
              <w:left w:val="nil"/>
              <w:bottom w:val="single" w:sz="4" w:space="0" w:color="auto"/>
              <w:right w:val="single" w:sz="4" w:space="0" w:color="auto"/>
            </w:tcBorders>
            <w:shd w:val="clear" w:color="auto" w:fill="auto"/>
            <w:noWrap/>
            <w:vAlign w:val="bottom"/>
            <w:hideMark/>
          </w:tcPr>
          <w:p w14:paraId="6E1350A1"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$16.03</w:t>
            </w:r>
          </w:p>
        </w:tc>
        <w:tc>
          <w:tcPr>
            <w:tcW w:w="1020" w:type="dxa"/>
            <w:tcBorders>
              <w:top w:val="nil"/>
              <w:left w:val="nil"/>
              <w:bottom w:val="single" w:sz="4" w:space="0" w:color="auto"/>
              <w:right w:val="single" w:sz="4" w:space="0" w:color="auto"/>
            </w:tcBorders>
            <w:shd w:val="clear" w:color="000000" w:fill="F8CBAD"/>
            <w:noWrap/>
            <w:vAlign w:val="bottom"/>
            <w:hideMark/>
          </w:tcPr>
          <w:p w14:paraId="76091B55"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$15.08</w:t>
            </w:r>
          </w:p>
        </w:tc>
        <w:tc>
          <w:tcPr>
            <w:tcW w:w="1020" w:type="dxa"/>
            <w:tcBorders>
              <w:top w:val="nil"/>
              <w:left w:val="nil"/>
              <w:bottom w:val="single" w:sz="4" w:space="0" w:color="auto"/>
              <w:right w:val="single" w:sz="4" w:space="0" w:color="auto"/>
            </w:tcBorders>
            <w:shd w:val="clear" w:color="auto" w:fill="auto"/>
            <w:noWrap/>
            <w:vAlign w:val="bottom"/>
            <w:hideMark/>
          </w:tcPr>
          <w:p w14:paraId="566A8CFB"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$14.82</w:t>
            </w:r>
          </w:p>
        </w:tc>
      </w:tr>
      <w:tr w:rsidR="00EB0541" w:rsidRPr="00EB0541" w14:paraId="4DC52732" w14:textId="77777777" w:rsidTr="00EB0541">
        <w:trPr>
          <w:trHeight w:val="2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0E2E0EB"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10</w:t>
            </w:r>
          </w:p>
        </w:tc>
        <w:tc>
          <w:tcPr>
            <w:tcW w:w="1020" w:type="dxa"/>
            <w:tcBorders>
              <w:top w:val="nil"/>
              <w:left w:val="nil"/>
              <w:bottom w:val="single" w:sz="4" w:space="0" w:color="auto"/>
              <w:right w:val="single" w:sz="4" w:space="0" w:color="auto"/>
            </w:tcBorders>
            <w:shd w:val="clear" w:color="auto" w:fill="auto"/>
            <w:noWrap/>
            <w:vAlign w:val="bottom"/>
            <w:hideMark/>
          </w:tcPr>
          <w:p w14:paraId="4ADB8C55"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$15.95</w:t>
            </w:r>
          </w:p>
        </w:tc>
        <w:tc>
          <w:tcPr>
            <w:tcW w:w="1020" w:type="dxa"/>
            <w:tcBorders>
              <w:top w:val="nil"/>
              <w:left w:val="nil"/>
              <w:bottom w:val="single" w:sz="4" w:space="0" w:color="auto"/>
              <w:right w:val="single" w:sz="4" w:space="0" w:color="auto"/>
            </w:tcBorders>
            <w:shd w:val="clear" w:color="auto" w:fill="auto"/>
            <w:noWrap/>
            <w:vAlign w:val="bottom"/>
            <w:hideMark/>
          </w:tcPr>
          <w:p w14:paraId="63A3878C"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$14.25</w:t>
            </w:r>
          </w:p>
        </w:tc>
        <w:tc>
          <w:tcPr>
            <w:tcW w:w="1020" w:type="dxa"/>
            <w:tcBorders>
              <w:top w:val="nil"/>
              <w:left w:val="nil"/>
              <w:bottom w:val="single" w:sz="4" w:space="0" w:color="auto"/>
              <w:right w:val="single" w:sz="4" w:space="0" w:color="auto"/>
            </w:tcBorders>
            <w:shd w:val="clear" w:color="000000" w:fill="F8CBAD"/>
            <w:noWrap/>
            <w:vAlign w:val="bottom"/>
            <w:hideMark/>
          </w:tcPr>
          <w:p w14:paraId="1393EA91"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$13.63</w:t>
            </w:r>
          </w:p>
        </w:tc>
        <w:tc>
          <w:tcPr>
            <w:tcW w:w="1020" w:type="dxa"/>
            <w:tcBorders>
              <w:top w:val="nil"/>
              <w:left w:val="nil"/>
              <w:bottom w:val="single" w:sz="4" w:space="0" w:color="auto"/>
              <w:right w:val="single" w:sz="4" w:space="0" w:color="auto"/>
            </w:tcBorders>
            <w:shd w:val="clear" w:color="auto" w:fill="auto"/>
            <w:noWrap/>
            <w:vAlign w:val="bottom"/>
            <w:hideMark/>
          </w:tcPr>
          <w:p w14:paraId="2C9A74F3"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$13.47</w:t>
            </w:r>
          </w:p>
        </w:tc>
        <w:tc>
          <w:tcPr>
            <w:tcW w:w="1020" w:type="dxa"/>
            <w:tcBorders>
              <w:top w:val="nil"/>
              <w:left w:val="nil"/>
              <w:bottom w:val="single" w:sz="4" w:space="0" w:color="auto"/>
              <w:right w:val="single" w:sz="4" w:space="0" w:color="auto"/>
            </w:tcBorders>
            <w:shd w:val="clear" w:color="auto" w:fill="auto"/>
            <w:noWrap/>
            <w:vAlign w:val="bottom"/>
            <w:hideMark/>
          </w:tcPr>
          <w:p w14:paraId="3C855190"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$22.53</w:t>
            </w:r>
          </w:p>
        </w:tc>
        <w:tc>
          <w:tcPr>
            <w:tcW w:w="1020" w:type="dxa"/>
            <w:tcBorders>
              <w:top w:val="nil"/>
              <w:left w:val="nil"/>
              <w:bottom w:val="single" w:sz="4" w:space="0" w:color="auto"/>
              <w:right w:val="single" w:sz="4" w:space="0" w:color="auto"/>
            </w:tcBorders>
            <w:shd w:val="clear" w:color="auto" w:fill="auto"/>
            <w:noWrap/>
            <w:vAlign w:val="bottom"/>
            <w:hideMark/>
          </w:tcPr>
          <w:p w14:paraId="6196DF7F"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$19.41</w:t>
            </w:r>
          </w:p>
        </w:tc>
        <w:tc>
          <w:tcPr>
            <w:tcW w:w="1020" w:type="dxa"/>
            <w:tcBorders>
              <w:top w:val="nil"/>
              <w:left w:val="nil"/>
              <w:bottom w:val="single" w:sz="4" w:space="0" w:color="auto"/>
              <w:right w:val="single" w:sz="4" w:space="0" w:color="auto"/>
            </w:tcBorders>
            <w:shd w:val="clear" w:color="000000" w:fill="F8CBAD"/>
            <w:noWrap/>
            <w:vAlign w:val="bottom"/>
            <w:hideMark/>
          </w:tcPr>
          <w:p w14:paraId="7408F156"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$18.27</w:t>
            </w:r>
          </w:p>
        </w:tc>
        <w:tc>
          <w:tcPr>
            <w:tcW w:w="1020" w:type="dxa"/>
            <w:tcBorders>
              <w:top w:val="nil"/>
              <w:left w:val="nil"/>
              <w:bottom w:val="single" w:sz="4" w:space="0" w:color="auto"/>
              <w:right w:val="single" w:sz="4" w:space="0" w:color="auto"/>
            </w:tcBorders>
            <w:shd w:val="clear" w:color="auto" w:fill="auto"/>
            <w:noWrap/>
            <w:vAlign w:val="bottom"/>
            <w:hideMark/>
          </w:tcPr>
          <w:p w14:paraId="161F6728"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$17.98</w:t>
            </w:r>
          </w:p>
        </w:tc>
      </w:tr>
      <w:tr w:rsidR="00EB0541" w:rsidRPr="00EB0541" w14:paraId="577C5FA4" w14:textId="77777777" w:rsidTr="00EB0541">
        <w:trPr>
          <w:trHeight w:val="2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7D95D0"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14</w:t>
            </w:r>
          </w:p>
        </w:tc>
        <w:tc>
          <w:tcPr>
            <w:tcW w:w="1020" w:type="dxa"/>
            <w:tcBorders>
              <w:top w:val="nil"/>
              <w:left w:val="nil"/>
              <w:bottom w:val="single" w:sz="4" w:space="0" w:color="auto"/>
              <w:right w:val="single" w:sz="4" w:space="0" w:color="auto"/>
            </w:tcBorders>
            <w:shd w:val="clear" w:color="auto" w:fill="auto"/>
            <w:noWrap/>
            <w:vAlign w:val="bottom"/>
            <w:hideMark/>
          </w:tcPr>
          <w:p w14:paraId="2FE90E93"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$15.72</w:t>
            </w:r>
          </w:p>
        </w:tc>
        <w:tc>
          <w:tcPr>
            <w:tcW w:w="1020" w:type="dxa"/>
            <w:tcBorders>
              <w:top w:val="nil"/>
              <w:left w:val="nil"/>
              <w:bottom w:val="single" w:sz="4" w:space="0" w:color="auto"/>
              <w:right w:val="single" w:sz="4" w:space="0" w:color="auto"/>
            </w:tcBorders>
            <w:shd w:val="clear" w:color="auto" w:fill="auto"/>
            <w:noWrap/>
            <w:vAlign w:val="bottom"/>
            <w:hideMark/>
          </w:tcPr>
          <w:p w14:paraId="1AE0F838"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$14.10</w:t>
            </w:r>
          </w:p>
        </w:tc>
        <w:tc>
          <w:tcPr>
            <w:tcW w:w="1020" w:type="dxa"/>
            <w:tcBorders>
              <w:top w:val="nil"/>
              <w:left w:val="nil"/>
              <w:bottom w:val="single" w:sz="4" w:space="0" w:color="auto"/>
              <w:right w:val="single" w:sz="4" w:space="0" w:color="auto"/>
            </w:tcBorders>
            <w:shd w:val="clear" w:color="000000" w:fill="F8CBAD"/>
            <w:noWrap/>
            <w:vAlign w:val="bottom"/>
            <w:hideMark/>
          </w:tcPr>
          <w:p w14:paraId="439F3584"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$13.51</w:t>
            </w:r>
          </w:p>
        </w:tc>
        <w:tc>
          <w:tcPr>
            <w:tcW w:w="1020" w:type="dxa"/>
            <w:tcBorders>
              <w:top w:val="nil"/>
              <w:left w:val="nil"/>
              <w:bottom w:val="single" w:sz="4" w:space="0" w:color="auto"/>
              <w:right w:val="single" w:sz="4" w:space="0" w:color="auto"/>
            </w:tcBorders>
            <w:shd w:val="clear" w:color="auto" w:fill="auto"/>
            <w:noWrap/>
            <w:vAlign w:val="bottom"/>
            <w:hideMark/>
          </w:tcPr>
          <w:p w14:paraId="4DD4D322"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$13.36</w:t>
            </w:r>
          </w:p>
        </w:tc>
        <w:tc>
          <w:tcPr>
            <w:tcW w:w="1020" w:type="dxa"/>
            <w:tcBorders>
              <w:top w:val="nil"/>
              <w:left w:val="nil"/>
              <w:bottom w:val="single" w:sz="4" w:space="0" w:color="auto"/>
              <w:right w:val="single" w:sz="4" w:space="0" w:color="auto"/>
            </w:tcBorders>
            <w:shd w:val="clear" w:color="auto" w:fill="auto"/>
            <w:noWrap/>
            <w:vAlign w:val="bottom"/>
            <w:hideMark/>
          </w:tcPr>
          <w:p w14:paraId="78B49272"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$20.52</w:t>
            </w:r>
          </w:p>
        </w:tc>
        <w:tc>
          <w:tcPr>
            <w:tcW w:w="1020" w:type="dxa"/>
            <w:tcBorders>
              <w:top w:val="nil"/>
              <w:left w:val="nil"/>
              <w:bottom w:val="single" w:sz="4" w:space="0" w:color="auto"/>
              <w:right w:val="single" w:sz="4" w:space="0" w:color="auto"/>
            </w:tcBorders>
            <w:shd w:val="clear" w:color="auto" w:fill="auto"/>
            <w:noWrap/>
            <w:vAlign w:val="bottom"/>
            <w:hideMark/>
          </w:tcPr>
          <w:p w14:paraId="42630A1D"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$18.19</w:t>
            </w:r>
          </w:p>
        </w:tc>
        <w:tc>
          <w:tcPr>
            <w:tcW w:w="1020" w:type="dxa"/>
            <w:tcBorders>
              <w:top w:val="nil"/>
              <w:left w:val="nil"/>
              <w:bottom w:val="single" w:sz="4" w:space="0" w:color="auto"/>
              <w:right w:val="single" w:sz="4" w:space="0" w:color="auto"/>
            </w:tcBorders>
            <w:shd w:val="clear" w:color="000000" w:fill="F8CBAD"/>
            <w:noWrap/>
            <w:vAlign w:val="bottom"/>
            <w:hideMark/>
          </w:tcPr>
          <w:p w14:paraId="6C87C72F"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$17.34</w:t>
            </w:r>
          </w:p>
        </w:tc>
        <w:tc>
          <w:tcPr>
            <w:tcW w:w="1020" w:type="dxa"/>
            <w:tcBorders>
              <w:top w:val="nil"/>
              <w:left w:val="nil"/>
              <w:bottom w:val="single" w:sz="4" w:space="0" w:color="auto"/>
              <w:right w:val="single" w:sz="4" w:space="0" w:color="auto"/>
            </w:tcBorders>
            <w:shd w:val="clear" w:color="auto" w:fill="auto"/>
            <w:noWrap/>
            <w:vAlign w:val="bottom"/>
            <w:hideMark/>
          </w:tcPr>
          <w:p w14:paraId="2FF14F4F"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$17.12</w:t>
            </w:r>
          </w:p>
        </w:tc>
      </w:tr>
      <w:tr w:rsidR="00EB0541" w:rsidRPr="00EB0541" w14:paraId="1AA6081F" w14:textId="77777777" w:rsidTr="00EB0541">
        <w:trPr>
          <w:trHeight w:val="2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96DFD87"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16</w:t>
            </w:r>
          </w:p>
        </w:tc>
        <w:tc>
          <w:tcPr>
            <w:tcW w:w="1020" w:type="dxa"/>
            <w:tcBorders>
              <w:top w:val="nil"/>
              <w:left w:val="nil"/>
              <w:bottom w:val="single" w:sz="4" w:space="0" w:color="auto"/>
              <w:right w:val="single" w:sz="4" w:space="0" w:color="auto"/>
            </w:tcBorders>
            <w:shd w:val="clear" w:color="auto" w:fill="auto"/>
            <w:noWrap/>
            <w:vAlign w:val="bottom"/>
            <w:hideMark/>
          </w:tcPr>
          <w:p w14:paraId="6BA413E9"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$15.27</w:t>
            </w:r>
          </w:p>
        </w:tc>
        <w:tc>
          <w:tcPr>
            <w:tcW w:w="1020" w:type="dxa"/>
            <w:tcBorders>
              <w:top w:val="nil"/>
              <w:left w:val="nil"/>
              <w:bottom w:val="single" w:sz="4" w:space="0" w:color="auto"/>
              <w:right w:val="single" w:sz="4" w:space="0" w:color="auto"/>
            </w:tcBorders>
            <w:shd w:val="clear" w:color="auto" w:fill="auto"/>
            <w:noWrap/>
            <w:vAlign w:val="bottom"/>
            <w:hideMark/>
          </w:tcPr>
          <w:p w14:paraId="109CB2C1"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$13.85</w:t>
            </w:r>
          </w:p>
        </w:tc>
        <w:tc>
          <w:tcPr>
            <w:tcW w:w="1020" w:type="dxa"/>
            <w:tcBorders>
              <w:top w:val="nil"/>
              <w:left w:val="nil"/>
              <w:bottom w:val="single" w:sz="4" w:space="0" w:color="auto"/>
              <w:right w:val="single" w:sz="4" w:space="0" w:color="auto"/>
            </w:tcBorders>
            <w:shd w:val="clear" w:color="000000" w:fill="F8CBAD"/>
            <w:noWrap/>
            <w:vAlign w:val="bottom"/>
            <w:hideMark/>
          </w:tcPr>
          <w:p w14:paraId="6682592C"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$13.33</w:t>
            </w:r>
          </w:p>
        </w:tc>
        <w:tc>
          <w:tcPr>
            <w:tcW w:w="1020" w:type="dxa"/>
            <w:tcBorders>
              <w:top w:val="nil"/>
              <w:left w:val="nil"/>
              <w:bottom w:val="single" w:sz="4" w:space="0" w:color="auto"/>
              <w:right w:val="single" w:sz="4" w:space="0" w:color="auto"/>
            </w:tcBorders>
            <w:shd w:val="clear" w:color="auto" w:fill="auto"/>
            <w:noWrap/>
            <w:vAlign w:val="bottom"/>
            <w:hideMark/>
          </w:tcPr>
          <w:p w14:paraId="31A3DCA1"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$13.20</w:t>
            </w:r>
          </w:p>
        </w:tc>
        <w:tc>
          <w:tcPr>
            <w:tcW w:w="1020" w:type="dxa"/>
            <w:tcBorders>
              <w:top w:val="nil"/>
              <w:left w:val="nil"/>
              <w:bottom w:val="single" w:sz="4" w:space="0" w:color="auto"/>
              <w:right w:val="single" w:sz="4" w:space="0" w:color="auto"/>
            </w:tcBorders>
            <w:shd w:val="clear" w:color="auto" w:fill="auto"/>
            <w:noWrap/>
            <w:vAlign w:val="bottom"/>
            <w:hideMark/>
          </w:tcPr>
          <w:p w14:paraId="7653D8B0"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$19.18</w:t>
            </w:r>
          </w:p>
        </w:tc>
        <w:tc>
          <w:tcPr>
            <w:tcW w:w="1020" w:type="dxa"/>
            <w:tcBorders>
              <w:top w:val="nil"/>
              <w:left w:val="nil"/>
              <w:bottom w:val="single" w:sz="4" w:space="0" w:color="auto"/>
              <w:right w:val="single" w:sz="4" w:space="0" w:color="auto"/>
            </w:tcBorders>
            <w:shd w:val="clear" w:color="auto" w:fill="auto"/>
            <w:noWrap/>
            <w:vAlign w:val="bottom"/>
            <w:hideMark/>
          </w:tcPr>
          <w:p w14:paraId="09ACCDBA"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$17.40</w:t>
            </w:r>
          </w:p>
        </w:tc>
        <w:tc>
          <w:tcPr>
            <w:tcW w:w="1020" w:type="dxa"/>
            <w:tcBorders>
              <w:top w:val="nil"/>
              <w:left w:val="nil"/>
              <w:bottom w:val="single" w:sz="4" w:space="0" w:color="auto"/>
              <w:right w:val="single" w:sz="4" w:space="0" w:color="auto"/>
            </w:tcBorders>
            <w:shd w:val="clear" w:color="000000" w:fill="F8CBAD"/>
            <w:noWrap/>
            <w:vAlign w:val="bottom"/>
            <w:hideMark/>
          </w:tcPr>
          <w:p w14:paraId="455D20BA"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$16.76</w:t>
            </w:r>
          </w:p>
        </w:tc>
        <w:tc>
          <w:tcPr>
            <w:tcW w:w="1020" w:type="dxa"/>
            <w:tcBorders>
              <w:top w:val="nil"/>
              <w:left w:val="nil"/>
              <w:bottom w:val="single" w:sz="4" w:space="0" w:color="auto"/>
              <w:right w:val="single" w:sz="4" w:space="0" w:color="auto"/>
            </w:tcBorders>
            <w:shd w:val="clear" w:color="auto" w:fill="auto"/>
            <w:noWrap/>
            <w:vAlign w:val="bottom"/>
            <w:hideMark/>
          </w:tcPr>
          <w:p w14:paraId="20BD5657" w14:textId="77777777" w:rsidR="00EB0541" w:rsidRPr="00EB0541" w:rsidRDefault="00EB0541" w:rsidP="00EB0541">
            <w:pPr>
              <w:spacing w:after="0" w:line="240" w:lineRule="auto"/>
              <w:jc w:val="right"/>
              <w:rPr>
                <w:rFonts w:ascii="Calibri" w:eastAsia="Times New Roman" w:hAnsi="Calibri" w:cs="Calibri"/>
                <w:color w:val="000000"/>
              </w:rPr>
            </w:pPr>
            <w:r w:rsidRPr="00EB0541">
              <w:rPr>
                <w:rFonts w:ascii="Calibri" w:eastAsia="Times New Roman" w:hAnsi="Calibri" w:cs="Calibri"/>
                <w:color w:val="000000"/>
              </w:rPr>
              <w:t>$16.59</w:t>
            </w:r>
          </w:p>
        </w:tc>
      </w:tr>
    </w:tbl>
    <w:p w14:paraId="6BF72DFB" w14:textId="77777777" w:rsidR="00E27A16" w:rsidRPr="009A35D4" w:rsidRDefault="00E27A16" w:rsidP="00E27A16">
      <w:pPr>
        <w:spacing w:after="0"/>
        <w:rPr>
          <w:rFonts w:cstheme="minorHAnsi"/>
        </w:rPr>
      </w:pPr>
    </w:p>
    <w:p w14:paraId="04ABED53" w14:textId="55A8D951" w:rsidR="00E27A16" w:rsidRPr="009A35D4" w:rsidRDefault="00E27A16" w:rsidP="00E27A16">
      <w:pPr>
        <w:tabs>
          <w:tab w:val="left" w:pos="2430"/>
        </w:tabs>
        <w:spacing w:after="0"/>
        <w:jc w:val="both"/>
        <w:rPr>
          <w:rFonts w:cstheme="minorHAnsi"/>
        </w:rPr>
      </w:pPr>
      <w:r w:rsidRPr="009A35D4">
        <w:rPr>
          <w:rFonts w:cstheme="minorHAnsi"/>
          <w:b/>
          <w:bCs/>
        </w:rPr>
        <w:t>Table S10.</w:t>
      </w:r>
      <w:r w:rsidRPr="009A35D4">
        <w:rPr>
          <w:rFonts w:cstheme="minorHAnsi"/>
        </w:rPr>
        <w:t xml:space="preserve"> Volume-specific index per-test unit cost</w:t>
      </w:r>
      <w:r w:rsidR="00EB0541">
        <w:rPr>
          <w:rFonts w:cstheme="minorHAnsi"/>
        </w:rPr>
        <w:t xml:space="preserve"> (in 2015 United States Dollars)</w:t>
      </w:r>
      <w:r w:rsidRPr="009A35D4">
        <w:rPr>
          <w:rFonts w:cstheme="minorHAnsi"/>
        </w:rPr>
        <w:t xml:space="preserve"> for GeneXpert Omni used in Microscopy Centers (MC) under different levels of equipment useful life (years). </w:t>
      </w:r>
    </w:p>
    <w:p w14:paraId="49C3CC38" w14:textId="77777777" w:rsidR="00E27A16" w:rsidRPr="009A35D4" w:rsidRDefault="00E27A16" w:rsidP="00DD25D9">
      <w:pPr>
        <w:rPr>
          <w:rFonts w:cstheme="minorHAnsi"/>
        </w:rPr>
      </w:pPr>
    </w:p>
    <w:p w14:paraId="4ACF4EF4" w14:textId="558CC6DD" w:rsidR="00DD25D9" w:rsidRPr="009A35D4" w:rsidRDefault="00DD25D9" w:rsidP="00E27A16">
      <w:pPr>
        <w:rPr>
          <w:rFonts w:cstheme="minorHAnsi"/>
        </w:rPr>
      </w:pPr>
      <w:r w:rsidRPr="009A35D4">
        <w:rPr>
          <w:rFonts w:cstheme="minorHAnsi"/>
        </w:rPr>
        <w:t xml:space="preserve">Using Table S10 as a reference, we then repeated the steps specified in Section 1.3 to calculate mean per-test costs for the two MCs with mean daily testing volume of 0.3 and 3. </w:t>
      </w:r>
      <w:r w:rsidR="0074528F" w:rsidRPr="009A35D4">
        <w:rPr>
          <w:rFonts w:cstheme="minorHAnsi"/>
        </w:rPr>
        <w:t xml:space="preserve">These estimates do not account for costs associated with </w:t>
      </w:r>
      <w:r w:rsidR="00506D5E" w:rsidRPr="009A35D4">
        <w:rPr>
          <w:rFonts w:cstheme="minorHAnsi"/>
        </w:rPr>
        <w:t xml:space="preserve">the </w:t>
      </w:r>
      <w:r w:rsidR="0074528F" w:rsidRPr="009A35D4">
        <w:rPr>
          <w:rFonts w:cstheme="minorHAnsi"/>
        </w:rPr>
        <w:t xml:space="preserve">quality assurance (QA) program that is uniformly </w:t>
      </w:r>
      <w:r w:rsidR="00506D5E" w:rsidRPr="009A35D4">
        <w:rPr>
          <w:rFonts w:cstheme="minorHAnsi"/>
        </w:rPr>
        <w:t>implemented</w:t>
      </w:r>
      <w:r w:rsidR="0074528F" w:rsidRPr="009A35D4">
        <w:rPr>
          <w:rFonts w:cstheme="minorHAnsi"/>
        </w:rPr>
        <w:t xml:space="preserve"> depending on the annual testing volume and not affected by ELY. </w:t>
      </w:r>
      <w:r w:rsidR="000E1BF0" w:rsidRPr="009A35D4">
        <w:rPr>
          <w:rFonts w:cstheme="minorHAnsi"/>
        </w:rPr>
        <w:t>T</w:t>
      </w:r>
      <w:r w:rsidR="0074528F" w:rsidRPr="009A35D4">
        <w:rPr>
          <w:rFonts w:cstheme="minorHAnsi"/>
        </w:rPr>
        <w:t xml:space="preserve">esting volume </w:t>
      </w:r>
      <w:r w:rsidR="000E1BF0" w:rsidRPr="009A35D4">
        <w:rPr>
          <w:rFonts w:cstheme="minorHAnsi"/>
        </w:rPr>
        <w:t>was the key driver of the per-test cost</w:t>
      </w:r>
      <w:r w:rsidR="0074528F" w:rsidRPr="009A35D4">
        <w:rPr>
          <w:rFonts w:cstheme="minorHAnsi"/>
        </w:rPr>
        <w:t xml:space="preserve"> differences </w:t>
      </w:r>
      <w:r w:rsidR="000E1BF0" w:rsidRPr="009A35D4">
        <w:rPr>
          <w:rFonts w:cstheme="minorHAnsi"/>
        </w:rPr>
        <w:t>between the two MCs; however, the degree of this difference was significantly reduced with increasing ELY</w:t>
      </w:r>
      <w:bookmarkStart w:id="8" w:name="_Hlk12877849"/>
      <w:r w:rsidR="000E1BF0" w:rsidRPr="009A35D4">
        <w:rPr>
          <w:rFonts w:cstheme="minorHAnsi"/>
        </w:rPr>
        <w:t xml:space="preserve">. </w:t>
      </w:r>
      <w:r w:rsidR="00506D5E" w:rsidRPr="009A35D4">
        <w:rPr>
          <w:rFonts w:cstheme="minorHAnsi"/>
        </w:rPr>
        <w:t xml:space="preserve">Changes in the assumed useful life of Xpert had little impact on the estimated unit cost of Xpert when the useful life of Xpert was assumed to be long (10-15 years), as in this analysis. </w:t>
      </w:r>
      <w:bookmarkEnd w:id="8"/>
      <w:r w:rsidR="00506D5E" w:rsidRPr="009A35D4">
        <w:rPr>
          <w:rFonts w:cstheme="minorHAnsi"/>
        </w:rPr>
        <w:t>The assumed useful life of equipment also</w:t>
      </w:r>
      <w:r w:rsidR="000E1BF0" w:rsidRPr="009A35D4">
        <w:rPr>
          <w:rFonts w:cstheme="minorHAnsi"/>
        </w:rPr>
        <w:t xml:space="preserve"> had </w:t>
      </w:r>
      <w:r w:rsidR="00506D5E" w:rsidRPr="009A35D4">
        <w:rPr>
          <w:rFonts w:cstheme="minorHAnsi"/>
        </w:rPr>
        <w:t>greater</w:t>
      </w:r>
      <w:r w:rsidR="000E1BF0" w:rsidRPr="009A35D4">
        <w:rPr>
          <w:rFonts w:cstheme="minorHAnsi"/>
        </w:rPr>
        <w:t xml:space="preserve"> i</w:t>
      </w:r>
      <w:r w:rsidR="00506D5E" w:rsidRPr="009A35D4">
        <w:rPr>
          <w:rFonts w:cstheme="minorHAnsi"/>
        </w:rPr>
        <w:t>nfluence</w:t>
      </w:r>
      <w:r w:rsidR="000E1BF0" w:rsidRPr="009A35D4">
        <w:rPr>
          <w:rFonts w:cstheme="minorHAnsi"/>
        </w:rPr>
        <w:t xml:space="preserve"> </w:t>
      </w:r>
      <w:r w:rsidR="00506D5E" w:rsidRPr="009A35D4">
        <w:rPr>
          <w:rFonts w:cstheme="minorHAnsi"/>
        </w:rPr>
        <w:t>in</w:t>
      </w:r>
      <w:r w:rsidR="000E1BF0" w:rsidRPr="009A35D4">
        <w:rPr>
          <w:rFonts w:cstheme="minorHAnsi"/>
        </w:rPr>
        <w:t xml:space="preserve"> lower testing volume laborator</w:t>
      </w:r>
      <w:r w:rsidR="00506D5E" w:rsidRPr="009A35D4">
        <w:rPr>
          <w:rFonts w:cstheme="minorHAnsi"/>
        </w:rPr>
        <w:t>ies</w:t>
      </w:r>
      <w:r w:rsidR="000E1BF0" w:rsidRPr="009A35D4">
        <w:rPr>
          <w:rFonts w:cstheme="minorHAnsi"/>
        </w:rPr>
        <w:t xml:space="preserve"> (</w:t>
      </w:r>
      <w:r w:rsidR="000E1BF0" w:rsidRPr="009A35D4">
        <w:rPr>
          <w:rFonts w:eastAsia="Times New Roman" w:cstheme="minorHAnsi"/>
          <w:color w:val="000000"/>
        </w:rPr>
        <w:t xml:space="preserve">λ=0.3), suggesting that unit cost of Xpert at lower volume laboratories </w:t>
      </w:r>
      <w:r w:rsidR="00506D5E" w:rsidRPr="009A35D4">
        <w:rPr>
          <w:rFonts w:eastAsia="Times New Roman" w:cstheme="minorHAnsi"/>
          <w:color w:val="000000"/>
        </w:rPr>
        <w:t xml:space="preserve">is </w:t>
      </w:r>
      <w:r w:rsidR="000E1BF0" w:rsidRPr="009A35D4">
        <w:rPr>
          <w:rFonts w:eastAsia="Times New Roman" w:cstheme="minorHAnsi"/>
          <w:color w:val="000000"/>
        </w:rPr>
        <w:t xml:space="preserve">likely be more </w:t>
      </w:r>
      <w:r w:rsidR="00506D5E" w:rsidRPr="009A35D4">
        <w:rPr>
          <w:rFonts w:eastAsia="Times New Roman" w:cstheme="minorHAnsi"/>
          <w:color w:val="000000"/>
        </w:rPr>
        <w:t>affected</w:t>
      </w:r>
      <w:r w:rsidR="000E1BF0" w:rsidRPr="009A35D4">
        <w:rPr>
          <w:rFonts w:eastAsia="Times New Roman" w:cstheme="minorHAnsi"/>
          <w:color w:val="000000"/>
        </w:rPr>
        <w:t xml:space="preserve"> by issues of frequent equipment breakdown </w:t>
      </w:r>
      <w:r w:rsidR="00506D5E" w:rsidRPr="009A35D4">
        <w:rPr>
          <w:rFonts w:eastAsia="Times New Roman" w:cstheme="minorHAnsi"/>
          <w:color w:val="000000"/>
        </w:rPr>
        <w:t>and replacement</w:t>
      </w:r>
      <w:r w:rsidR="000E1BF0" w:rsidRPr="009A35D4">
        <w:rPr>
          <w:rFonts w:eastAsia="Times New Roman" w:cstheme="minorHAnsi"/>
          <w:color w:val="000000"/>
        </w:rPr>
        <w:t xml:space="preserve"> than higher volume laboratories</w:t>
      </w:r>
      <w:r w:rsidR="00A06D55" w:rsidRPr="009A35D4">
        <w:rPr>
          <w:rFonts w:eastAsia="Times New Roman" w:cstheme="minorHAnsi"/>
          <w:color w:val="000000"/>
        </w:rPr>
        <w:t xml:space="preserve"> (Table S11)</w:t>
      </w:r>
      <w:r w:rsidR="000E1BF0" w:rsidRPr="009A35D4">
        <w:rPr>
          <w:rFonts w:eastAsia="Times New Roman" w:cstheme="minorHAnsi"/>
          <w:color w:val="000000"/>
        </w:rPr>
        <w:t xml:space="preserve">. Likewise, </w:t>
      </w:r>
      <w:r w:rsidR="007338CF" w:rsidRPr="009A35D4">
        <w:rPr>
          <w:rFonts w:eastAsia="Times New Roman" w:cstheme="minorHAnsi"/>
          <w:color w:val="000000"/>
        </w:rPr>
        <w:t xml:space="preserve">the degree of difference in </w:t>
      </w:r>
      <w:r w:rsidR="00506D5E" w:rsidRPr="009A35D4">
        <w:rPr>
          <w:rFonts w:eastAsia="Times New Roman" w:cstheme="minorHAnsi"/>
          <w:color w:val="000000"/>
        </w:rPr>
        <w:t xml:space="preserve">the </w:t>
      </w:r>
      <w:r w:rsidR="007338CF" w:rsidRPr="009A35D4">
        <w:rPr>
          <w:rFonts w:eastAsia="Times New Roman" w:cstheme="minorHAnsi"/>
          <w:color w:val="000000"/>
        </w:rPr>
        <w:t xml:space="preserve">costs of centralized vs. decentralized testing will likely be greater than the estimates provided in our main analysis when </w:t>
      </w:r>
      <w:r w:rsidR="00777917" w:rsidRPr="009A35D4">
        <w:rPr>
          <w:rFonts w:eastAsia="Times New Roman" w:cstheme="minorHAnsi"/>
          <w:color w:val="000000"/>
        </w:rPr>
        <w:t xml:space="preserve">the </w:t>
      </w:r>
      <w:r w:rsidR="007338CF" w:rsidRPr="009A35D4">
        <w:rPr>
          <w:rFonts w:eastAsia="Times New Roman" w:cstheme="minorHAnsi"/>
          <w:color w:val="000000"/>
        </w:rPr>
        <w:t xml:space="preserve">actual useful life years of GeneXpert equipment is lower than </w:t>
      </w:r>
      <w:r w:rsidR="00777917" w:rsidRPr="009A35D4">
        <w:rPr>
          <w:rFonts w:eastAsia="Times New Roman" w:cstheme="minorHAnsi"/>
          <w:color w:val="000000"/>
        </w:rPr>
        <w:t xml:space="preserve">the </w:t>
      </w:r>
      <w:r w:rsidR="007338CF" w:rsidRPr="009A35D4">
        <w:rPr>
          <w:rFonts w:eastAsia="Times New Roman" w:cstheme="minorHAnsi"/>
          <w:color w:val="000000"/>
        </w:rPr>
        <w:t xml:space="preserve">10 or 15 years assumed </w:t>
      </w:r>
      <w:r w:rsidR="00777917" w:rsidRPr="009A35D4">
        <w:rPr>
          <w:rFonts w:eastAsia="Times New Roman" w:cstheme="minorHAnsi"/>
          <w:color w:val="000000"/>
        </w:rPr>
        <w:t>in our analysis</w:t>
      </w:r>
      <w:r w:rsidR="007338CF" w:rsidRPr="009A35D4">
        <w:rPr>
          <w:rFonts w:eastAsia="Times New Roman" w:cstheme="minorHAnsi"/>
          <w:color w:val="000000"/>
        </w:rPr>
        <w:t>.</w:t>
      </w:r>
      <w:r w:rsidR="00777917" w:rsidRPr="009A35D4">
        <w:rPr>
          <w:rFonts w:eastAsia="Times New Roman" w:cstheme="minorHAnsi"/>
          <w:color w:val="000000"/>
        </w:rPr>
        <w:t xml:space="preserve"> In such situations, cost-effectiveness estimates are likely to be more favorable to centralized testing (where equipment can be maintained for longer periods of time, with less variation in unit cost per test).</w:t>
      </w:r>
      <w:r w:rsidR="007338CF" w:rsidRPr="009A35D4">
        <w:rPr>
          <w:rFonts w:eastAsia="Times New Roman" w:cstheme="minorHAnsi"/>
          <w:color w:val="000000"/>
        </w:rPr>
        <w:t xml:space="preserve"> </w:t>
      </w:r>
      <w:r w:rsidR="000E1BF0" w:rsidRPr="009A35D4">
        <w:rPr>
          <w:rFonts w:eastAsia="Times New Roman" w:cstheme="minorHAnsi"/>
          <w:color w:val="000000"/>
        </w:rPr>
        <w:t xml:space="preserve"> </w:t>
      </w:r>
    </w:p>
    <w:p w14:paraId="153E193B" w14:textId="517B4B6A" w:rsidR="00EB0541" w:rsidRDefault="00EB0541">
      <w:pPr>
        <w:rPr>
          <w:rFonts w:cstheme="minorHAnsi"/>
        </w:rPr>
      </w:pPr>
    </w:p>
    <w:p w14:paraId="788B012F" w14:textId="189E5984" w:rsidR="00DD25D9" w:rsidRPr="009A35D4" w:rsidRDefault="00EB0541">
      <w:pPr>
        <w:rPr>
          <w:rFonts w:cstheme="minorHAnsi"/>
        </w:rPr>
      </w:pPr>
      <w:r>
        <w:rPr>
          <w:rFonts w:cstheme="minorHAnsi"/>
        </w:rPr>
        <w:br w:type="page"/>
      </w:r>
    </w:p>
    <w:tbl>
      <w:tblPr>
        <w:tblW w:w="5520" w:type="dxa"/>
        <w:jc w:val="center"/>
        <w:tblLook w:val="04A0" w:firstRow="1" w:lastRow="0" w:firstColumn="1" w:lastColumn="0" w:noHBand="0" w:noVBand="1"/>
      </w:tblPr>
      <w:tblGrid>
        <w:gridCol w:w="1440"/>
        <w:gridCol w:w="1020"/>
        <w:gridCol w:w="1020"/>
        <w:gridCol w:w="1020"/>
        <w:gridCol w:w="1020"/>
      </w:tblGrid>
      <w:tr w:rsidR="0074528F" w:rsidRPr="009A35D4" w14:paraId="029B657F" w14:textId="77777777" w:rsidTr="009A35D4">
        <w:trPr>
          <w:trHeight w:val="292"/>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465ADA1" w14:textId="4E63AB0B" w:rsidR="0074528F" w:rsidRPr="009A35D4" w:rsidRDefault="00506D5E" w:rsidP="0074528F">
            <w:pPr>
              <w:spacing w:after="0" w:line="240" w:lineRule="auto"/>
              <w:jc w:val="center"/>
              <w:rPr>
                <w:rFonts w:eastAsia="Times New Roman" w:cstheme="minorHAnsi"/>
                <w:color w:val="000000"/>
              </w:rPr>
            </w:pPr>
            <w:r w:rsidRPr="009A35D4">
              <w:rPr>
                <w:rFonts w:eastAsia="Times New Roman" w:cstheme="minorHAnsi"/>
                <w:color w:val="000000"/>
              </w:rPr>
              <w:lastRenderedPageBreak/>
              <w:t>Volume of</w:t>
            </w:r>
            <w:r w:rsidR="0074528F" w:rsidRPr="009A35D4">
              <w:rPr>
                <w:rFonts w:eastAsia="Times New Roman" w:cstheme="minorHAnsi"/>
                <w:color w:val="000000"/>
              </w:rPr>
              <w:t xml:space="preserve"> MC</w:t>
            </w:r>
            <w:r w:rsidRPr="009A35D4">
              <w:rPr>
                <w:rFonts w:eastAsia="Times New Roman" w:cstheme="minorHAnsi"/>
                <w:color w:val="000000"/>
              </w:rPr>
              <w:t xml:space="preserve"> testing</w:t>
            </w:r>
          </w:p>
        </w:tc>
        <w:tc>
          <w:tcPr>
            <w:tcW w:w="4080" w:type="dxa"/>
            <w:gridSpan w:val="4"/>
            <w:tcBorders>
              <w:top w:val="single" w:sz="4" w:space="0" w:color="auto"/>
              <w:left w:val="nil"/>
              <w:bottom w:val="single" w:sz="4" w:space="0" w:color="auto"/>
              <w:right w:val="single" w:sz="4" w:space="0" w:color="auto"/>
            </w:tcBorders>
            <w:shd w:val="clear" w:color="000000" w:fill="A6A6A6"/>
            <w:noWrap/>
            <w:vAlign w:val="bottom"/>
            <w:hideMark/>
          </w:tcPr>
          <w:p w14:paraId="7BC2FE1C" w14:textId="4CC8698B" w:rsidR="0074528F" w:rsidRPr="009A35D4" w:rsidRDefault="00506D5E" w:rsidP="0074528F">
            <w:pPr>
              <w:spacing w:after="0" w:line="240" w:lineRule="auto"/>
              <w:jc w:val="center"/>
              <w:rPr>
                <w:rFonts w:eastAsia="Times New Roman" w:cstheme="minorHAnsi"/>
                <w:color w:val="000000"/>
              </w:rPr>
            </w:pPr>
            <w:r w:rsidRPr="009A35D4">
              <w:rPr>
                <w:rFonts w:eastAsia="Times New Roman" w:cstheme="minorHAnsi"/>
                <w:color w:val="000000"/>
              </w:rPr>
              <w:t>Assumed Equipment Useful Life Years (</w:t>
            </w:r>
            <w:r w:rsidR="0074528F" w:rsidRPr="009A35D4">
              <w:rPr>
                <w:rFonts w:eastAsia="Times New Roman" w:cstheme="minorHAnsi"/>
                <w:color w:val="000000"/>
              </w:rPr>
              <w:t>ELY</w:t>
            </w:r>
            <w:r w:rsidRPr="009A35D4">
              <w:rPr>
                <w:rFonts w:eastAsia="Times New Roman" w:cstheme="minorHAnsi"/>
                <w:color w:val="000000"/>
              </w:rPr>
              <w:t>)</w:t>
            </w:r>
          </w:p>
        </w:tc>
      </w:tr>
      <w:tr w:rsidR="0074528F" w:rsidRPr="009A35D4" w14:paraId="5D2D13DA" w14:textId="77777777" w:rsidTr="009A35D4">
        <w:trPr>
          <w:trHeight w:val="292"/>
          <w:jc w:val="center"/>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1E916D37" w14:textId="77777777" w:rsidR="0074528F" w:rsidRPr="009A35D4" w:rsidRDefault="0074528F" w:rsidP="0074528F">
            <w:pPr>
              <w:spacing w:after="0" w:line="240" w:lineRule="auto"/>
              <w:rPr>
                <w:rFonts w:eastAsia="Times New Roman" w:cstheme="minorHAnsi"/>
                <w:color w:val="000000"/>
              </w:rPr>
            </w:pPr>
          </w:p>
        </w:tc>
        <w:tc>
          <w:tcPr>
            <w:tcW w:w="1020" w:type="dxa"/>
            <w:tcBorders>
              <w:top w:val="nil"/>
              <w:left w:val="nil"/>
              <w:bottom w:val="single" w:sz="4" w:space="0" w:color="auto"/>
              <w:right w:val="single" w:sz="4" w:space="0" w:color="auto"/>
            </w:tcBorders>
            <w:shd w:val="clear" w:color="000000" w:fill="BFBFBF"/>
            <w:noWrap/>
            <w:vAlign w:val="bottom"/>
            <w:hideMark/>
          </w:tcPr>
          <w:p w14:paraId="4C1793AD" w14:textId="77777777" w:rsidR="0074528F" w:rsidRPr="009A35D4" w:rsidRDefault="0074528F" w:rsidP="0074528F">
            <w:pPr>
              <w:spacing w:after="0" w:line="240" w:lineRule="auto"/>
              <w:jc w:val="right"/>
              <w:rPr>
                <w:rFonts w:eastAsia="Times New Roman" w:cstheme="minorHAnsi"/>
                <w:color w:val="000000"/>
              </w:rPr>
            </w:pPr>
            <w:r w:rsidRPr="009A35D4">
              <w:rPr>
                <w:rFonts w:eastAsia="Times New Roman" w:cstheme="minorHAnsi"/>
                <w:color w:val="000000"/>
              </w:rPr>
              <w:t>2</w:t>
            </w:r>
          </w:p>
        </w:tc>
        <w:tc>
          <w:tcPr>
            <w:tcW w:w="1020" w:type="dxa"/>
            <w:tcBorders>
              <w:top w:val="nil"/>
              <w:left w:val="nil"/>
              <w:bottom w:val="single" w:sz="4" w:space="0" w:color="auto"/>
              <w:right w:val="single" w:sz="4" w:space="0" w:color="auto"/>
            </w:tcBorders>
            <w:shd w:val="clear" w:color="000000" w:fill="BFBFBF"/>
            <w:noWrap/>
            <w:vAlign w:val="bottom"/>
            <w:hideMark/>
          </w:tcPr>
          <w:p w14:paraId="3F892346" w14:textId="77777777" w:rsidR="0074528F" w:rsidRPr="009A35D4" w:rsidRDefault="0074528F" w:rsidP="0074528F">
            <w:pPr>
              <w:spacing w:after="0" w:line="240" w:lineRule="auto"/>
              <w:jc w:val="right"/>
              <w:rPr>
                <w:rFonts w:eastAsia="Times New Roman" w:cstheme="minorHAnsi"/>
                <w:color w:val="000000"/>
              </w:rPr>
            </w:pPr>
            <w:r w:rsidRPr="009A35D4">
              <w:rPr>
                <w:rFonts w:eastAsia="Times New Roman" w:cstheme="minorHAnsi"/>
                <w:color w:val="000000"/>
              </w:rPr>
              <w:t>5</w:t>
            </w:r>
          </w:p>
        </w:tc>
        <w:tc>
          <w:tcPr>
            <w:tcW w:w="1020" w:type="dxa"/>
            <w:tcBorders>
              <w:top w:val="nil"/>
              <w:left w:val="nil"/>
              <w:bottom w:val="single" w:sz="4" w:space="0" w:color="auto"/>
              <w:right w:val="single" w:sz="4" w:space="0" w:color="auto"/>
            </w:tcBorders>
            <w:shd w:val="clear" w:color="000000" w:fill="BFBFBF"/>
            <w:noWrap/>
            <w:vAlign w:val="bottom"/>
            <w:hideMark/>
          </w:tcPr>
          <w:p w14:paraId="0B1AFC97" w14:textId="77777777" w:rsidR="0074528F" w:rsidRPr="009A35D4" w:rsidRDefault="0074528F" w:rsidP="0074528F">
            <w:pPr>
              <w:spacing w:after="0" w:line="240" w:lineRule="auto"/>
              <w:jc w:val="right"/>
              <w:rPr>
                <w:rFonts w:eastAsia="Times New Roman" w:cstheme="minorHAnsi"/>
                <w:color w:val="000000"/>
              </w:rPr>
            </w:pPr>
            <w:r w:rsidRPr="009A35D4">
              <w:rPr>
                <w:rFonts w:eastAsia="Times New Roman" w:cstheme="minorHAnsi"/>
                <w:color w:val="000000"/>
              </w:rPr>
              <w:t>10</w:t>
            </w:r>
          </w:p>
        </w:tc>
        <w:tc>
          <w:tcPr>
            <w:tcW w:w="1020" w:type="dxa"/>
            <w:tcBorders>
              <w:top w:val="nil"/>
              <w:left w:val="nil"/>
              <w:bottom w:val="single" w:sz="4" w:space="0" w:color="auto"/>
              <w:right w:val="single" w:sz="4" w:space="0" w:color="auto"/>
            </w:tcBorders>
            <w:shd w:val="clear" w:color="000000" w:fill="BFBFBF"/>
            <w:noWrap/>
            <w:vAlign w:val="bottom"/>
            <w:hideMark/>
          </w:tcPr>
          <w:p w14:paraId="2558DD43" w14:textId="77777777" w:rsidR="0074528F" w:rsidRPr="009A35D4" w:rsidRDefault="0074528F" w:rsidP="0074528F">
            <w:pPr>
              <w:spacing w:after="0" w:line="240" w:lineRule="auto"/>
              <w:jc w:val="right"/>
              <w:rPr>
                <w:rFonts w:eastAsia="Times New Roman" w:cstheme="minorHAnsi"/>
                <w:color w:val="000000"/>
              </w:rPr>
            </w:pPr>
            <w:r w:rsidRPr="009A35D4">
              <w:rPr>
                <w:rFonts w:eastAsia="Times New Roman" w:cstheme="minorHAnsi"/>
                <w:color w:val="000000"/>
              </w:rPr>
              <w:t>15</w:t>
            </w:r>
          </w:p>
        </w:tc>
      </w:tr>
      <w:tr w:rsidR="0074528F" w:rsidRPr="009A35D4" w14:paraId="1974FD68" w14:textId="77777777" w:rsidTr="009A35D4">
        <w:trPr>
          <w:trHeight w:val="292"/>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5F7B19" w14:textId="22D3033B" w:rsidR="0074528F" w:rsidRPr="009A35D4" w:rsidRDefault="0074528F" w:rsidP="0074528F">
            <w:pPr>
              <w:spacing w:after="0" w:line="240" w:lineRule="auto"/>
              <w:rPr>
                <w:rFonts w:eastAsia="Times New Roman" w:cstheme="minorHAnsi"/>
                <w:color w:val="000000"/>
              </w:rPr>
            </w:pPr>
            <w:r w:rsidRPr="009A35D4">
              <w:rPr>
                <w:rFonts w:eastAsia="Times New Roman" w:cstheme="minorHAnsi"/>
                <w:color w:val="000000"/>
              </w:rPr>
              <w:t>MC (λ=0.3)</w:t>
            </w:r>
          </w:p>
        </w:tc>
        <w:tc>
          <w:tcPr>
            <w:tcW w:w="1020" w:type="dxa"/>
            <w:tcBorders>
              <w:top w:val="nil"/>
              <w:left w:val="nil"/>
              <w:bottom w:val="single" w:sz="4" w:space="0" w:color="auto"/>
              <w:right w:val="single" w:sz="4" w:space="0" w:color="auto"/>
            </w:tcBorders>
            <w:shd w:val="clear" w:color="auto" w:fill="auto"/>
            <w:noWrap/>
            <w:vAlign w:val="bottom"/>
            <w:hideMark/>
          </w:tcPr>
          <w:p w14:paraId="5B022CF2" w14:textId="4056B7E2" w:rsidR="0074528F" w:rsidRPr="009A35D4" w:rsidRDefault="00506D5E" w:rsidP="0074528F">
            <w:pPr>
              <w:spacing w:after="0" w:line="240" w:lineRule="auto"/>
              <w:jc w:val="right"/>
              <w:rPr>
                <w:rFonts w:eastAsia="Times New Roman" w:cstheme="minorHAnsi"/>
                <w:color w:val="000000"/>
              </w:rPr>
            </w:pPr>
            <w:r w:rsidRPr="009A35D4">
              <w:rPr>
                <w:rFonts w:eastAsia="Times New Roman" w:cstheme="minorHAnsi"/>
                <w:color w:val="000000"/>
              </w:rPr>
              <w:t>$</w:t>
            </w:r>
            <w:r w:rsidR="0074528F" w:rsidRPr="009A35D4">
              <w:rPr>
                <w:rFonts w:eastAsia="Times New Roman" w:cstheme="minorHAnsi"/>
                <w:color w:val="000000"/>
              </w:rPr>
              <w:t>52.48</w:t>
            </w:r>
          </w:p>
        </w:tc>
        <w:tc>
          <w:tcPr>
            <w:tcW w:w="1020" w:type="dxa"/>
            <w:tcBorders>
              <w:top w:val="nil"/>
              <w:left w:val="nil"/>
              <w:bottom w:val="single" w:sz="4" w:space="0" w:color="auto"/>
              <w:right w:val="single" w:sz="4" w:space="0" w:color="auto"/>
            </w:tcBorders>
            <w:shd w:val="clear" w:color="auto" w:fill="auto"/>
            <w:noWrap/>
            <w:vAlign w:val="bottom"/>
            <w:hideMark/>
          </w:tcPr>
          <w:p w14:paraId="7D8328F6" w14:textId="5950E3FF" w:rsidR="0074528F" w:rsidRPr="009A35D4" w:rsidRDefault="00506D5E" w:rsidP="0074528F">
            <w:pPr>
              <w:spacing w:after="0" w:line="240" w:lineRule="auto"/>
              <w:jc w:val="right"/>
              <w:rPr>
                <w:rFonts w:eastAsia="Times New Roman" w:cstheme="minorHAnsi"/>
                <w:color w:val="000000"/>
              </w:rPr>
            </w:pPr>
            <w:r w:rsidRPr="009A35D4">
              <w:rPr>
                <w:rFonts w:eastAsia="Times New Roman" w:cstheme="minorHAnsi"/>
                <w:color w:val="000000"/>
              </w:rPr>
              <w:t>$</w:t>
            </w:r>
            <w:r w:rsidR="0074528F" w:rsidRPr="009A35D4">
              <w:rPr>
                <w:rFonts w:eastAsia="Times New Roman" w:cstheme="minorHAnsi"/>
                <w:color w:val="000000"/>
              </w:rPr>
              <w:t>35.12</w:t>
            </w:r>
          </w:p>
        </w:tc>
        <w:tc>
          <w:tcPr>
            <w:tcW w:w="1020" w:type="dxa"/>
            <w:tcBorders>
              <w:top w:val="nil"/>
              <w:left w:val="nil"/>
              <w:bottom w:val="single" w:sz="4" w:space="0" w:color="auto"/>
              <w:right w:val="single" w:sz="4" w:space="0" w:color="auto"/>
            </w:tcBorders>
            <w:shd w:val="clear" w:color="auto" w:fill="auto"/>
            <w:noWrap/>
            <w:vAlign w:val="bottom"/>
            <w:hideMark/>
          </w:tcPr>
          <w:p w14:paraId="2BC75889" w14:textId="0F47A2AE" w:rsidR="0074528F" w:rsidRPr="009A35D4" w:rsidRDefault="00506D5E" w:rsidP="0074528F">
            <w:pPr>
              <w:spacing w:after="0" w:line="240" w:lineRule="auto"/>
              <w:jc w:val="right"/>
              <w:rPr>
                <w:rFonts w:eastAsia="Times New Roman" w:cstheme="minorHAnsi"/>
                <w:color w:val="000000"/>
              </w:rPr>
            </w:pPr>
            <w:r w:rsidRPr="009A35D4">
              <w:rPr>
                <w:rFonts w:eastAsia="Times New Roman" w:cstheme="minorHAnsi"/>
                <w:color w:val="000000"/>
              </w:rPr>
              <w:t>$</w:t>
            </w:r>
            <w:r w:rsidR="0074528F" w:rsidRPr="009A35D4">
              <w:rPr>
                <w:rFonts w:eastAsia="Times New Roman" w:cstheme="minorHAnsi"/>
                <w:color w:val="000000"/>
              </w:rPr>
              <w:t>29.21</w:t>
            </w:r>
          </w:p>
        </w:tc>
        <w:tc>
          <w:tcPr>
            <w:tcW w:w="1020" w:type="dxa"/>
            <w:tcBorders>
              <w:top w:val="nil"/>
              <w:left w:val="nil"/>
              <w:bottom w:val="single" w:sz="4" w:space="0" w:color="auto"/>
              <w:right w:val="single" w:sz="4" w:space="0" w:color="auto"/>
            </w:tcBorders>
            <w:shd w:val="clear" w:color="auto" w:fill="auto"/>
            <w:noWrap/>
            <w:vAlign w:val="bottom"/>
            <w:hideMark/>
          </w:tcPr>
          <w:p w14:paraId="199C3A4B" w14:textId="561A9821" w:rsidR="0074528F" w:rsidRPr="009A35D4" w:rsidRDefault="00506D5E" w:rsidP="0074528F">
            <w:pPr>
              <w:spacing w:after="0" w:line="240" w:lineRule="auto"/>
              <w:jc w:val="right"/>
              <w:rPr>
                <w:rFonts w:eastAsia="Times New Roman" w:cstheme="minorHAnsi"/>
                <w:color w:val="000000"/>
              </w:rPr>
            </w:pPr>
            <w:r w:rsidRPr="009A35D4">
              <w:rPr>
                <w:rFonts w:eastAsia="Times New Roman" w:cstheme="minorHAnsi"/>
                <w:color w:val="000000"/>
              </w:rPr>
              <w:t>$</w:t>
            </w:r>
            <w:r w:rsidR="0074528F" w:rsidRPr="009A35D4">
              <w:rPr>
                <w:rFonts w:eastAsia="Times New Roman" w:cstheme="minorHAnsi"/>
                <w:color w:val="000000"/>
              </w:rPr>
              <w:t>27.37</w:t>
            </w:r>
          </w:p>
        </w:tc>
      </w:tr>
      <w:tr w:rsidR="0074528F" w:rsidRPr="009A35D4" w14:paraId="6DD25158" w14:textId="77777777" w:rsidTr="009A35D4">
        <w:trPr>
          <w:trHeight w:val="292"/>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82A2E10" w14:textId="5FA051DA" w:rsidR="0074528F" w:rsidRPr="009A35D4" w:rsidRDefault="0074528F" w:rsidP="0074528F">
            <w:pPr>
              <w:spacing w:after="0" w:line="240" w:lineRule="auto"/>
              <w:rPr>
                <w:rFonts w:eastAsia="Times New Roman" w:cstheme="minorHAnsi"/>
                <w:color w:val="000000"/>
              </w:rPr>
            </w:pPr>
            <w:r w:rsidRPr="009A35D4">
              <w:rPr>
                <w:rFonts w:eastAsia="Times New Roman" w:cstheme="minorHAnsi"/>
                <w:color w:val="000000"/>
              </w:rPr>
              <w:t>MC (λ=3)</w:t>
            </w:r>
          </w:p>
        </w:tc>
        <w:tc>
          <w:tcPr>
            <w:tcW w:w="1020" w:type="dxa"/>
            <w:tcBorders>
              <w:top w:val="nil"/>
              <w:left w:val="nil"/>
              <w:bottom w:val="single" w:sz="4" w:space="0" w:color="auto"/>
              <w:right w:val="single" w:sz="4" w:space="0" w:color="auto"/>
            </w:tcBorders>
            <w:shd w:val="clear" w:color="auto" w:fill="auto"/>
            <w:noWrap/>
            <w:vAlign w:val="bottom"/>
            <w:hideMark/>
          </w:tcPr>
          <w:p w14:paraId="4535E6E4" w14:textId="59D91F02" w:rsidR="0074528F" w:rsidRPr="009A35D4" w:rsidRDefault="00506D5E" w:rsidP="0074528F">
            <w:pPr>
              <w:spacing w:after="0" w:line="240" w:lineRule="auto"/>
              <w:jc w:val="right"/>
              <w:rPr>
                <w:rFonts w:eastAsia="Times New Roman" w:cstheme="minorHAnsi"/>
                <w:color w:val="000000"/>
              </w:rPr>
            </w:pPr>
            <w:r w:rsidRPr="009A35D4">
              <w:rPr>
                <w:rFonts w:eastAsia="Times New Roman" w:cstheme="minorHAnsi"/>
                <w:color w:val="000000"/>
              </w:rPr>
              <w:t>$</w:t>
            </w:r>
            <w:r w:rsidR="0074528F" w:rsidRPr="009A35D4">
              <w:rPr>
                <w:rFonts w:eastAsia="Times New Roman" w:cstheme="minorHAnsi"/>
                <w:color w:val="000000"/>
              </w:rPr>
              <w:t>28.12</w:t>
            </w:r>
          </w:p>
        </w:tc>
        <w:tc>
          <w:tcPr>
            <w:tcW w:w="1020" w:type="dxa"/>
            <w:tcBorders>
              <w:top w:val="nil"/>
              <w:left w:val="nil"/>
              <w:bottom w:val="single" w:sz="4" w:space="0" w:color="auto"/>
              <w:right w:val="single" w:sz="4" w:space="0" w:color="auto"/>
            </w:tcBorders>
            <w:shd w:val="clear" w:color="auto" w:fill="auto"/>
            <w:noWrap/>
            <w:vAlign w:val="bottom"/>
            <w:hideMark/>
          </w:tcPr>
          <w:p w14:paraId="3FE792D1" w14:textId="0E5E78E7" w:rsidR="0074528F" w:rsidRPr="009A35D4" w:rsidRDefault="00506D5E" w:rsidP="0074528F">
            <w:pPr>
              <w:spacing w:after="0" w:line="240" w:lineRule="auto"/>
              <w:jc w:val="right"/>
              <w:rPr>
                <w:rFonts w:eastAsia="Times New Roman" w:cstheme="minorHAnsi"/>
                <w:color w:val="000000"/>
              </w:rPr>
            </w:pPr>
            <w:r w:rsidRPr="009A35D4">
              <w:rPr>
                <w:rFonts w:eastAsia="Times New Roman" w:cstheme="minorHAnsi"/>
                <w:color w:val="000000"/>
              </w:rPr>
              <w:t>$</w:t>
            </w:r>
            <w:r w:rsidR="0074528F" w:rsidRPr="009A35D4">
              <w:rPr>
                <w:rFonts w:eastAsia="Times New Roman" w:cstheme="minorHAnsi"/>
                <w:color w:val="000000"/>
              </w:rPr>
              <w:t>21.29</w:t>
            </w:r>
          </w:p>
        </w:tc>
        <w:tc>
          <w:tcPr>
            <w:tcW w:w="1020" w:type="dxa"/>
            <w:tcBorders>
              <w:top w:val="nil"/>
              <w:left w:val="nil"/>
              <w:bottom w:val="single" w:sz="4" w:space="0" w:color="auto"/>
              <w:right w:val="single" w:sz="4" w:space="0" w:color="auto"/>
            </w:tcBorders>
            <w:shd w:val="clear" w:color="auto" w:fill="auto"/>
            <w:noWrap/>
            <w:vAlign w:val="bottom"/>
            <w:hideMark/>
          </w:tcPr>
          <w:p w14:paraId="31F83B89" w14:textId="4A38960C" w:rsidR="0074528F" w:rsidRPr="009A35D4" w:rsidRDefault="00506D5E" w:rsidP="0074528F">
            <w:pPr>
              <w:spacing w:after="0" w:line="240" w:lineRule="auto"/>
              <w:jc w:val="right"/>
              <w:rPr>
                <w:rFonts w:eastAsia="Times New Roman" w:cstheme="minorHAnsi"/>
                <w:color w:val="000000"/>
              </w:rPr>
            </w:pPr>
            <w:r w:rsidRPr="009A35D4">
              <w:rPr>
                <w:rFonts w:eastAsia="Times New Roman" w:cstheme="minorHAnsi"/>
                <w:color w:val="000000"/>
              </w:rPr>
              <w:t>$</w:t>
            </w:r>
            <w:r w:rsidR="0074528F" w:rsidRPr="009A35D4">
              <w:rPr>
                <w:rFonts w:eastAsia="Times New Roman" w:cstheme="minorHAnsi"/>
                <w:color w:val="000000"/>
              </w:rPr>
              <w:t>18.93</w:t>
            </w:r>
          </w:p>
        </w:tc>
        <w:tc>
          <w:tcPr>
            <w:tcW w:w="1020" w:type="dxa"/>
            <w:tcBorders>
              <w:top w:val="nil"/>
              <w:left w:val="nil"/>
              <w:bottom w:val="single" w:sz="4" w:space="0" w:color="auto"/>
              <w:right w:val="single" w:sz="4" w:space="0" w:color="auto"/>
            </w:tcBorders>
            <w:shd w:val="clear" w:color="auto" w:fill="auto"/>
            <w:noWrap/>
            <w:vAlign w:val="bottom"/>
            <w:hideMark/>
          </w:tcPr>
          <w:p w14:paraId="1B10C7EB" w14:textId="77E123F8" w:rsidR="0074528F" w:rsidRPr="009A35D4" w:rsidRDefault="00506D5E" w:rsidP="0074528F">
            <w:pPr>
              <w:spacing w:after="0" w:line="240" w:lineRule="auto"/>
              <w:jc w:val="right"/>
              <w:rPr>
                <w:rFonts w:eastAsia="Times New Roman" w:cstheme="minorHAnsi"/>
                <w:color w:val="000000"/>
              </w:rPr>
            </w:pPr>
            <w:r w:rsidRPr="009A35D4">
              <w:rPr>
                <w:rFonts w:eastAsia="Times New Roman" w:cstheme="minorHAnsi"/>
                <w:color w:val="000000"/>
              </w:rPr>
              <w:t>$</w:t>
            </w:r>
            <w:r w:rsidR="0074528F" w:rsidRPr="009A35D4">
              <w:rPr>
                <w:rFonts w:eastAsia="Times New Roman" w:cstheme="minorHAnsi"/>
                <w:color w:val="000000"/>
              </w:rPr>
              <w:t>18.23</w:t>
            </w:r>
          </w:p>
        </w:tc>
      </w:tr>
      <w:tr w:rsidR="0074528F" w:rsidRPr="009A35D4" w14:paraId="103ACA5E" w14:textId="77777777" w:rsidTr="009A35D4">
        <w:trPr>
          <w:trHeight w:val="292"/>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887880B" w14:textId="77777777" w:rsidR="0074528F" w:rsidRPr="009A35D4" w:rsidRDefault="0074528F" w:rsidP="0074528F">
            <w:pPr>
              <w:spacing w:after="0" w:line="240" w:lineRule="auto"/>
              <w:rPr>
                <w:rFonts w:eastAsia="Times New Roman" w:cstheme="minorHAnsi"/>
                <w:color w:val="000000"/>
              </w:rPr>
            </w:pPr>
            <w:r w:rsidRPr="009A35D4">
              <w:rPr>
                <w:rFonts w:eastAsia="Times New Roman" w:cstheme="minorHAnsi"/>
                <w:color w:val="000000"/>
              </w:rPr>
              <w:t>% difference</w:t>
            </w:r>
          </w:p>
        </w:tc>
        <w:tc>
          <w:tcPr>
            <w:tcW w:w="1020" w:type="dxa"/>
            <w:tcBorders>
              <w:top w:val="nil"/>
              <w:left w:val="nil"/>
              <w:bottom w:val="single" w:sz="4" w:space="0" w:color="auto"/>
              <w:right w:val="single" w:sz="4" w:space="0" w:color="auto"/>
            </w:tcBorders>
            <w:shd w:val="clear" w:color="auto" w:fill="auto"/>
            <w:noWrap/>
            <w:vAlign w:val="bottom"/>
            <w:hideMark/>
          </w:tcPr>
          <w:p w14:paraId="427AD734" w14:textId="77777777" w:rsidR="0074528F" w:rsidRPr="009A35D4" w:rsidRDefault="0074528F" w:rsidP="0074528F">
            <w:pPr>
              <w:spacing w:after="0" w:line="240" w:lineRule="auto"/>
              <w:jc w:val="right"/>
              <w:rPr>
                <w:rFonts w:eastAsia="Times New Roman" w:cstheme="minorHAnsi"/>
                <w:color w:val="000000"/>
              </w:rPr>
            </w:pPr>
            <w:r w:rsidRPr="009A35D4">
              <w:rPr>
                <w:rFonts w:eastAsia="Times New Roman" w:cstheme="minorHAnsi"/>
                <w:color w:val="000000"/>
              </w:rPr>
              <w:t>87%</w:t>
            </w:r>
          </w:p>
        </w:tc>
        <w:tc>
          <w:tcPr>
            <w:tcW w:w="1020" w:type="dxa"/>
            <w:tcBorders>
              <w:top w:val="nil"/>
              <w:left w:val="nil"/>
              <w:bottom w:val="single" w:sz="4" w:space="0" w:color="auto"/>
              <w:right w:val="single" w:sz="4" w:space="0" w:color="auto"/>
            </w:tcBorders>
            <w:shd w:val="clear" w:color="auto" w:fill="auto"/>
            <w:noWrap/>
            <w:vAlign w:val="bottom"/>
            <w:hideMark/>
          </w:tcPr>
          <w:p w14:paraId="7D9EAB1F" w14:textId="77777777" w:rsidR="0074528F" w:rsidRPr="009A35D4" w:rsidRDefault="0074528F" w:rsidP="0074528F">
            <w:pPr>
              <w:spacing w:after="0" w:line="240" w:lineRule="auto"/>
              <w:jc w:val="right"/>
              <w:rPr>
                <w:rFonts w:eastAsia="Times New Roman" w:cstheme="minorHAnsi"/>
                <w:color w:val="000000"/>
              </w:rPr>
            </w:pPr>
            <w:r w:rsidRPr="009A35D4">
              <w:rPr>
                <w:rFonts w:eastAsia="Times New Roman" w:cstheme="minorHAnsi"/>
                <w:color w:val="000000"/>
              </w:rPr>
              <w:t>65%</w:t>
            </w:r>
          </w:p>
        </w:tc>
        <w:tc>
          <w:tcPr>
            <w:tcW w:w="1020" w:type="dxa"/>
            <w:tcBorders>
              <w:top w:val="nil"/>
              <w:left w:val="nil"/>
              <w:bottom w:val="single" w:sz="4" w:space="0" w:color="auto"/>
              <w:right w:val="single" w:sz="4" w:space="0" w:color="auto"/>
            </w:tcBorders>
            <w:shd w:val="clear" w:color="auto" w:fill="auto"/>
            <w:noWrap/>
            <w:vAlign w:val="bottom"/>
            <w:hideMark/>
          </w:tcPr>
          <w:p w14:paraId="4B17BE2B" w14:textId="77777777" w:rsidR="0074528F" w:rsidRPr="009A35D4" w:rsidRDefault="0074528F" w:rsidP="0074528F">
            <w:pPr>
              <w:spacing w:after="0" w:line="240" w:lineRule="auto"/>
              <w:jc w:val="right"/>
              <w:rPr>
                <w:rFonts w:eastAsia="Times New Roman" w:cstheme="minorHAnsi"/>
                <w:color w:val="000000"/>
              </w:rPr>
            </w:pPr>
            <w:r w:rsidRPr="009A35D4">
              <w:rPr>
                <w:rFonts w:eastAsia="Times New Roman" w:cstheme="minorHAnsi"/>
                <w:color w:val="000000"/>
              </w:rPr>
              <w:t>54%</w:t>
            </w:r>
          </w:p>
        </w:tc>
        <w:tc>
          <w:tcPr>
            <w:tcW w:w="1020" w:type="dxa"/>
            <w:tcBorders>
              <w:top w:val="nil"/>
              <w:left w:val="nil"/>
              <w:bottom w:val="single" w:sz="4" w:space="0" w:color="auto"/>
              <w:right w:val="single" w:sz="4" w:space="0" w:color="auto"/>
            </w:tcBorders>
            <w:shd w:val="clear" w:color="auto" w:fill="auto"/>
            <w:noWrap/>
            <w:vAlign w:val="bottom"/>
            <w:hideMark/>
          </w:tcPr>
          <w:p w14:paraId="68E765D7" w14:textId="77777777" w:rsidR="0074528F" w:rsidRPr="009A35D4" w:rsidRDefault="0074528F" w:rsidP="0074528F">
            <w:pPr>
              <w:spacing w:after="0" w:line="240" w:lineRule="auto"/>
              <w:jc w:val="right"/>
              <w:rPr>
                <w:rFonts w:eastAsia="Times New Roman" w:cstheme="minorHAnsi"/>
                <w:color w:val="000000"/>
              </w:rPr>
            </w:pPr>
            <w:r w:rsidRPr="009A35D4">
              <w:rPr>
                <w:rFonts w:eastAsia="Times New Roman" w:cstheme="minorHAnsi"/>
                <w:color w:val="000000"/>
              </w:rPr>
              <w:t>50%</w:t>
            </w:r>
          </w:p>
        </w:tc>
      </w:tr>
    </w:tbl>
    <w:p w14:paraId="7B74AE6C" w14:textId="6A041790" w:rsidR="00B614B1" w:rsidRPr="009A35D4" w:rsidRDefault="00B614B1" w:rsidP="000E1BF0">
      <w:pPr>
        <w:spacing w:after="0"/>
        <w:rPr>
          <w:rFonts w:cstheme="minorHAnsi"/>
        </w:rPr>
      </w:pPr>
    </w:p>
    <w:p w14:paraId="3A08F150" w14:textId="421847D1" w:rsidR="007338CF" w:rsidRPr="00D93D2D" w:rsidRDefault="0074528F">
      <w:pPr>
        <w:rPr>
          <w:rFonts w:cstheme="minorHAnsi"/>
        </w:rPr>
      </w:pPr>
      <w:r w:rsidRPr="009A35D4">
        <w:rPr>
          <w:rFonts w:cstheme="minorHAnsi"/>
          <w:b/>
          <w:bCs/>
        </w:rPr>
        <w:t>Table S11.</w:t>
      </w:r>
      <w:r w:rsidRPr="009A35D4">
        <w:rPr>
          <w:rFonts w:cstheme="minorHAnsi"/>
        </w:rPr>
        <w:t xml:space="preserve"> Mean per-test cost</w:t>
      </w:r>
      <w:r w:rsidR="00506D5E" w:rsidRPr="009A35D4">
        <w:rPr>
          <w:rFonts w:cstheme="minorHAnsi"/>
        </w:rPr>
        <w:t xml:space="preserve"> of single-module Xpert (expressed in 2015 US dollars)</w:t>
      </w:r>
      <w:r w:rsidRPr="009A35D4">
        <w:rPr>
          <w:rFonts w:cstheme="minorHAnsi"/>
        </w:rPr>
        <w:t xml:space="preserve"> at two microscopy centers </w:t>
      </w:r>
      <w:r w:rsidR="00506D5E" w:rsidRPr="009A35D4">
        <w:rPr>
          <w:rFonts w:cstheme="minorHAnsi"/>
        </w:rPr>
        <w:t xml:space="preserve">with </w:t>
      </w:r>
      <w:r w:rsidRPr="009A35D4">
        <w:rPr>
          <w:rFonts w:cstheme="minorHAnsi"/>
        </w:rPr>
        <w:t>different average daily testing volumes</w:t>
      </w:r>
      <w:r w:rsidR="00506D5E" w:rsidRPr="009A35D4">
        <w:rPr>
          <w:rFonts w:cstheme="minorHAnsi"/>
        </w:rPr>
        <w:t xml:space="preserve"> and different assumptions about the useful life of Xpert equipment</w:t>
      </w:r>
      <w:r w:rsidRPr="009A35D4">
        <w:rPr>
          <w:rFonts w:cstheme="minorHAnsi"/>
        </w:rPr>
        <w:t>.</w:t>
      </w:r>
    </w:p>
    <w:p w14:paraId="42C1B9F1" w14:textId="2A08DDDD" w:rsidR="0074528F" w:rsidRPr="00D93D2D" w:rsidRDefault="007338CF">
      <w:pPr>
        <w:rPr>
          <w:rFonts w:cstheme="minorHAnsi"/>
        </w:rPr>
      </w:pPr>
      <w:r w:rsidRPr="00D93D2D">
        <w:rPr>
          <w:rFonts w:cstheme="minorHAnsi"/>
        </w:rPr>
        <w:br w:type="page"/>
      </w:r>
    </w:p>
    <w:p w14:paraId="61D3A8BA" w14:textId="507389A7" w:rsidR="000D2FEE" w:rsidRPr="00D93D2D" w:rsidRDefault="00EF205C" w:rsidP="00060BF2">
      <w:pPr>
        <w:pStyle w:val="Heading1"/>
        <w:tabs>
          <w:tab w:val="left" w:pos="2430"/>
        </w:tabs>
        <w:jc w:val="both"/>
        <w:rPr>
          <w:rFonts w:cstheme="minorHAnsi"/>
        </w:rPr>
      </w:pPr>
      <w:bookmarkStart w:id="9" w:name="_Toc12877761"/>
      <w:r w:rsidRPr="00D93D2D">
        <w:rPr>
          <w:rFonts w:cstheme="minorHAnsi"/>
        </w:rPr>
        <w:lastRenderedPageBreak/>
        <w:t>The simulation model</w:t>
      </w:r>
      <w:bookmarkEnd w:id="9"/>
    </w:p>
    <w:p w14:paraId="3238F82A" w14:textId="7CA36EB2" w:rsidR="003767A9" w:rsidRPr="00D93D2D" w:rsidRDefault="003767A9" w:rsidP="00060BF2">
      <w:pPr>
        <w:tabs>
          <w:tab w:val="left" w:pos="2430"/>
        </w:tabs>
        <w:jc w:val="both"/>
        <w:rPr>
          <w:rFonts w:cstheme="minorHAnsi"/>
        </w:rPr>
      </w:pPr>
      <w:r w:rsidRPr="00D93D2D">
        <w:rPr>
          <w:rFonts w:cstheme="minorHAnsi"/>
        </w:rPr>
        <w:t xml:space="preserve">Details regarding the underlying structure of our agent-based simulation model </w:t>
      </w:r>
      <w:r w:rsidR="00B34C27" w:rsidRPr="00D93D2D">
        <w:rPr>
          <w:rFonts w:cstheme="minorHAnsi"/>
        </w:rPr>
        <w:t>in terms of population demographics, contact network, TB natural history and TB care cascade are provided in our earlier publication</w:t>
      </w:r>
      <w:r w:rsidR="00EF205C" w:rsidRPr="00D93D2D">
        <w:rPr>
          <w:rFonts w:cstheme="minorHAnsi"/>
        </w:rPr>
        <w:t>,</w:t>
      </w:r>
      <w:r w:rsidR="001E22FE" w:rsidRPr="00D93D2D">
        <w:rPr>
          <w:rFonts w:cstheme="minorHAnsi"/>
        </w:rPr>
        <w:fldChar w:fldCharType="begin" w:fldLock="1"/>
      </w:r>
      <w:r w:rsidR="009A35D4">
        <w:rPr>
          <w:rFonts w:cstheme="minorHAnsi"/>
        </w:rPr>
        <w:instrText>ADDIN CSL_CITATION {"citationItems":[{"id":"ITEM-1","itemData":{"DOI":"10.1109/WSC.2017.8247858","ISBN":"9781538634288","ISSN":"08917736","abstract":"Many high-burden countries have committed to providing universal access to rapid diagnosis of tuberculosis (TB), but the corresponding impact on population-wide incidence is unknown. We designed an agent-based simulation of drug-susceptible (DS) and drug-resistant (DR) TB in a representative Indian setting and compared the impact of Xpert testing via a decentralized (Xpert available at each local-population) versus centralized (Xpert available at the district-level serving multiple local-populations) strategy. Decentralized testing resulted in a 36% reduction in DR-TB incidence at 10 years compared to no Xpert. Depending on assumptions regarding pre-treatment loss to follow-up (ranging from 5 to 50%), the impact of centralized testing ranged from a 35% to 22% reduction in DR-TB incidence. Implementation of Xpert by either approach had a negligible impact (&lt;;5%) on DS-TB incidence. Decisions regarding choice of centralized vs. decentralized Xpert will heavily depend on operational aspects of centralized Xpert and loss to follow-up.","author":[{"dropping-particle":"","family":"Kasaie","given":"P.","non-dropping-particle":"","parse-names":false,"suffix":""},{"dropping-particle":"","family":"Sohn","given":"H.","non-dropping-particle":"","parse-names":false,"suffix":""},{"dropping-particle":"","family":"Kendall","given":"E.","non-dropping-particle":"","parse-names":false,"suffix":""},{"dropping-particle":"","family":"Gomez","given":"G B","non-dropping-particle":"","parse-names":false,"suffix":""},{"dropping-particle":"","family":"Vassall","given":"A.","non-dropping-particle":"","parse-names":false,"suffix":""},{"dropping-particle":"","family":"Pai","given":"M.","non-dropping-particle":"","parse-names":false,"suffix":""},{"dropping-particle":"","family":"Dowdy","given":"D W","non-dropping-particle":"","parse-names":false,"suffix":""}],"container-title":"2017 Winter Simulation Conference (WSC)","id":"ITEM-1","issued":{"date-parts":[["2017"]]},"page":"1097-1108","title":"Exploring the epidemiological impact of universal access to rapid tuberculosis diagnosis using agent-based simulation","type":"paper-conference","volume":"Part F1341"},"uris":["http://www.mendeley.com/documents/?uuid=ebf690bb-af43-3283-9fa4-ef61de20ce93"]}],"mendeley":{"formattedCitation":"[9]","plainTextFormattedCitation":"[9]","previouslyFormattedCitation":"[9]"},"properties":{"noteIndex":0},"schema":"https://github.com/citation-style-language/schema/raw/master/csl-citation.json"}</w:instrText>
      </w:r>
      <w:r w:rsidR="001E22FE" w:rsidRPr="00D93D2D">
        <w:rPr>
          <w:rFonts w:cstheme="minorHAnsi"/>
        </w:rPr>
        <w:fldChar w:fldCharType="separate"/>
      </w:r>
      <w:r w:rsidR="009A35D4" w:rsidRPr="009A35D4">
        <w:rPr>
          <w:rFonts w:cstheme="minorHAnsi"/>
          <w:noProof/>
        </w:rPr>
        <w:t>[9]</w:t>
      </w:r>
      <w:r w:rsidR="001E22FE" w:rsidRPr="00D93D2D">
        <w:rPr>
          <w:rFonts w:cstheme="minorHAnsi"/>
        </w:rPr>
        <w:fldChar w:fldCharType="end"/>
      </w:r>
      <w:r w:rsidR="00EF205C" w:rsidRPr="00D93D2D">
        <w:rPr>
          <w:rFonts w:cstheme="minorHAnsi"/>
        </w:rPr>
        <w:t xml:space="preserve"> and as such are not repeated here</w:t>
      </w:r>
      <w:r w:rsidR="00B34C27" w:rsidRPr="00D93D2D">
        <w:rPr>
          <w:rFonts w:cstheme="minorHAnsi"/>
        </w:rPr>
        <w:t>. In this section, we provide an overview of the new aspects of this model relevant to study of centralized vs. decentralized Xpert</w:t>
      </w:r>
      <w:r w:rsidR="001A1F1D" w:rsidRPr="00D93D2D">
        <w:rPr>
          <w:rFonts w:cstheme="minorHAnsi"/>
        </w:rPr>
        <w:t xml:space="preserve"> implementation</w:t>
      </w:r>
      <w:r w:rsidR="00B34C27" w:rsidRPr="00D93D2D">
        <w:rPr>
          <w:rFonts w:cstheme="minorHAnsi"/>
        </w:rPr>
        <w:t xml:space="preserve">.  </w:t>
      </w:r>
    </w:p>
    <w:p w14:paraId="2AAC506B" w14:textId="1E2E5679" w:rsidR="003767A9" w:rsidRPr="00D93D2D" w:rsidRDefault="00EF205C" w:rsidP="00060BF2">
      <w:pPr>
        <w:pStyle w:val="Heading2"/>
        <w:keepLines w:val="0"/>
        <w:tabs>
          <w:tab w:val="left" w:pos="360"/>
          <w:tab w:val="num" w:pos="666"/>
          <w:tab w:val="left" w:pos="720"/>
          <w:tab w:val="left" w:pos="1080"/>
          <w:tab w:val="left" w:pos="2430"/>
        </w:tabs>
        <w:suppressAutoHyphens/>
        <w:spacing w:before="240" w:line="240" w:lineRule="auto"/>
        <w:ind w:left="666" w:hanging="576"/>
        <w:jc w:val="both"/>
        <w:rPr>
          <w:rFonts w:cstheme="minorHAnsi"/>
          <w:szCs w:val="22"/>
        </w:rPr>
      </w:pPr>
      <w:bookmarkStart w:id="10" w:name="_Toc12877762"/>
      <w:r w:rsidRPr="00D93D2D">
        <w:rPr>
          <w:rFonts w:cstheme="minorHAnsi"/>
          <w:szCs w:val="22"/>
        </w:rPr>
        <w:t>Underlying simulation m</w:t>
      </w:r>
      <w:r w:rsidR="00B34C27" w:rsidRPr="00D93D2D">
        <w:rPr>
          <w:rFonts w:cstheme="minorHAnsi"/>
          <w:szCs w:val="22"/>
        </w:rPr>
        <w:t>odel</w:t>
      </w:r>
      <w:bookmarkEnd w:id="10"/>
    </w:p>
    <w:p w14:paraId="0DD344C2" w14:textId="23B18B1E" w:rsidR="001A1F1D" w:rsidRPr="00D93D2D" w:rsidRDefault="003767A9" w:rsidP="00060BF2">
      <w:pPr>
        <w:tabs>
          <w:tab w:val="left" w:pos="2430"/>
        </w:tabs>
        <w:jc w:val="both"/>
        <w:rPr>
          <w:rFonts w:cstheme="minorHAnsi"/>
        </w:rPr>
      </w:pPr>
      <w:r w:rsidRPr="00D93D2D">
        <w:rPr>
          <w:rFonts w:cstheme="minorHAnsi"/>
        </w:rPr>
        <w:t>Our baseline model simulated a self-contained population of 1,000,000 individuals corresponding to the catchment area of a single District TB Center (DTC).</w:t>
      </w:r>
      <w:r w:rsidR="00B34C27" w:rsidRPr="00D93D2D">
        <w:rPr>
          <w:rFonts w:cstheme="minorHAnsi"/>
        </w:rPr>
        <w:t xml:space="preserve"> </w:t>
      </w:r>
      <w:r w:rsidR="001A1F1D" w:rsidRPr="00D93D2D">
        <w:rPr>
          <w:rFonts w:cstheme="minorHAnsi"/>
        </w:rPr>
        <w:t>We</w:t>
      </w:r>
      <w:r w:rsidRPr="00D93D2D">
        <w:rPr>
          <w:rFonts w:cstheme="minorHAnsi"/>
        </w:rPr>
        <w:t xml:space="preserve"> model</w:t>
      </w:r>
      <w:r w:rsidR="00EF205C" w:rsidRPr="00D93D2D">
        <w:rPr>
          <w:rFonts w:cstheme="minorHAnsi"/>
        </w:rPr>
        <w:t>ed</w:t>
      </w:r>
      <w:r w:rsidRPr="00D93D2D">
        <w:rPr>
          <w:rFonts w:cstheme="minorHAnsi"/>
        </w:rPr>
        <w:t xml:space="preserve"> circulation of both drug-susceptible (DS) and rifampin-resistant (DR) TB strains in the population. </w:t>
      </w:r>
      <w:r w:rsidR="00B34C27" w:rsidRPr="00D93D2D">
        <w:rPr>
          <w:rFonts w:cstheme="minorHAnsi"/>
        </w:rPr>
        <w:t>The natural history of TB was modeled at an individual level</w:t>
      </w:r>
      <w:r w:rsidR="001A1F1D" w:rsidRPr="00D93D2D">
        <w:rPr>
          <w:rFonts w:cstheme="minorHAnsi"/>
        </w:rPr>
        <w:t xml:space="preserve"> (Figure S</w:t>
      </w:r>
      <w:r w:rsidR="005705BF" w:rsidRPr="00D93D2D">
        <w:rPr>
          <w:rFonts w:cstheme="minorHAnsi"/>
        </w:rPr>
        <w:t>4</w:t>
      </w:r>
      <w:r w:rsidR="001A1F1D" w:rsidRPr="00D93D2D">
        <w:rPr>
          <w:rFonts w:cstheme="minorHAnsi"/>
        </w:rPr>
        <w:t>)</w:t>
      </w:r>
      <w:r w:rsidR="00B34C27" w:rsidRPr="00D93D2D">
        <w:rPr>
          <w:rFonts w:cstheme="minorHAnsi"/>
        </w:rPr>
        <w:t xml:space="preserve">, and the parameters were estimated from the literature (see Table </w:t>
      </w:r>
      <w:r w:rsidR="00A81093" w:rsidRPr="00D93D2D">
        <w:rPr>
          <w:rFonts w:cstheme="minorHAnsi"/>
        </w:rPr>
        <w:t>S</w:t>
      </w:r>
      <w:r w:rsidR="00293F6B">
        <w:rPr>
          <w:rFonts w:cstheme="minorHAnsi"/>
        </w:rPr>
        <w:t>12</w:t>
      </w:r>
      <w:r w:rsidR="00A81093" w:rsidRPr="00D93D2D">
        <w:rPr>
          <w:rFonts w:cstheme="minorHAnsi"/>
        </w:rPr>
        <w:t xml:space="preserve"> below</w:t>
      </w:r>
      <w:r w:rsidR="00B34C27" w:rsidRPr="00D93D2D">
        <w:rPr>
          <w:rFonts w:cstheme="minorHAnsi"/>
        </w:rPr>
        <w:t xml:space="preserve">). </w:t>
      </w:r>
    </w:p>
    <w:p w14:paraId="32F19D10" w14:textId="77777777" w:rsidR="001A1F1D" w:rsidRPr="00D93D2D" w:rsidRDefault="001A1F1D" w:rsidP="00060BF2">
      <w:pPr>
        <w:tabs>
          <w:tab w:val="left" w:pos="2430"/>
        </w:tabs>
        <w:jc w:val="both"/>
        <w:rPr>
          <w:rFonts w:cstheme="minorHAnsi"/>
        </w:rPr>
      </w:pPr>
    </w:p>
    <w:p w14:paraId="786C4C80" w14:textId="77777777" w:rsidR="001A1F1D" w:rsidRPr="00D93D2D" w:rsidRDefault="001A1F1D" w:rsidP="00A81093">
      <w:pPr>
        <w:keepNext/>
        <w:tabs>
          <w:tab w:val="left" w:pos="2430"/>
        </w:tabs>
        <w:jc w:val="center"/>
        <w:rPr>
          <w:rFonts w:cstheme="minorHAnsi"/>
        </w:rPr>
      </w:pPr>
      <w:r w:rsidRPr="00D93D2D">
        <w:rPr>
          <w:rFonts w:cstheme="minorHAnsi"/>
          <w:noProof/>
          <w:lang w:eastAsia="en-US"/>
        </w:rPr>
        <w:drawing>
          <wp:inline distT="0" distB="0" distL="0" distR="0" wp14:anchorId="2C5B402C" wp14:editId="4C00D4DE">
            <wp:extent cx="5082139" cy="407385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3582" cy="4083029"/>
                    </a:xfrm>
                    <a:prstGeom prst="rect">
                      <a:avLst/>
                    </a:prstGeom>
                  </pic:spPr>
                </pic:pic>
              </a:graphicData>
            </a:graphic>
          </wp:inline>
        </w:drawing>
      </w:r>
    </w:p>
    <w:p w14:paraId="02464146" w14:textId="1CFC1A77" w:rsidR="001A1F1D" w:rsidRPr="00D93D2D" w:rsidRDefault="001A1F1D" w:rsidP="00BB1830">
      <w:pPr>
        <w:pStyle w:val="Caption"/>
        <w:rPr>
          <w:rFonts w:asciiTheme="minorHAnsi" w:hAnsiTheme="minorHAnsi" w:cstheme="minorHAnsi"/>
          <w:b w:val="0"/>
          <w:szCs w:val="22"/>
        </w:rPr>
      </w:pPr>
      <w:r w:rsidRPr="00D93D2D">
        <w:rPr>
          <w:rFonts w:asciiTheme="minorHAnsi" w:hAnsiTheme="minorHAnsi" w:cstheme="minorHAnsi"/>
        </w:rPr>
        <w:t>Figure S</w:t>
      </w:r>
      <w:r w:rsidR="005705BF" w:rsidRPr="00D93D2D">
        <w:rPr>
          <w:rFonts w:asciiTheme="minorHAnsi" w:hAnsiTheme="minorHAnsi" w:cstheme="minorHAnsi"/>
        </w:rPr>
        <w:t>4</w:t>
      </w:r>
      <w:r w:rsidRPr="00D93D2D">
        <w:rPr>
          <w:rFonts w:asciiTheme="minorHAnsi" w:hAnsiTheme="minorHAnsi" w:cstheme="minorHAnsi"/>
        </w:rPr>
        <w:t xml:space="preserve">: </w:t>
      </w:r>
      <w:r w:rsidRPr="00D93D2D">
        <w:rPr>
          <w:rFonts w:asciiTheme="minorHAnsi" w:hAnsiTheme="minorHAnsi" w:cstheme="minorHAnsi"/>
          <w:bCs w:val="0"/>
          <w:szCs w:val="22"/>
        </w:rPr>
        <w:t>TB natural history outline</w:t>
      </w:r>
      <w:r w:rsidRPr="00D93D2D">
        <w:rPr>
          <w:rFonts w:asciiTheme="minorHAnsi" w:hAnsiTheme="minorHAnsi" w:cstheme="minorHAnsi"/>
          <w:b w:val="0"/>
          <w:szCs w:val="22"/>
        </w:rPr>
        <w:t xml:space="preserve">. </w:t>
      </w:r>
      <w:r w:rsidRPr="00D93D2D">
        <w:rPr>
          <w:rFonts w:asciiTheme="minorHAnsi" w:hAnsiTheme="minorHAnsi" w:cstheme="minorHAnsi"/>
          <w:b w:val="0"/>
          <w:bCs w:val="0"/>
          <w:szCs w:val="22"/>
        </w:rPr>
        <w:t>Upon successful transmission of TB, the infected individual enters the Early Latent TB (DS-/DR-ELTB) state for a period of five years</w:t>
      </w:r>
      <w:r w:rsidR="00BB1830" w:rsidRPr="00D93D2D">
        <w:rPr>
          <w:rFonts w:asciiTheme="minorHAnsi" w:hAnsiTheme="minorHAnsi" w:cstheme="minorHAnsi"/>
          <w:b w:val="0"/>
          <w:bCs w:val="0"/>
          <w:szCs w:val="22"/>
        </w:rPr>
        <w:t xml:space="preserve"> (</w:t>
      </w:r>
      <w:r w:rsidRPr="00D93D2D">
        <w:rPr>
          <w:rFonts w:asciiTheme="minorHAnsi" w:hAnsiTheme="minorHAnsi" w:cstheme="minorHAnsi"/>
          <w:b w:val="0"/>
          <w:bCs w:val="0"/>
          <w:szCs w:val="22"/>
        </w:rPr>
        <w:t>during which the per-time-step probability of active TB development is high but decreasing over time</w:t>
      </w:r>
      <w:r w:rsidR="00BB1830" w:rsidRPr="00D93D2D">
        <w:rPr>
          <w:rFonts w:asciiTheme="minorHAnsi" w:hAnsiTheme="minorHAnsi" w:cstheme="minorHAnsi"/>
          <w:b w:val="0"/>
          <w:bCs w:val="0"/>
          <w:szCs w:val="22"/>
        </w:rPr>
        <w:t xml:space="preserve">), followed by the </w:t>
      </w:r>
      <w:r w:rsidRPr="00D93D2D">
        <w:rPr>
          <w:rFonts w:asciiTheme="minorHAnsi" w:hAnsiTheme="minorHAnsi" w:cstheme="minorHAnsi"/>
          <w:b w:val="0"/>
          <w:bCs w:val="0"/>
          <w:szCs w:val="22"/>
        </w:rPr>
        <w:t>Late Latent TB (DS-/DR-LLTB) state, which can last for many years and is associated with a lower, constant probability per time step (Slow Progression Rate) of developing active TB. Individuals with Active TB (DS-/DR-ATB) are symptomatic, infectious, and subject to increased mortality</w:t>
      </w:r>
      <w:r w:rsidR="004825C8" w:rsidRPr="00D93D2D">
        <w:rPr>
          <w:rFonts w:asciiTheme="minorHAnsi" w:hAnsiTheme="minorHAnsi" w:cstheme="minorHAnsi"/>
          <w:b w:val="0"/>
          <w:bCs w:val="0"/>
          <w:szCs w:val="22"/>
        </w:rPr>
        <w:t xml:space="preserve"> (each of which increase</w:t>
      </w:r>
      <w:r w:rsidR="008654CF" w:rsidRPr="00D93D2D">
        <w:rPr>
          <w:rFonts w:asciiTheme="minorHAnsi" w:hAnsiTheme="minorHAnsi" w:cstheme="minorHAnsi"/>
          <w:b w:val="0"/>
          <w:bCs w:val="0"/>
          <w:szCs w:val="22"/>
        </w:rPr>
        <w:t>s</w:t>
      </w:r>
      <w:r w:rsidR="004825C8" w:rsidRPr="00D93D2D">
        <w:rPr>
          <w:rFonts w:asciiTheme="minorHAnsi" w:hAnsiTheme="minorHAnsi" w:cstheme="minorHAnsi"/>
          <w:b w:val="0"/>
          <w:bCs w:val="0"/>
          <w:szCs w:val="22"/>
        </w:rPr>
        <w:t xml:space="preserve"> in degree over time after Active TB develops)</w:t>
      </w:r>
      <w:r w:rsidRPr="00D93D2D">
        <w:rPr>
          <w:rFonts w:asciiTheme="minorHAnsi" w:hAnsiTheme="minorHAnsi" w:cstheme="minorHAnsi"/>
          <w:b w:val="0"/>
          <w:bCs w:val="0"/>
          <w:szCs w:val="22"/>
        </w:rPr>
        <w:t xml:space="preserve">. </w:t>
      </w:r>
      <w:r w:rsidR="00BB1830" w:rsidRPr="00D93D2D">
        <w:rPr>
          <w:rFonts w:asciiTheme="minorHAnsi" w:hAnsiTheme="minorHAnsi" w:cstheme="minorHAnsi"/>
          <w:b w:val="0"/>
          <w:bCs w:val="0"/>
          <w:szCs w:val="22"/>
        </w:rPr>
        <w:t xml:space="preserve">DS-TB patients receiving DS-TB treatment are subject to a probability of treatment failure and acquiring drug resistance, upon which they will develop active DR-TB disease and </w:t>
      </w:r>
      <w:r w:rsidR="00BB1830" w:rsidRPr="00D93D2D">
        <w:rPr>
          <w:rFonts w:asciiTheme="minorHAnsi" w:hAnsiTheme="minorHAnsi" w:cstheme="minorHAnsi"/>
          <w:b w:val="0"/>
          <w:bCs w:val="0"/>
          <w:szCs w:val="22"/>
        </w:rPr>
        <w:lastRenderedPageBreak/>
        <w:t>will continue to transmit the DR</w:t>
      </w:r>
      <w:r w:rsidR="00B06EF7" w:rsidRPr="00D93D2D">
        <w:rPr>
          <w:rFonts w:asciiTheme="minorHAnsi" w:hAnsiTheme="minorHAnsi" w:cstheme="minorHAnsi"/>
          <w:b w:val="0"/>
          <w:bCs w:val="0"/>
          <w:szCs w:val="22"/>
        </w:rPr>
        <w:t xml:space="preserve"> </w:t>
      </w:r>
      <w:r w:rsidR="00BB1830" w:rsidRPr="00D93D2D">
        <w:rPr>
          <w:rFonts w:asciiTheme="minorHAnsi" w:hAnsiTheme="minorHAnsi" w:cstheme="minorHAnsi"/>
          <w:b w:val="0"/>
          <w:bCs w:val="0"/>
          <w:szCs w:val="22"/>
        </w:rPr>
        <w:t>strain to other susceptible individuals until treated.</w:t>
      </w:r>
      <w:r w:rsidRPr="00D93D2D">
        <w:rPr>
          <w:rFonts w:asciiTheme="minorHAnsi" w:hAnsiTheme="minorHAnsi" w:cstheme="minorHAnsi"/>
          <w:b w:val="0"/>
          <w:szCs w:val="22"/>
        </w:rPr>
        <w:t xml:space="preserve"> Latently infected or recovered individuals can get re</w:t>
      </w:r>
      <w:r w:rsidR="005705BF" w:rsidRPr="00D93D2D">
        <w:rPr>
          <w:rFonts w:asciiTheme="minorHAnsi" w:hAnsiTheme="minorHAnsi" w:cstheme="minorHAnsi"/>
          <w:b w:val="0"/>
          <w:szCs w:val="22"/>
        </w:rPr>
        <w:t>-</w:t>
      </w:r>
      <w:r w:rsidRPr="00D93D2D">
        <w:rPr>
          <w:rFonts w:asciiTheme="minorHAnsi" w:hAnsiTheme="minorHAnsi" w:cstheme="minorHAnsi"/>
          <w:b w:val="0"/>
          <w:szCs w:val="22"/>
        </w:rPr>
        <w:t>infected with either strain, at which time they move to the early latent stage (not shown).</w:t>
      </w:r>
    </w:p>
    <w:p w14:paraId="640B4F16" w14:textId="2536D5E3" w:rsidR="00293F6B" w:rsidRDefault="00BB1830" w:rsidP="00060BF2">
      <w:pPr>
        <w:tabs>
          <w:tab w:val="left" w:pos="2430"/>
        </w:tabs>
        <w:jc w:val="both"/>
        <w:rPr>
          <w:rFonts w:cstheme="minorHAnsi"/>
        </w:rPr>
      </w:pPr>
      <w:r w:rsidRPr="00D93D2D">
        <w:rPr>
          <w:rFonts w:cstheme="minorHAnsi"/>
          <w:color w:val="000000" w:themeColor="text1"/>
          <w:kern w:val="2"/>
          <w:szCs w:val="18"/>
        </w:rPr>
        <w:t>C</w:t>
      </w:r>
      <w:r w:rsidR="00B34C27" w:rsidRPr="00D93D2D">
        <w:rPr>
          <w:rFonts w:cstheme="minorHAnsi"/>
        </w:rPr>
        <w:t xml:space="preserve">are-seeking behavior was modeled as a function of time since development of active TB disease. </w:t>
      </w:r>
      <w:r w:rsidR="00EF205C" w:rsidRPr="00D93D2D">
        <w:rPr>
          <w:rFonts w:cstheme="minorHAnsi"/>
        </w:rPr>
        <w:t>T</w:t>
      </w:r>
      <w:r w:rsidR="00B34C27" w:rsidRPr="00D93D2D">
        <w:rPr>
          <w:rFonts w:cstheme="minorHAnsi"/>
        </w:rPr>
        <w:t xml:space="preserve">o represent the network of healthcare providers in a typical Indian setting, we considered 3 types of providers including 1) </w:t>
      </w:r>
      <w:r w:rsidR="00B34C27" w:rsidRPr="00D93D2D">
        <w:rPr>
          <w:rFonts w:cstheme="minorHAnsi"/>
          <w:i/>
          <w:iCs/>
        </w:rPr>
        <w:t>informal providers</w:t>
      </w:r>
      <w:r w:rsidR="00B34C27" w:rsidRPr="00D93D2D">
        <w:rPr>
          <w:rFonts w:cstheme="minorHAnsi"/>
        </w:rPr>
        <w:t xml:space="preserve"> with no formal medical training; 2) </w:t>
      </w:r>
      <w:r w:rsidR="00B34C27" w:rsidRPr="00D93D2D">
        <w:rPr>
          <w:rFonts w:cstheme="minorHAnsi"/>
          <w:i/>
          <w:iCs/>
        </w:rPr>
        <w:t>qualified private providers</w:t>
      </w:r>
      <w:r w:rsidR="00B34C27" w:rsidRPr="00D93D2D">
        <w:rPr>
          <w:rFonts w:cstheme="minorHAnsi"/>
        </w:rPr>
        <w:t xml:space="preserve"> with formal medical training but no access to microscopic labs; and 3) the </w:t>
      </w:r>
      <w:r w:rsidR="00B34C27" w:rsidRPr="00D93D2D">
        <w:rPr>
          <w:rFonts w:cstheme="minorHAnsi"/>
          <w:i/>
          <w:iCs/>
        </w:rPr>
        <w:t>public sector</w:t>
      </w:r>
      <w:r w:rsidR="00B34C27" w:rsidRPr="00D93D2D">
        <w:rPr>
          <w:rFonts w:cstheme="minorHAnsi"/>
        </w:rPr>
        <w:t xml:space="preserve"> representing a designated microscopy center (DMC) ( Figure </w:t>
      </w:r>
      <w:r w:rsidR="00293F6B">
        <w:rPr>
          <w:rFonts w:cstheme="minorHAnsi"/>
        </w:rPr>
        <w:t>S5</w:t>
      </w:r>
      <w:r w:rsidR="00B34C27" w:rsidRPr="00D93D2D">
        <w:rPr>
          <w:rFonts w:cstheme="minorHAnsi"/>
        </w:rPr>
        <w:t xml:space="preserve">B). </w:t>
      </w:r>
      <w:r w:rsidR="00B06EF7" w:rsidRPr="00D93D2D">
        <w:rPr>
          <w:rFonts w:cstheme="minorHAnsi"/>
        </w:rPr>
        <w:t xml:space="preserve">The </w:t>
      </w:r>
      <w:r w:rsidR="00B34C27" w:rsidRPr="00D93D2D">
        <w:rPr>
          <w:rFonts w:cstheme="minorHAnsi"/>
        </w:rPr>
        <w:t>DMC is a local health clinic with capacity for sputum smear microscopy</w:t>
      </w:r>
      <w:r w:rsidR="00EF205C" w:rsidRPr="00D93D2D">
        <w:rPr>
          <w:rFonts w:cstheme="minorHAnsi"/>
        </w:rPr>
        <w:t xml:space="preserve"> and Xpert placement in the decentralized scenario</w:t>
      </w:r>
      <w:r w:rsidR="00B34C27" w:rsidRPr="00D93D2D">
        <w:rPr>
          <w:rFonts w:cstheme="minorHAnsi"/>
        </w:rPr>
        <w:t>. Following prior studies</w:t>
      </w:r>
      <w:r w:rsidR="00EF205C" w:rsidRPr="00D93D2D">
        <w:rPr>
          <w:rFonts w:cstheme="minorHAnsi"/>
        </w:rPr>
        <w:t>,</w:t>
      </w:r>
      <w:r w:rsidR="001E22FE" w:rsidRPr="00D93D2D">
        <w:rPr>
          <w:rFonts w:cstheme="minorHAnsi"/>
        </w:rPr>
        <w:fldChar w:fldCharType="begin" w:fldLock="1"/>
      </w:r>
      <w:r w:rsidR="009A35D4">
        <w:rPr>
          <w:rFonts w:cstheme="minorHAnsi"/>
        </w:rPr>
        <w:instrText>ADDIN CSL_CITATION {"citationItems":[{"id":"ITEM-1","itemData":{"DOI":"10.1371/journal.pmed.1001674","ISBN":"1549-1676 (Electronic)\n1549-1277 (Linking)","ISSN":"1549-1676","PMID":"25025235","abstract":"BACKGROUND: India has announced a goal of universal access to quality tuberculosis (TB) diagnosis and treatment. A number of novel diagnostics could help meet this important goal. The rollout of one such diagnostic, Xpert MTB/RIF (Xpert) is being considered, but if Xpert is used mainly for people with HIV or high risk of multidrug-resistant TB (MDR-TB) in the public sector, population-level impact may be limited. METHODS AND FINDINGS: We developed a model of TB transmission, care-seeking behavior, and diagnostic/treatment practices in India and explored the impact of six different rollout strategies. Providing Xpert to 40% of public-sector patients with HIV or prior TB treatment (similar to current national strategy) reduced TB incidence by 0.2% (95% uncertainty range [UR]: -1.4%, 1.7%) and MDR-TB incidence by 2.4% (95% UR: -5.2%, 9.1%) relative to existing practice but required 2,500 additional MDR-TB treatments and 60 four-module GeneXpert systems at maximum capacity. Further including 20% of unselected symptomatic individuals in the public sector required 700 systems and reduced incidence by 2.1% (95% UR: 0.5%, 3.9%); a similar approach involving qualified private providers (providers who have received at least some training in allopathic or non-allopathic medicine) reduced incidence by 6.0% (95% UR: 3.9%, 7.9%) with similar resource outlay, but only if high treatment success was assured. Engaging 20% of all private-sector providers (qualified and informal [providers with no formal medical training]) had the greatest impact (14.1% reduction, 95% UR: 10.6%, 16.9%), but required &gt;2,200 systems and reliable treatment referral. Improving referrals from informal providers for smear-based diagnosis in the public sector (without Xpert rollout) had substantially greater impact (6.3% reduction) than Xpert scale-up within the public sector. These findings are subject to substantial uncertainty regarding private-sector treatment patterns, patient care-seeking behavior, symptoms, and infectiousness over time; these uncertainties should be addressed by future research. CONCLUSIONS: The impact of new diagnostics for TB control in India depends on implementation within the complex, fragmented health-care system. Transformative strategies will require private/informal-sector engagement, adequate referral systems, improved treatment quality, and substantial resources. Please see later in the article for the Editors' Summary.","author":[{"dropping-particle":"","family":"Salje","given":"Henrik","non-dropping-particle":"","parse-names":false,"suffix":""},{"dropping-particle":"","family":"Andrews","given":"Jason R","non-dropping-particle":"","parse-names":false,"suffix":""},{"dropping-particle":"","family":"Deo","given":"Sarang","non-dropping-particle":"","parse-names":false,"suffix":""},{"dropping-particle":"","family":"Satyanarayana","given":"Srinath","non-dropping-particle":"","parse-names":false,"suffix":""},{"dropping-particle":"","family":"Sun","given":"Amanda Y","non-dropping-particle":"","parse-names":false,"suffix":""},{"dropping-particle":"","family":"Pai","given":"Madhukar","non-dropping-particle":"","parse-names":false,"suffix":""},{"dropping-particle":"","family":"Dowdy","given":"David W","non-dropping-particle":"","parse-names":false,"suffix":""}],"container-title":"PLoS Med","id":"ITEM-1","issue":"7","issued":{"date-parts":[["2014","7"]]},"note":"From Duplicate 2 (The importance of implementation strategy in scaling up Xpert MTB/RIF for diagnosis of tuberculosis in the Indian health-care system: a transmission model - Salje, H; Andrews, J R; Deo, S; Satyanarayana, S; Sun, A Y; Pai, M; Dowdy, D W)\n\nSalje, Henrik\nAndrews, Jason R\nDeo, Sarang\nSatyanarayana, Srinath\nSun, Amanda Y\nPai, Madhukar\nDowdy, David W\neng\nMOP 123291/Canadian Institutes of Health Research/Canada\nResearch Support, Non-U.S. Gov't\n2014/07/16 06:00\nPLoS Med. 2014 Jul 15;11(7):e1001674. doi: 10.1371/journal.pmed.1001674. eCollection 2014 Jul.","page":"e1001674","title":"The Importance of Implementation Strategy in Scaling Up Xpert MTB/RIF for Diagnosis of Tuberculosis in the Indian Health-Care System: A Transmission Model.","type":"article-journal","volume":"11"},"uris":["http://www.mendeley.com/documents/?uuid=970ec1c8-52d9-4f73-9931-4d3ce8bb3245"]},{"id":"ITEM-2","itemData":{"DOI":"10.1371/journal.pone.0042458","ISBN":"1932-6203 (Electronic)\\r1932-6203 (Linking)","ISSN":"19326203","PMID":"22879990","abstract":"SETTING: Revised National Tuberculosis Control Programme (RNTCP), Delhi, India. OBJECTIVE: To ascertain the number and sequence of providers visited by TB patients before availing treatment services from DOTS; to describe the duration between onset of symptoms to treatment. STUDY DESIGN: A cross sectional, qualitative study. Information was gathered through in-depth interviews of TB patients registered during the month of Oct, 2012 for availing TB treatment under the Revised National TB Control Programme from four tuberculosis diagnosis and treatment centers in Delhi. RESULTS: Out of the 114 patients who registered, 108 participated in the study. The study showed that informal providers and retail chemists were the first point of contact and source of clinical advice for two-third of the patients, while the rest sought medical care from qualified providers directly. Most patients sought medical care from more than two providers, before being diagnosed as TB. Female TB patients and patients with extra-pulmonary TB had long mean duration between onset of symptoms to initiation of treatment (6.3 months and 8.4 months respectively). CONCLUSION: The pathways followed by TB patients, illustrated in this study, provide valuable lessons on the importance of different types of providers (both formal and informal) in the health system in a society like India and the delays in the diagnosis and treatment of tuberculosis.","author":[{"dropping-particle":"","family":"Kapoor","given":"Sunil K.","non-dropping-particle":"","parse-names":false,"suffix":""},{"dropping-particle":"","family":"Raman","given":"A. Venkat","non-dropping-particle":"","parse-names":false,"suffix":""},{"dropping-particle":"","family":"Sachdeva","given":"Kuldeep Singh","non-dropping-particle":"","parse-names":false,"suffix":""},{"dropping-particle":"","family":"Satyanarayana","given":"Srinath","non-dropping-particle":"","parse-names":false,"suffix":""}],"container-title":"PLoS ONE","id":"ITEM-2","issue":"8","issued":{"date-parts":[["2012"]]},"page":"1-6","title":"How did the TB patients reach DOTS services in Delhi? a study of patient treatment seeking behavior","type":"article-journal","volume":"7"},"uris":["http://www.mendeley.com/documents/?uuid=c2b24e60-8ab9-453d-9076-12a6fdd10ec4"]},{"id":"ITEM-3","itemData":{"DOI":"10.1371/journal.pone.0152287","author":[{"dropping-particle":"","family":"Mistry","given":"Nerges","non-dropping-particle":"","parse-names":false,"suffix":""},{"dropping-particle":"","family":"Rangan","given":"Sheela","non-dropping-particle":"","parse-names":false,"suffix":""},{"dropping-particle":"","family":"Dholakia","given":"Yatin","non-dropping-particle":"","parse-names":false,"suffix":""},{"dropping-particle":"","family":"Lobo","given":"Eunice","non-dropping-particle":"","parse-names":false,"suffix":""},{"dropping-particle":"","family":"Shah","given":"Shimoni","non-dropping-particle":"","parse-names":false,"suffix":""}],"id":"ITEM-3","issued":{"date-parts":[["2016"]]},"page":"1-17","title":"Durations and Delays in Care Seeking , Diagnosis and Treatment Initiation in Uncomplicated Pulmonary Tuberculosis Patients in Mumbai , India","type":"article-journal"},"uris":["http://www.mendeley.com/documents/?uuid=68e25186-6bbf-459c-87ca-665823c9be50"]}],"mendeley":{"formattedCitation":"[10–12]","plainTextFormattedCitation":"[10–12]","previouslyFormattedCitation":"[10–12]"},"properties":{"noteIndex":0},"schema":"https://github.com/citation-style-language/schema/raw/master/csl-citation.json"}</w:instrText>
      </w:r>
      <w:r w:rsidR="001E22FE" w:rsidRPr="00D93D2D">
        <w:rPr>
          <w:rFonts w:cstheme="minorHAnsi"/>
        </w:rPr>
        <w:fldChar w:fldCharType="separate"/>
      </w:r>
      <w:r w:rsidR="009A35D4" w:rsidRPr="009A35D4">
        <w:rPr>
          <w:rFonts w:cstheme="minorHAnsi"/>
          <w:noProof/>
        </w:rPr>
        <w:t>[10–12]</w:t>
      </w:r>
      <w:r w:rsidR="001E22FE" w:rsidRPr="00D93D2D">
        <w:rPr>
          <w:rFonts w:cstheme="minorHAnsi"/>
        </w:rPr>
        <w:fldChar w:fldCharType="end"/>
      </w:r>
      <w:r w:rsidR="00B34C27" w:rsidRPr="00D93D2D">
        <w:rPr>
          <w:rFonts w:cstheme="minorHAnsi"/>
        </w:rPr>
        <w:t xml:space="preserve"> we estimated the probabilities of visits to each provider</w:t>
      </w:r>
      <w:r w:rsidRPr="00D93D2D">
        <w:rPr>
          <w:rFonts w:cstheme="minorHAnsi"/>
        </w:rPr>
        <w:t xml:space="preserve"> in this network</w:t>
      </w:r>
      <w:r w:rsidR="00B34C27" w:rsidRPr="00D93D2D">
        <w:rPr>
          <w:rFonts w:cstheme="minorHAnsi"/>
        </w:rPr>
        <w:t>.</w:t>
      </w:r>
    </w:p>
    <w:p w14:paraId="5CA114EB" w14:textId="17C5DCB9" w:rsidR="003767A9" w:rsidRDefault="00B34C27" w:rsidP="00060BF2">
      <w:pPr>
        <w:tabs>
          <w:tab w:val="left" w:pos="2430"/>
        </w:tabs>
        <w:jc w:val="both"/>
        <w:rPr>
          <w:rFonts w:cstheme="minorHAnsi"/>
        </w:rPr>
      </w:pPr>
      <w:r w:rsidRPr="00D93D2D">
        <w:rPr>
          <w:rFonts w:cstheme="minorHAnsi"/>
        </w:rPr>
        <w:t xml:space="preserve"> </w:t>
      </w:r>
      <w:r w:rsidR="00C30A6E">
        <w:rPr>
          <w:rFonts w:cstheme="minorHAnsi"/>
          <w:noProof/>
        </w:rPr>
        <w:drawing>
          <wp:inline distT="0" distB="0" distL="0" distR="0" wp14:anchorId="767ACBE7" wp14:editId="5FED50FB">
            <wp:extent cx="5943600" cy="4764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f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r w:rsidR="00C30A6E" w:rsidDel="00C30A6E">
        <w:rPr>
          <w:rFonts w:cstheme="minorHAnsi"/>
          <w:noProof/>
        </w:rPr>
        <w:t xml:space="preserve"> </w:t>
      </w:r>
    </w:p>
    <w:p w14:paraId="525562D6" w14:textId="00763365" w:rsidR="00293F6B" w:rsidRDefault="00293F6B" w:rsidP="00293F6B">
      <w:pPr>
        <w:jc w:val="both"/>
        <w:rPr>
          <w:rFonts w:ascii="Calibri" w:hAnsi="Calibri" w:cs="Calibri"/>
        </w:rPr>
      </w:pPr>
      <w:r w:rsidRPr="00293F6B">
        <w:rPr>
          <w:rFonts w:cstheme="minorHAnsi"/>
          <w:b/>
          <w:bCs/>
        </w:rPr>
        <w:t>Figure S5</w:t>
      </w:r>
      <w:r>
        <w:rPr>
          <w:rFonts w:cstheme="minorHAnsi"/>
        </w:rPr>
        <w:t xml:space="preserve">: </w:t>
      </w:r>
      <w:r w:rsidRPr="00293F6B">
        <w:rPr>
          <w:rFonts w:ascii="Calibri" w:hAnsi="Calibri" w:cs="Calibri"/>
          <w:bCs/>
        </w:rPr>
        <w:t>Schematic representation of the tuberculosis (TB) diagnostic system in India.</w:t>
      </w:r>
      <w:r w:rsidRPr="00CA4BEF">
        <w:rPr>
          <w:rFonts w:ascii="Calibri" w:hAnsi="Calibri" w:cs="Calibri"/>
        </w:rPr>
        <w:t xml:space="preserve"> </w:t>
      </w:r>
    </w:p>
    <w:p w14:paraId="519E639C" w14:textId="77777777" w:rsidR="00293F6B" w:rsidRPr="00293F6B" w:rsidRDefault="00293F6B" w:rsidP="00293F6B">
      <w:pPr>
        <w:jc w:val="both"/>
        <w:rPr>
          <w:rFonts w:ascii="Calibri" w:hAnsi="Calibri" w:cs="Calibri"/>
        </w:rPr>
      </w:pPr>
    </w:p>
    <w:p w14:paraId="1BD33633" w14:textId="179CCE6E" w:rsidR="00B34C27" w:rsidRPr="00D93D2D" w:rsidRDefault="00B34C27" w:rsidP="00060BF2">
      <w:pPr>
        <w:tabs>
          <w:tab w:val="left" w:pos="2430"/>
        </w:tabs>
        <w:jc w:val="both"/>
        <w:rPr>
          <w:rFonts w:cstheme="minorHAnsi"/>
        </w:rPr>
      </w:pPr>
      <w:r w:rsidRPr="00D93D2D">
        <w:rPr>
          <w:rFonts w:cstheme="minorHAnsi"/>
        </w:rPr>
        <w:t>In modeling the TB diagnosis attempts via these providers, we made the following assumptions:</w:t>
      </w:r>
    </w:p>
    <w:p w14:paraId="212F2D94" w14:textId="2BCEC17F" w:rsidR="00086DCF" w:rsidRPr="00D93D2D" w:rsidRDefault="00B34C27" w:rsidP="00BB1830">
      <w:pPr>
        <w:pStyle w:val="ListParagraph"/>
        <w:numPr>
          <w:ilvl w:val="0"/>
          <w:numId w:val="12"/>
        </w:numPr>
        <w:tabs>
          <w:tab w:val="left" w:pos="2430"/>
        </w:tabs>
        <w:jc w:val="both"/>
        <w:rPr>
          <w:rFonts w:cstheme="minorHAnsi"/>
        </w:rPr>
      </w:pPr>
      <w:r w:rsidRPr="00D93D2D">
        <w:rPr>
          <w:rFonts w:cstheme="minorHAnsi"/>
        </w:rPr>
        <w:lastRenderedPageBreak/>
        <w:t>A visit to informal-sector never leads to appropriate treatment of TB</w:t>
      </w:r>
      <w:r w:rsidR="00EF205C" w:rsidRPr="00D93D2D">
        <w:rPr>
          <w:rFonts w:cstheme="minorHAnsi"/>
        </w:rPr>
        <w:t>, and as such, the untreated patient</w:t>
      </w:r>
      <w:r w:rsidR="00086DCF" w:rsidRPr="00D93D2D">
        <w:rPr>
          <w:rFonts w:cstheme="minorHAnsi"/>
        </w:rPr>
        <w:t xml:space="preserve"> will experience a probability for visiting other providers</w:t>
      </w:r>
      <w:r w:rsidR="00EF205C" w:rsidRPr="00D93D2D">
        <w:rPr>
          <w:rFonts w:cstheme="minorHAnsi"/>
        </w:rPr>
        <w:t xml:space="preserve"> in the future</w:t>
      </w:r>
      <w:r w:rsidR="00BB1830" w:rsidRPr="00D93D2D">
        <w:rPr>
          <w:rFonts w:cstheme="minorHAnsi"/>
        </w:rPr>
        <w:t>.</w:t>
      </w:r>
    </w:p>
    <w:p w14:paraId="75A8123F" w14:textId="24C64C8D" w:rsidR="00B34C27" w:rsidRPr="00D93D2D" w:rsidRDefault="00086DCF" w:rsidP="00060BF2">
      <w:pPr>
        <w:pStyle w:val="ListParagraph"/>
        <w:numPr>
          <w:ilvl w:val="0"/>
          <w:numId w:val="12"/>
        </w:numPr>
        <w:tabs>
          <w:tab w:val="left" w:pos="2430"/>
        </w:tabs>
        <w:jc w:val="both"/>
        <w:rPr>
          <w:rFonts w:cstheme="minorHAnsi"/>
        </w:rPr>
      </w:pPr>
      <w:r w:rsidRPr="00D93D2D">
        <w:rPr>
          <w:rFonts w:cstheme="minorHAnsi"/>
        </w:rPr>
        <w:t>A</w:t>
      </w:r>
      <w:r w:rsidR="00B34C27" w:rsidRPr="00D93D2D">
        <w:rPr>
          <w:rFonts w:cstheme="minorHAnsi"/>
        </w:rPr>
        <w:t xml:space="preserve"> proportion of patients visiting the private sector will </w:t>
      </w:r>
      <w:r w:rsidR="008654CF" w:rsidRPr="00D93D2D">
        <w:rPr>
          <w:rFonts w:cstheme="minorHAnsi"/>
        </w:rPr>
        <w:t xml:space="preserve">be </w:t>
      </w:r>
      <w:r w:rsidR="00B34C27" w:rsidRPr="00D93D2D">
        <w:rPr>
          <w:rFonts w:cstheme="minorHAnsi"/>
        </w:rPr>
        <w:t>diagnos</w:t>
      </w:r>
      <w:r w:rsidR="008654CF" w:rsidRPr="00D93D2D">
        <w:rPr>
          <w:rFonts w:cstheme="minorHAnsi"/>
        </w:rPr>
        <w:t>ed and treated for</w:t>
      </w:r>
      <w:r w:rsidR="00B34C27" w:rsidRPr="00D93D2D">
        <w:rPr>
          <w:rFonts w:cstheme="minorHAnsi"/>
        </w:rPr>
        <w:t xml:space="preserve"> DS-TB</w:t>
      </w:r>
      <w:r w:rsidR="00BB1830" w:rsidRPr="00D93D2D">
        <w:rPr>
          <w:rFonts w:cstheme="minorHAnsi"/>
        </w:rPr>
        <w:t xml:space="preserve"> (estimated at 50%)</w:t>
      </w:r>
      <w:r w:rsidRPr="00D93D2D">
        <w:rPr>
          <w:rFonts w:cstheme="minorHAnsi"/>
        </w:rPr>
        <w:t xml:space="preserve">. </w:t>
      </w:r>
      <w:r w:rsidR="00BB1830" w:rsidRPr="00D93D2D">
        <w:rPr>
          <w:rFonts w:cstheme="minorHAnsi"/>
        </w:rPr>
        <w:t>However, s</w:t>
      </w:r>
      <w:r w:rsidRPr="00D93D2D">
        <w:rPr>
          <w:rFonts w:cstheme="minorHAnsi"/>
        </w:rPr>
        <w:t xml:space="preserve">uch visits </w:t>
      </w:r>
      <w:r w:rsidR="00B34C27" w:rsidRPr="00D93D2D">
        <w:rPr>
          <w:rFonts w:cstheme="minorHAnsi"/>
        </w:rPr>
        <w:t xml:space="preserve">never lead to appropriate </w:t>
      </w:r>
      <w:r w:rsidR="008654CF" w:rsidRPr="00D93D2D">
        <w:rPr>
          <w:rFonts w:cstheme="minorHAnsi"/>
        </w:rPr>
        <w:t>diagnosis/</w:t>
      </w:r>
      <w:r w:rsidR="00B34C27" w:rsidRPr="00D93D2D">
        <w:rPr>
          <w:rFonts w:cstheme="minorHAnsi"/>
        </w:rPr>
        <w:t xml:space="preserve">treatment of DR-TB. </w:t>
      </w:r>
    </w:p>
    <w:p w14:paraId="116AC0E8" w14:textId="78F55F7C" w:rsidR="00086DCF" w:rsidRPr="00D93D2D" w:rsidRDefault="00086DCF" w:rsidP="00060BF2">
      <w:pPr>
        <w:pStyle w:val="ListParagraph"/>
        <w:numPr>
          <w:ilvl w:val="0"/>
          <w:numId w:val="12"/>
        </w:numPr>
        <w:tabs>
          <w:tab w:val="left" w:pos="2430"/>
        </w:tabs>
        <w:jc w:val="both"/>
        <w:rPr>
          <w:rFonts w:cstheme="minorHAnsi"/>
        </w:rPr>
      </w:pPr>
      <w:r w:rsidRPr="00D93D2D">
        <w:rPr>
          <w:rFonts w:cstheme="minorHAnsi"/>
        </w:rPr>
        <w:t xml:space="preserve">Visits to public sector – where a definitive bacteriologic diagnosis can be made – </w:t>
      </w:r>
      <w:r w:rsidR="00B06EF7" w:rsidRPr="00D93D2D">
        <w:rPr>
          <w:rFonts w:cstheme="minorHAnsi"/>
        </w:rPr>
        <w:t>are</w:t>
      </w:r>
      <w:r w:rsidRPr="00D93D2D">
        <w:rPr>
          <w:rFonts w:cstheme="minorHAnsi"/>
        </w:rPr>
        <w:t xml:space="preserve"> modeled as a collection of “</w:t>
      </w:r>
      <w:r w:rsidRPr="00D93D2D">
        <w:rPr>
          <w:rFonts w:cstheme="minorHAnsi"/>
          <w:i/>
          <w:iCs/>
        </w:rPr>
        <w:t>encounters</w:t>
      </w:r>
      <w:r w:rsidRPr="00D93D2D">
        <w:rPr>
          <w:rFonts w:cstheme="minorHAnsi"/>
        </w:rPr>
        <w:t xml:space="preserve">”. An encounter represents all activities occurring from initial TB suspicion to </w:t>
      </w:r>
      <w:r w:rsidR="00EF205C" w:rsidRPr="00D93D2D">
        <w:rPr>
          <w:rFonts w:cstheme="minorHAnsi"/>
        </w:rPr>
        <w:t>arriving at</w:t>
      </w:r>
      <w:r w:rsidRPr="00D93D2D">
        <w:rPr>
          <w:rFonts w:cstheme="minorHAnsi"/>
        </w:rPr>
        <w:t xml:space="preserve"> a presumptive diagnosis, and may encompass multiple clinic visits.</w:t>
      </w:r>
    </w:p>
    <w:p w14:paraId="35E7CB11" w14:textId="785D0BA8" w:rsidR="00BB1830" w:rsidRPr="00D93D2D" w:rsidRDefault="00086DCF" w:rsidP="00060BF2">
      <w:pPr>
        <w:pStyle w:val="ListParagraph"/>
        <w:numPr>
          <w:ilvl w:val="0"/>
          <w:numId w:val="12"/>
        </w:numPr>
        <w:tabs>
          <w:tab w:val="left" w:pos="2430"/>
        </w:tabs>
        <w:jc w:val="both"/>
        <w:rPr>
          <w:rFonts w:cstheme="minorHAnsi"/>
        </w:rPr>
      </w:pPr>
      <w:r w:rsidRPr="00D93D2D">
        <w:rPr>
          <w:rFonts w:cstheme="minorHAnsi"/>
        </w:rPr>
        <w:t xml:space="preserve">At the </w:t>
      </w:r>
      <w:r w:rsidR="00EF205C" w:rsidRPr="00D93D2D">
        <w:rPr>
          <w:rFonts w:cstheme="minorHAnsi"/>
        </w:rPr>
        <w:t>“</w:t>
      </w:r>
      <w:r w:rsidRPr="00D93D2D">
        <w:rPr>
          <w:rFonts w:cstheme="minorHAnsi"/>
          <w:i/>
          <w:iCs/>
        </w:rPr>
        <w:t>initial encounter</w:t>
      </w:r>
      <w:r w:rsidR="008654CF" w:rsidRPr="00D93D2D">
        <w:rPr>
          <w:rFonts w:cstheme="minorHAnsi"/>
        </w:rPr>
        <w:t xml:space="preserve">” </w:t>
      </w:r>
      <w:r w:rsidRPr="00D93D2D">
        <w:rPr>
          <w:rFonts w:cstheme="minorHAnsi"/>
        </w:rPr>
        <w:t xml:space="preserve">in </w:t>
      </w:r>
      <w:r w:rsidR="00B06EF7" w:rsidRPr="00D93D2D">
        <w:rPr>
          <w:rFonts w:cstheme="minorHAnsi"/>
        </w:rPr>
        <w:t xml:space="preserve">the </w:t>
      </w:r>
      <w:r w:rsidRPr="00D93D2D">
        <w:rPr>
          <w:rFonts w:cstheme="minorHAnsi"/>
        </w:rPr>
        <w:t xml:space="preserve">public sector, all patients will receive a bacteriologic test to confirm TB diagnosis. At baseline </w:t>
      </w:r>
      <w:r w:rsidR="00BB1830" w:rsidRPr="00D93D2D">
        <w:rPr>
          <w:rFonts w:cstheme="minorHAnsi"/>
        </w:rPr>
        <w:t>(</w:t>
      </w:r>
      <w:r w:rsidRPr="00D93D2D">
        <w:rPr>
          <w:rFonts w:cstheme="minorHAnsi"/>
        </w:rPr>
        <w:t>pre-Xpert era</w:t>
      </w:r>
      <w:r w:rsidR="00BB1830" w:rsidRPr="00D93D2D">
        <w:rPr>
          <w:rFonts w:cstheme="minorHAnsi"/>
        </w:rPr>
        <w:t xml:space="preserve"> before year 2018</w:t>
      </w:r>
      <w:r w:rsidRPr="00D93D2D">
        <w:rPr>
          <w:rFonts w:cstheme="minorHAnsi"/>
        </w:rPr>
        <w:t>)</w:t>
      </w:r>
      <w:r w:rsidR="00EF205C" w:rsidRPr="00D93D2D">
        <w:rPr>
          <w:rFonts w:cstheme="minorHAnsi"/>
        </w:rPr>
        <w:t>,</w:t>
      </w:r>
      <w:r w:rsidRPr="00D93D2D">
        <w:rPr>
          <w:rFonts w:cstheme="minorHAnsi"/>
        </w:rPr>
        <w:t xml:space="preserve"> all patients are diagnosed via smear </w:t>
      </w:r>
      <w:r w:rsidR="00B06EF7" w:rsidRPr="00D93D2D">
        <w:rPr>
          <w:rFonts w:cstheme="minorHAnsi"/>
        </w:rPr>
        <w:t>microscopy</w:t>
      </w:r>
      <w:r w:rsidR="00BB1830" w:rsidRPr="00D93D2D">
        <w:rPr>
          <w:rFonts w:cstheme="minorHAnsi"/>
        </w:rPr>
        <w:t xml:space="preserve"> alone</w:t>
      </w:r>
      <w:r w:rsidRPr="00D93D2D">
        <w:rPr>
          <w:rFonts w:cstheme="minorHAnsi"/>
        </w:rPr>
        <w:t>, but after implementation of Xpert</w:t>
      </w:r>
      <w:r w:rsidR="00EF205C" w:rsidRPr="00D93D2D">
        <w:rPr>
          <w:rFonts w:cstheme="minorHAnsi"/>
        </w:rPr>
        <w:t xml:space="preserve"> (year 2018 to 2028)</w:t>
      </w:r>
      <w:r w:rsidRPr="00D93D2D">
        <w:rPr>
          <w:rFonts w:cstheme="minorHAnsi"/>
        </w:rPr>
        <w:t>, the initial diagnosis is made via Xpert as a standalone test (assuming no smear backup</w:t>
      </w:r>
      <w:r w:rsidR="00BB1830" w:rsidRPr="00D93D2D">
        <w:rPr>
          <w:rFonts w:cstheme="minorHAnsi"/>
        </w:rPr>
        <w:t xml:space="preserve"> at baseline analysis</w:t>
      </w:r>
      <w:r w:rsidRPr="00D93D2D">
        <w:rPr>
          <w:rFonts w:cstheme="minorHAnsi"/>
        </w:rPr>
        <w:t xml:space="preserve">). </w:t>
      </w:r>
    </w:p>
    <w:p w14:paraId="106D5235" w14:textId="0B613971" w:rsidR="00BB1830" w:rsidRPr="00D93D2D" w:rsidRDefault="00BB1830" w:rsidP="00060BF2">
      <w:pPr>
        <w:pStyle w:val="ListParagraph"/>
        <w:numPr>
          <w:ilvl w:val="0"/>
          <w:numId w:val="12"/>
        </w:numPr>
        <w:tabs>
          <w:tab w:val="left" w:pos="2430"/>
        </w:tabs>
        <w:jc w:val="both"/>
        <w:rPr>
          <w:rFonts w:cstheme="minorHAnsi"/>
        </w:rPr>
      </w:pPr>
      <w:r w:rsidRPr="00D93D2D">
        <w:rPr>
          <w:rFonts w:cstheme="minorHAnsi"/>
        </w:rPr>
        <w:t>Upon TB diagnosis, patients can receive successful treatment or experience pre-treatment loss-to-follow-up due to diagnosis delays in the centralized scenario. In both groups, a proportion of patients (estimated at 13%) are considered to be permanently lost</w:t>
      </w:r>
      <w:r w:rsidR="008654CF" w:rsidRPr="00D93D2D">
        <w:rPr>
          <w:rFonts w:cstheme="minorHAnsi"/>
        </w:rPr>
        <w:t>-</w:t>
      </w:r>
      <w:r w:rsidRPr="00D93D2D">
        <w:rPr>
          <w:rFonts w:cstheme="minorHAnsi"/>
        </w:rPr>
        <w:t>to</w:t>
      </w:r>
      <w:r w:rsidR="008654CF" w:rsidRPr="00D93D2D">
        <w:rPr>
          <w:rFonts w:cstheme="minorHAnsi"/>
        </w:rPr>
        <w:t>-</w:t>
      </w:r>
      <w:r w:rsidRPr="00D93D2D">
        <w:rPr>
          <w:rFonts w:cstheme="minorHAnsi"/>
        </w:rPr>
        <w:t>follow</w:t>
      </w:r>
      <w:r w:rsidR="008654CF" w:rsidRPr="00D93D2D">
        <w:rPr>
          <w:rFonts w:cstheme="minorHAnsi"/>
        </w:rPr>
        <w:t>-</w:t>
      </w:r>
      <w:r w:rsidRPr="00D93D2D">
        <w:rPr>
          <w:rFonts w:cstheme="minorHAnsi"/>
        </w:rPr>
        <w:t xml:space="preserve">up. These individuals may undergo other diagnostic encounters, but those encounters do not result in TB diagnosis, and the cost of those encounters is not considered by the model. The conservative assumption </w:t>
      </w:r>
      <w:r w:rsidR="00B06EF7" w:rsidRPr="00D93D2D">
        <w:rPr>
          <w:rFonts w:cstheme="minorHAnsi"/>
        </w:rPr>
        <w:t>of</w:t>
      </w:r>
      <w:r w:rsidRPr="00D93D2D">
        <w:rPr>
          <w:rFonts w:cstheme="minorHAnsi"/>
        </w:rPr>
        <w:t xml:space="preserve"> equal probability of permanent loss-to-follow-up between these two groups </w:t>
      </w:r>
      <w:r w:rsidR="00B06EF7" w:rsidRPr="00D93D2D">
        <w:rPr>
          <w:rFonts w:cstheme="minorHAnsi"/>
        </w:rPr>
        <w:t>may</w:t>
      </w:r>
      <w:r w:rsidRPr="00D93D2D">
        <w:rPr>
          <w:rFonts w:cstheme="minorHAnsi"/>
        </w:rPr>
        <w:t xml:space="preserve"> underestimate the impact of Xpert in the decentralized scenario. </w:t>
      </w:r>
    </w:p>
    <w:p w14:paraId="02A6EB74" w14:textId="2BE55C8C" w:rsidR="00BB1830" w:rsidRPr="00D93D2D" w:rsidRDefault="00BB1830" w:rsidP="00060BF2">
      <w:pPr>
        <w:pStyle w:val="ListParagraph"/>
        <w:numPr>
          <w:ilvl w:val="0"/>
          <w:numId w:val="12"/>
        </w:numPr>
        <w:tabs>
          <w:tab w:val="left" w:pos="2430"/>
        </w:tabs>
        <w:jc w:val="both"/>
        <w:rPr>
          <w:rFonts w:cstheme="minorHAnsi"/>
        </w:rPr>
      </w:pPr>
      <w:r w:rsidRPr="00D93D2D">
        <w:rPr>
          <w:rFonts w:cstheme="minorHAnsi"/>
        </w:rPr>
        <w:t>Those experiencing pre-treatment loss-to-follow-up (but not permanently lost) can return for a future visit (“</w:t>
      </w:r>
      <w:r w:rsidRPr="00D93D2D">
        <w:rPr>
          <w:rFonts w:cstheme="minorHAnsi"/>
          <w:i/>
          <w:iCs/>
        </w:rPr>
        <w:t>follow-up encounter</w:t>
      </w:r>
      <w:r w:rsidRPr="00D93D2D">
        <w:rPr>
          <w:rFonts w:cstheme="minorHAnsi"/>
        </w:rPr>
        <w:t xml:space="preserve">”) in which Xpert is again performed and TB treatment is successfully initiated. </w:t>
      </w:r>
    </w:p>
    <w:p w14:paraId="407ADC28" w14:textId="17A52769" w:rsidR="00086DCF" w:rsidRPr="00D93D2D" w:rsidRDefault="00BB1830" w:rsidP="00BB1830">
      <w:pPr>
        <w:pStyle w:val="ListParagraph"/>
        <w:numPr>
          <w:ilvl w:val="0"/>
          <w:numId w:val="12"/>
        </w:numPr>
        <w:tabs>
          <w:tab w:val="left" w:pos="2430"/>
        </w:tabs>
        <w:jc w:val="both"/>
        <w:rPr>
          <w:rFonts w:cstheme="minorHAnsi"/>
        </w:rPr>
      </w:pPr>
      <w:r w:rsidRPr="00D93D2D">
        <w:rPr>
          <w:rFonts w:cstheme="minorHAnsi"/>
        </w:rPr>
        <w:t>Individuals receiving TB treatment who fail to recover will undergo a “</w:t>
      </w:r>
      <w:r w:rsidRPr="00D93D2D">
        <w:rPr>
          <w:rFonts w:cstheme="minorHAnsi"/>
          <w:i/>
          <w:iCs/>
        </w:rPr>
        <w:t>post-failure encounter”</w:t>
      </w:r>
      <w:r w:rsidRPr="00D93D2D">
        <w:rPr>
          <w:rFonts w:cstheme="minorHAnsi"/>
        </w:rPr>
        <w:t xml:space="preserve"> , upon which they</w:t>
      </w:r>
      <w:r w:rsidR="00EF205C" w:rsidRPr="00D93D2D">
        <w:rPr>
          <w:rFonts w:cstheme="minorHAnsi"/>
        </w:rPr>
        <w:t xml:space="preserve"> are tested via Xpert and will receive another course of correct TB treatment according to their underlying infection (DS-TB or DR-TB). Those experiencing more tha</w:t>
      </w:r>
      <w:r w:rsidR="008654CF" w:rsidRPr="00D93D2D">
        <w:rPr>
          <w:rFonts w:cstheme="minorHAnsi"/>
        </w:rPr>
        <w:t xml:space="preserve">n </w:t>
      </w:r>
      <w:r w:rsidR="00EF205C" w:rsidRPr="00D93D2D">
        <w:rPr>
          <w:rFonts w:cstheme="minorHAnsi"/>
        </w:rPr>
        <w:t xml:space="preserve">one treatment failure will not return to care. </w:t>
      </w:r>
    </w:p>
    <w:p w14:paraId="1A0ED67A" w14:textId="191C3F0D" w:rsidR="003B35D8" w:rsidRPr="00D93D2D" w:rsidRDefault="003B35D8" w:rsidP="00060BF2">
      <w:pPr>
        <w:pStyle w:val="ListParagraph"/>
        <w:numPr>
          <w:ilvl w:val="0"/>
          <w:numId w:val="12"/>
        </w:numPr>
        <w:tabs>
          <w:tab w:val="left" w:pos="2430"/>
        </w:tabs>
        <w:jc w:val="both"/>
        <w:rPr>
          <w:rFonts w:cstheme="minorHAnsi"/>
        </w:rPr>
      </w:pPr>
      <w:r w:rsidRPr="00D93D2D">
        <w:rPr>
          <w:rFonts w:cstheme="minorHAnsi"/>
          <w:szCs w:val="28"/>
        </w:rPr>
        <w:t>In the absence of Xpert results (baseline model in the pre-Xpert era before year 2018), all newly diagnosed individuals (smear positive or those clinically diagnosed) received first-line TB treatment that lasts 6 months, with a treatment success rate in the public sector that is independent of whe</w:t>
      </w:r>
      <w:r w:rsidR="00B06EF7" w:rsidRPr="00D93D2D">
        <w:rPr>
          <w:rFonts w:cstheme="minorHAnsi"/>
          <w:szCs w:val="28"/>
        </w:rPr>
        <w:t>re</w:t>
      </w:r>
      <w:r w:rsidRPr="00D93D2D">
        <w:rPr>
          <w:rFonts w:cstheme="minorHAnsi"/>
          <w:szCs w:val="28"/>
        </w:rPr>
        <w:t xml:space="preserve"> patients were referred from. We also assumed that diagnosis and treatment occur in the private sector and explicitly modeled patterns and outcomes of empiric treatment in the private sector when proper bacteriologic diagnosis referral to the public sector was not made.  </w:t>
      </w:r>
    </w:p>
    <w:p w14:paraId="43EE1889" w14:textId="0FFDBC80" w:rsidR="003B35D8" w:rsidRPr="00D93D2D" w:rsidRDefault="003B35D8" w:rsidP="00060BF2">
      <w:pPr>
        <w:pStyle w:val="Heading2"/>
        <w:jc w:val="both"/>
        <w:rPr>
          <w:rFonts w:cstheme="minorHAnsi"/>
        </w:rPr>
      </w:pPr>
      <w:bookmarkStart w:id="11" w:name="_Toc12877763"/>
      <w:r w:rsidRPr="00D93D2D">
        <w:rPr>
          <w:rFonts w:cstheme="minorHAnsi"/>
        </w:rPr>
        <w:t>TB treatment decision and Xpert performance</w:t>
      </w:r>
      <w:bookmarkEnd w:id="11"/>
    </w:p>
    <w:p w14:paraId="25AB37CD" w14:textId="42D080FE" w:rsidR="008654CF" w:rsidRPr="00D93D2D" w:rsidRDefault="003B35D8" w:rsidP="0093221A">
      <w:pPr>
        <w:tabs>
          <w:tab w:val="left" w:pos="2430"/>
        </w:tabs>
        <w:jc w:val="both"/>
        <w:rPr>
          <w:rFonts w:cstheme="minorHAnsi"/>
          <w:szCs w:val="28"/>
        </w:rPr>
      </w:pPr>
      <w:r w:rsidRPr="00D93D2D">
        <w:rPr>
          <w:rFonts w:cstheme="minorHAnsi"/>
          <w:szCs w:val="28"/>
        </w:rPr>
        <w:t xml:space="preserve">In our model, TB patients were characterized by their underlying disease status that is differentiated by 1) New and Previous TB, and 2) DS and DR-TB disease, and they were further classified according to their </w:t>
      </w:r>
      <w:r w:rsidR="00B06EF7" w:rsidRPr="00D93D2D">
        <w:rPr>
          <w:rFonts w:cstheme="minorHAnsi"/>
          <w:szCs w:val="28"/>
        </w:rPr>
        <w:t>s</w:t>
      </w:r>
      <w:r w:rsidRPr="00D93D2D">
        <w:rPr>
          <w:rFonts w:cstheme="minorHAnsi"/>
          <w:szCs w:val="28"/>
        </w:rPr>
        <w:t xml:space="preserve">mear and Xpert TB and RIF resistance detection status. As an individual’s TB disease becomes more advanced over time, they experience more symptoms and become more infectious. This will trigger an increase in care-seeking behavior as </w:t>
      </w:r>
      <w:r w:rsidR="00B06EF7" w:rsidRPr="00D93D2D">
        <w:rPr>
          <w:rFonts w:cstheme="minorHAnsi"/>
          <w:szCs w:val="28"/>
        </w:rPr>
        <w:t>patients</w:t>
      </w:r>
      <w:r w:rsidRPr="00D93D2D">
        <w:rPr>
          <w:rFonts w:cstheme="minorHAnsi"/>
          <w:szCs w:val="28"/>
        </w:rPr>
        <w:t xml:space="preserve"> experience a higher burden of disease. </w:t>
      </w:r>
      <w:r w:rsidR="00BB1830" w:rsidRPr="00D93D2D">
        <w:rPr>
          <w:rFonts w:cstheme="minorHAnsi"/>
          <w:szCs w:val="28"/>
        </w:rPr>
        <w:t>Similarly</w:t>
      </w:r>
      <w:r w:rsidRPr="00D93D2D">
        <w:rPr>
          <w:rFonts w:cstheme="minorHAnsi"/>
          <w:szCs w:val="28"/>
        </w:rPr>
        <w:t>, the smear status of patients (changing from smear negative to smear positive) will evolve with time since the onset of active disease, such that 70% of patients will be smear positive by 9 months since disease initiation. The sensitivity of Xpert for TB diagnosis is</w:t>
      </w:r>
      <w:r w:rsidR="00B06EF7" w:rsidRPr="00D93D2D">
        <w:rPr>
          <w:rFonts w:cstheme="minorHAnsi"/>
          <w:szCs w:val="28"/>
        </w:rPr>
        <w:t xml:space="preserve"> estimated</w:t>
      </w:r>
      <w:r w:rsidRPr="00D93D2D">
        <w:rPr>
          <w:rFonts w:cstheme="minorHAnsi"/>
          <w:szCs w:val="28"/>
        </w:rPr>
        <w:t xml:space="preserve"> at 67% among smear-negative patients and at 98% for smear positive individuals. We further assume that Xpert is 95% sensitive for detecting rifampin resistance among DR-TB patients. Specificity of Xpert for rifampin resistance was modeled as 98%. Finally, DS-TB therapy (a 6-month regimen) was assumed to have no impact o</w:t>
      </w:r>
      <w:r w:rsidR="00B06EF7" w:rsidRPr="00D93D2D">
        <w:rPr>
          <w:rFonts w:cstheme="minorHAnsi"/>
          <w:szCs w:val="28"/>
        </w:rPr>
        <w:t>n</w:t>
      </w:r>
      <w:r w:rsidRPr="00D93D2D">
        <w:rPr>
          <w:rFonts w:cstheme="minorHAnsi"/>
          <w:szCs w:val="28"/>
        </w:rPr>
        <w:t xml:space="preserve"> underlying DR-TB infection, while </w:t>
      </w:r>
      <w:r w:rsidRPr="00D93D2D">
        <w:rPr>
          <w:rFonts w:cstheme="minorHAnsi"/>
          <w:szCs w:val="28"/>
        </w:rPr>
        <w:lastRenderedPageBreak/>
        <w:t>DR-TB therapy (a 20-month regimen) was assumed to clear any underlying DS-TB infections along with D</w:t>
      </w:r>
      <w:r w:rsidR="00BB1830" w:rsidRPr="00D93D2D">
        <w:rPr>
          <w:rFonts w:cstheme="minorHAnsi"/>
          <w:szCs w:val="28"/>
        </w:rPr>
        <w:t>R</w:t>
      </w:r>
      <w:r w:rsidRPr="00D93D2D">
        <w:rPr>
          <w:rFonts w:cstheme="minorHAnsi"/>
          <w:szCs w:val="28"/>
        </w:rPr>
        <w:t xml:space="preserve">-TB. </w:t>
      </w:r>
    </w:p>
    <w:p w14:paraId="75CB0535" w14:textId="566EE3C2" w:rsidR="00AA32BF" w:rsidRPr="00D93D2D" w:rsidRDefault="00EF205C" w:rsidP="00060BF2">
      <w:pPr>
        <w:pStyle w:val="Heading2"/>
        <w:jc w:val="both"/>
        <w:rPr>
          <w:rFonts w:cstheme="minorHAnsi"/>
        </w:rPr>
      </w:pPr>
      <w:bookmarkStart w:id="12" w:name="_Toc12877764"/>
      <w:r w:rsidRPr="00D93D2D">
        <w:rPr>
          <w:rFonts w:cstheme="minorHAnsi"/>
        </w:rPr>
        <w:t>Experimental f</w:t>
      </w:r>
      <w:r w:rsidR="00AA32BF" w:rsidRPr="00D93D2D">
        <w:rPr>
          <w:rFonts w:cstheme="minorHAnsi"/>
        </w:rPr>
        <w:t>ramework</w:t>
      </w:r>
      <w:r w:rsidRPr="00D93D2D">
        <w:rPr>
          <w:rFonts w:cstheme="minorHAnsi"/>
        </w:rPr>
        <w:t xml:space="preserve"> for studying the impact of Xpert</w:t>
      </w:r>
      <w:bookmarkEnd w:id="12"/>
    </w:p>
    <w:p w14:paraId="0893CB74" w14:textId="3B6CA5B3" w:rsidR="005C0929" w:rsidRPr="00D93D2D" w:rsidRDefault="005C0929" w:rsidP="00BB1830">
      <w:pPr>
        <w:tabs>
          <w:tab w:val="left" w:pos="2430"/>
        </w:tabs>
        <w:jc w:val="both"/>
        <w:rPr>
          <w:rFonts w:cstheme="minorHAnsi"/>
          <w:szCs w:val="28"/>
        </w:rPr>
      </w:pPr>
      <w:r w:rsidRPr="00D93D2D">
        <w:rPr>
          <w:rFonts w:cstheme="minorHAnsi"/>
          <w:szCs w:val="28"/>
        </w:rPr>
        <w:t xml:space="preserve">Our primary </w:t>
      </w:r>
      <w:r w:rsidR="00EF205C" w:rsidRPr="00D93D2D">
        <w:rPr>
          <w:rFonts w:cstheme="minorHAnsi"/>
          <w:szCs w:val="28"/>
        </w:rPr>
        <w:t>analysis</w:t>
      </w:r>
      <w:r w:rsidRPr="00D93D2D">
        <w:rPr>
          <w:rFonts w:cstheme="minorHAnsi"/>
          <w:szCs w:val="28"/>
        </w:rPr>
        <w:t xml:space="preserve"> </w:t>
      </w:r>
      <w:r w:rsidR="00EF205C" w:rsidRPr="00D93D2D">
        <w:rPr>
          <w:rFonts w:cstheme="minorHAnsi"/>
          <w:szCs w:val="28"/>
        </w:rPr>
        <w:t xml:space="preserve">was focused on the epidemiologic and </w:t>
      </w:r>
      <w:r w:rsidR="00954E1F" w:rsidRPr="00D93D2D">
        <w:rPr>
          <w:rFonts w:cstheme="minorHAnsi"/>
          <w:szCs w:val="28"/>
        </w:rPr>
        <w:t xml:space="preserve">economic impact of </w:t>
      </w:r>
      <w:r w:rsidRPr="00D93D2D">
        <w:rPr>
          <w:rFonts w:cstheme="minorHAnsi"/>
          <w:szCs w:val="28"/>
        </w:rPr>
        <w:t>centralized vs. decentralized Xpert implementatio</w:t>
      </w:r>
      <w:r w:rsidR="00954E1F" w:rsidRPr="00D93D2D">
        <w:rPr>
          <w:rFonts w:cstheme="minorHAnsi"/>
          <w:szCs w:val="28"/>
        </w:rPr>
        <w:t>n.</w:t>
      </w:r>
      <w:r w:rsidRPr="00D93D2D">
        <w:rPr>
          <w:rFonts w:cstheme="minorHAnsi"/>
          <w:szCs w:val="28"/>
        </w:rPr>
        <w:t xml:space="preserve"> For both scenarios, we assume</w:t>
      </w:r>
      <w:r w:rsidR="00AA32BF" w:rsidRPr="00D93D2D">
        <w:rPr>
          <w:rFonts w:cstheme="minorHAnsi"/>
          <w:szCs w:val="28"/>
        </w:rPr>
        <w:t>d</w:t>
      </w:r>
      <w:r w:rsidRPr="00D93D2D">
        <w:rPr>
          <w:rFonts w:cstheme="minorHAnsi"/>
          <w:szCs w:val="28"/>
        </w:rPr>
        <w:t xml:space="preserve"> that Xpert will be </w:t>
      </w:r>
      <w:r w:rsidRPr="00D93D2D">
        <w:rPr>
          <w:rFonts w:cstheme="minorHAnsi"/>
          <w:i/>
          <w:szCs w:val="28"/>
        </w:rPr>
        <w:t>intended</w:t>
      </w:r>
      <w:r w:rsidRPr="00D93D2D">
        <w:rPr>
          <w:rFonts w:cstheme="minorHAnsi"/>
          <w:szCs w:val="28"/>
        </w:rPr>
        <w:t xml:space="preserve"> </w:t>
      </w:r>
      <w:r w:rsidR="00954E1F" w:rsidRPr="00D93D2D">
        <w:rPr>
          <w:rFonts w:cstheme="minorHAnsi"/>
          <w:szCs w:val="28"/>
        </w:rPr>
        <w:t xml:space="preserve">as an standalone test, </w:t>
      </w:r>
      <w:r w:rsidR="00954E1F" w:rsidRPr="00D93D2D">
        <w:rPr>
          <w:rFonts w:cstheme="minorHAnsi"/>
          <w:szCs w:val="28"/>
          <w:u w:val="single"/>
        </w:rPr>
        <w:t>replacing smear microscopy</w:t>
      </w:r>
      <w:r w:rsidR="00954E1F" w:rsidRPr="00D93D2D">
        <w:rPr>
          <w:rFonts w:cstheme="minorHAnsi"/>
          <w:szCs w:val="28"/>
        </w:rPr>
        <w:t xml:space="preserve">. As such, </w:t>
      </w:r>
      <w:r w:rsidRPr="00D93D2D">
        <w:rPr>
          <w:rFonts w:cstheme="minorHAnsi"/>
          <w:szCs w:val="28"/>
        </w:rPr>
        <w:t>all patients</w:t>
      </w:r>
      <w:r w:rsidR="00954E1F" w:rsidRPr="00D93D2D">
        <w:rPr>
          <w:rFonts w:cstheme="minorHAnsi"/>
          <w:szCs w:val="28"/>
        </w:rPr>
        <w:t xml:space="preserve"> presetting to the public sector (initial, </w:t>
      </w:r>
      <w:r w:rsidR="00BB1830" w:rsidRPr="00D93D2D">
        <w:rPr>
          <w:rFonts w:cstheme="minorHAnsi"/>
          <w:szCs w:val="28"/>
        </w:rPr>
        <w:t>follow up</w:t>
      </w:r>
      <w:r w:rsidR="00954E1F" w:rsidRPr="00D93D2D">
        <w:rPr>
          <w:rFonts w:cstheme="minorHAnsi"/>
          <w:szCs w:val="28"/>
        </w:rPr>
        <w:t xml:space="preserve"> or </w:t>
      </w:r>
      <w:r w:rsidR="00BB1830" w:rsidRPr="00D93D2D">
        <w:rPr>
          <w:rFonts w:cstheme="minorHAnsi"/>
          <w:szCs w:val="28"/>
        </w:rPr>
        <w:t>post-failure</w:t>
      </w:r>
      <w:r w:rsidR="00954E1F" w:rsidRPr="00D93D2D">
        <w:rPr>
          <w:rFonts w:cstheme="minorHAnsi"/>
          <w:szCs w:val="28"/>
        </w:rPr>
        <w:t xml:space="preserve"> encounter) will receive Xpert. While the cost of implementing Xpert in a centralized fashion (at the DTC level) may be lower than decentralized placement at local DMCs, the centralized testing is associated with a </w:t>
      </w:r>
      <w:r w:rsidR="00954E1F" w:rsidRPr="00D93D2D">
        <w:rPr>
          <w:rFonts w:cstheme="minorHAnsi"/>
          <w:i/>
          <w:iCs/>
          <w:szCs w:val="28"/>
        </w:rPr>
        <w:t>pre-treatment loss</w:t>
      </w:r>
      <w:r w:rsidR="009D1225" w:rsidRPr="00D93D2D">
        <w:rPr>
          <w:rFonts w:cstheme="minorHAnsi"/>
          <w:i/>
          <w:iCs/>
          <w:szCs w:val="28"/>
        </w:rPr>
        <w:t>-</w:t>
      </w:r>
      <w:r w:rsidR="00954E1F" w:rsidRPr="00D93D2D">
        <w:rPr>
          <w:rFonts w:cstheme="minorHAnsi"/>
          <w:i/>
          <w:iCs/>
          <w:szCs w:val="28"/>
        </w:rPr>
        <w:t>to</w:t>
      </w:r>
      <w:r w:rsidR="009D1225" w:rsidRPr="00D93D2D">
        <w:rPr>
          <w:rFonts w:cstheme="minorHAnsi"/>
          <w:i/>
          <w:iCs/>
          <w:szCs w:val="28"/>
        </w:rPr>
        <w:t>-</w:t>
      </w:r>
      <w:r w:rsidR="00954E1F" w:rsidRPr="00D93D2D">
        <w:rPr>
          <w:rFonts w:cstheme="minorHAnsi"/>
          <w:i/>
          <w:iCs/>
          <w:szCs w:val="28"/>
        </w:rPr>
        <w:t>follow</w:t>
      </w:r>
      <w:r w:rsidR="009D1225" w:rsidRPr="00D93D2D">
        <w:rPr>
          <w:rFonts w:cstheme="minorHAnsi"/>
          <w:i/>
          <w:iCs/>
          <w:szCs w:val="28"/>
        </w:rPr>
        <w:t>-</w:t>
      </w:r>
      <w:r w:rsidR="00954E1F" w:rsidRPr="00D93D2D">
        <w:rPr>
          <w:rFonts w:cstheme="minorHAnsi"/>
          <w:i/>
          <w:iCs/>
          <w:szCs w:val="28"/>
        </w:rPr>
        <w:t>up</w:t>
      </w:r>
      <w:r w:rsidR="00954E1F" w:rsidRPr="00D93D2D">
        <w:rPr>
          <w:rFonts w:cstheme="minorHAnsi"/>
          <w:szCs w:val="28"/>
        </w:rPr>
        <w:t>. This is due to delays for transporting specimen</w:t>
      </w:r>
      <w:r w:rsidR="00B06EF7" w:rsidRPr="00D93D2D">
        <w:rPr>
          <w:rFonts w:cstheme="minorHAnsi"/>
          <w:szCs w:val="28"/>
        </w:rPr>
        <w:t>s</w:t>
      </w:r>
      <w:r w:rsidR="00954E1F" w:rsidRPr="00D93D2D">
        <w:rPr>
          <w:rFonts w:cstheme="minorHAnsi"/>
          <w:szCs w:val="28"/>
        </w:rPr>
        <w:t xml:space="preserve"> from local DMCs to the central DTC in the centralized scenario. As such,</w:t>
      </w:r>
      <w:r w:rsidRPr="00D93D2D">
        <w:rPr>
          <w:rFonts w:cstheme="minorHAnsi"/>
          <w:szCs w:val="28"/>
        </w:rPr>
        <w:t xml:space="preserve"> the main impact </w:t>
      </w:r>
      <w:r w:rsidR="00954E1F" w:rsidRPr="00D93D2D">
        <w:rPr>
          <w:rFonts w:cstheme="minorHAnsi"/>
          <w:szCs w:val="28"/>
        </w:rPr>
        <w:t xml:space="preserve">of each scenario </w:t>
      </w:r>
      <w:r w:rsidR="00AA32BF" w:rsidRPr="00D93D2D">
        <w:rPr>
          <w:rFonts w:cstheme="minorHAnsi"/>
          <w:szCs w:val="28"/>
        </w:rPr>
        <w:t>was</w:t>
      </w:r>
      <w:r w:rsidRPr="00D93D2D">
        <w:rPr>
          <w:rFonts w:cstheme="minorHAnsi"/>
          <w:szCs w:val="28"/>
        </w:rPr>
        <w:t xml:space="preserve"> determined based on the differential losses of patients who do not get proper diagnosis and </w:t>
      </w:r>
      <w:r w:rsidR="00B06EF7" w:rsidRPr="00D93D2D">
        <w:rPr>
          <w:rFonts w:cstheme="minorHAnsi"/>
          <w:szCs w:val="28"/>
        </w:rPr>
        <w:t>initiation of</w:t>
      </w:r>
      <w:r w:rsidRPr="00D93D2D">
        <w:rPr>
          <w:rFonts w:cstheme="minorHAnsi"/>
          <w:szCs w:val="28"/>
        </w:rPr>
        <w:t xml:space="preserve"> TB treatment. </w:t>
      </w:r>
    </w:p>
    <w:p w14:paraId="28F0C4BC" w14:textId="1411A2AF" w:rsidR="005C0929" w:rsidRPr="00D93D2D" w:rsidRDefault="005C0929" w:rsidP="00060BF2">
      <w:pPr>
        <w:tabs>
          <w:tab w:val="left" w:pos="2430"/>
        </w:tabs>
        <w:jc w:val="both"/>
        <w:rPr>
          <w:rFonts w:cstheme="minorHAnsi"/>
          <w:szCs w:val="28"/>
        </w:rPr>
      </w:pPr>
      <w:r w:rsidRPr="00D93D2D">
        <w:rPr>
          <w:rFonts w:cstheme="minorHAnsi"/>
          <w:b/>
          <w:szCs w:val="28"/>
        </w:rPr>
        <w:t xml:space="preserve">Centralized Xpert scenario: </w:t>
      </w:r>
      <w:r w:rsidRPr="00D93D2D">
        <w:rPr>
          <w:rFonts w:cstheme="minorHAnsi"/>
          <w:szCs w:val="28"/>
        </w:rPr>
        <w:t>If Xpert is placed only at DTCs</w:t>
      </w:r>
      <w:r w:rsidR="00954E1F" w:rsidRPr="00D93D2D">
        <w:rPr>
          <w:rFonts w:cstheme="minorHAnsi"/>
          <w:szCs w:val="28"/>
        </w:rPr>
        <w:t xml:space="preserve">, </w:t>
      </w:r>
      <w:r w:rsidRPr="00D93D2D">
        <w:rPr>
          <w:rFonts w:cstheme="minorHAnsi"/>
          <w:szCs w:val="28"/>
        </w:rPr>
        <w:t>we assume</w:t>
      </w:r>
      <w:r w:rsidR="00AA32BF" w:rsidRPr="00D93D2D">
        <w:rPr>
          <w:rFonts w:cstheme="minorHAnsi"/>
          <w:szCs w:val="28"/>
        </w:rPr>
        <w:t>d</w:t>
      </w:r>
      <w:r w:rsidRPr="00D93D2D">
        <w:rPr>
          <w:rFonts w:cstheme="minorHAnsi"/>
          <w:szCs w:val="28"/>
        </w:rPr>
        <w:t xml:space="preserve"> that </w:t>
      </w:r>
      <w:r w:rsidR="00954E1F" w:rsidRPr="00D93D2D">
        <w:rPr>
          <w:rFonts w:cstheme="minorHAnsi"/>
          <w:szCs w:val="28"/>
        </w:rPr>
        <w:t xml:space="preserve">all patients </w:t>
      </w:r>
      <w:r w:rsidR="00B06EF7" w:rsidRPr="00D93D2D">
        <w:rPr>
          <w:rFonts w:cstheme="minorHAnsi"/>
          <w:szCs w:val="28"/>
        </w:rPr>
        <w:t xml:space="preserve">presenting to DMCs with symptoms suggestive of TB </w:t>
      </w:r>
      <w:r w:rsidR="00954E1F" w:rsidRPr="00D93D2D">
        <w:rPr>
          <w:rFonts w:cstheme="minorHAnsi"/>
          <w:szCs w:val="28"/>
        </w:rPr>
        <w:t>will receive</w:t>
      </w:r>
      <w:r w:rsidRPr="00D93D2D">
        <w:rPr>
          <w:rFonts w:cstheme="minorHAnsi"/>
          <w:szCs w:val="28"/>
        </w:rPr>
        <w:t xml:space="preserve"> Xpert referral</w:t>
      </w:r>
      <w:r w:rsidR="00954E1F" w:rsidRPr="00D93D2D">
        <w:rPr>
          <w:rFonts w:cstheme="minorHAnsi"/>
          <w:szCs w:val="28"/>
        </w:rPr>
        <w:t xml:space="preserve">. Since </w:t>
      </w:r>
      <w:r w:rsidRPr="00D93D2D">
        <w:rPr>
          <w:rFonts w:cstheme="minorHAnsi"/>
          <w:szCs w:val="28"/>
        </w:rPr>
        <w:t xml:space="preserve">patient samples are required to be transported </w:t>
      </w:r>
      <w:r w:rsidR="00954E1F" w:rsidRPr="00D93D2D">
        <w:rPr>
          <w:rFonts w:cstheme="minorHAnsi"/>
          <w:szCs w:val="28"/>
        </w:rPr>
        <w:t>from</w:t>
      </w:r>
      <w:r w:rsidRPr="00D93D2D">
        <w:rPr>
          <w:rFonts w:cstheme="minorHAnsi"/>
          <w:szCs w:val="28"/>
        </w:rPr>
        <w:t xml:space="preserve"> the DMC</w:t>
      </w:r>
      <w:r w:rsidR="00954E1F" w:rsidRPr="00D93D2D">
        <w:rPr>
          <w:rFonts w:cstheme="minorHAnsi"/>
          <w:szCs w:val="28"/>
        </w:rPr>
        <w:t>s to</w:t>
      </w:r>
      <w:r w:rsidRPr="00D93D2D">
        <w:rPr>
          <w:rFonts w:cstheme="minorHAnsi"/>
          <w:szCs w:val="28"/>
        </w:rPr>
        <w:t xml:space="preserve"> </w:t>
      </w:r>
      <w:r w:rsidR="00954E1F" w:rsidRPr="00D93D2D">
        <w:rPr>
          <w:rFonts w:cstheme="minorHAnsi"/>
          <w:szCs w:val="28"/>
        </w:rPr>
        <w:t>the central DTC for analysis,</w:t>
      </w:r>
      <w:r w:rsidRPr="00D93D2D">
        <w:rPr>
          <w:rFonts w:cstheme="minorHAnsi"/>
          <w:szCs w:val="28"/>
        </w:rPr>
        <w:t xml:space="preserve"> </w:t>
      </w:r>
      <w:r w:rsidR="00954E1F" w:rsidRPr="00D93D2D">
        <w:rPr>
          <w:rFonts w:cstheme="minorHAnsi"/>
          <w:szCs w:val="28"/>
        </w:rPr>
        <w:t xml:space="preserve">there is </w:t>
      </w:r>
      <w:r w:rsidRPr="00D93D2D">
        <w:rPr>
          <w:rFonts w:cstheme="minorHAnsi"/>
          <w:szCs w:val="28"/>
        </w:rPr>
        <w:t xml:space="preserve">approximately </w:t>
      </w:r>
      <w:r w:rsidR="00954E1F" w:rsidRPr="00D93D2D">
        <w:rPr>
          <w:rFonts w:cstheme="minorHAnsi"/>
          <w:szCs w:val="28"/>
        </w:rPr>
        <w:t xml:space="preserve">a </w:t>
      </w:r>
      <w:r w:rsidRPr="00D93D2D">
        <w:rPr>
          <w:rFonts w:cstheme="minorHAnsi"/>
          <w:szCs w:val="28"/>
        </w:rPr>
        <w:t xml:space="preserve">one-week </w:t>
      </w:r>
      <w:r w:rsidR="00954E1F" w:rsidRPr="00D93D2D">
        <w:rPr>
          <w:rFonts w:cstheme="minorHAnsi"/>
          <w:szCs w:val="28"/>
        </w:rPr>
        <w:t>delay for patients to receive Xpert results. We assume that this delay is associated with a 13% pre-treatment loss</w:t>
      </w:r>
      <w:r w:rsidR="009D1225" w:rsidRPr="00D93D2D">
        <w:rPr>
          <w:rFonts w:cstheme="minorHAnsi"/>
          <w:szCs w:val="28"/>
        </w:rPr>
        <w:t>-</w:t>
      </w:r>
      <w:r w:rsidR="00954E1F" w:rsidRPr="00D93D2D">
        <w:rPr>
          <w:rFonts w:cstheme="minorHAnsi"/>
          <w:szCs w:val="28"/>
        </w:rPr>
        <w:t>to</w:t>
      </w:r>
      <w:r w:rsidR="009D1225" w:rsidRPr="00D93D2D">
        <w:rPr>
          <w:rFonts w:cstheme="minorHAnsi"/>
          <w:szCs w:val="28"/>
        </w:rPr>
        <w:t>-</w:t>
      </w:r>
      <w:r w:rsidR="00954E1F" w:rsidRPr="00D93D2D">
        <w:rPr>
          <w:rFonts w:cstheme="minorHAnsi"/>
          <w:szCs w:val="28"/>
        </w:rPr>
        <w:t>follow</w:t>
      </w:r>
      <w:r w:rsidR="009D1225" w:rsidRPr="00D93D2D">
        <w:rPr>
          <w:rFonts w:cstheme="minorHAnsi"/>
          <w:szCs w:val="28"/>
        </w:rPr>
        <w:t>-</w:t>
      </w:r>
      <w:r w:rsidR="00954E1F" w:rsidRPr="00D93D2D">
        <w:rPr>
          <w:rFonts w:cstheme="minorHAnsi"/>
          <w:szCs w:val="28"/>
        </w:rPr>
        <w:t xml:space="preserve">up after </w:t>
      </w:r>
      <w:r w:rsidR="00B06EF7" w:rsidRPr="00D93D2D">
        <w:rPr>
          <w:rFonts w:cstheme="minorHAnsi"/>
          <w:szCs w:val="28"/>
        </w:rPr>
        <w:t xml:space="preserve">the </w:t>
      </w:r>
      <w:r w:rsidR="00954E1F" w:rsidRPr="00D93D2D">
        <w:rPr>
          <w:rFonts w:cstheme="minorHAnsi"/>
          <w:szCs w:val="28"/>
        </w:rPr>
        <w:t>initial encounter and vary this parameter in sensitivity analysis</w:t>
      </w:r>
      <w:r w:rsidR="009D1225" w:rsidRPr="00D93D2D">
        <w:rPr>
          <w:rFonts w:cstheme="minorHAnsi"/>
          <w:szCs w:val="28"/>
        </w:rPr>
        <w:t xml:space="preserve"> (see Section </w:t>
      </w:r>
      <w:r w:rsidR="008654CF" w:rsidRPr="00D93D2D">
        <w:rPr>
          <w:rFonts w:cstheme="minorHAnsi"/>
          <w:szCs w:val="28"/>
        </w:rPr>
        <w:t>3.1</w:t>
      </w:r>
      <w:r w:rsidR="009D1225" w:rsidRPr="00D93D2D">
        <w:rPr>
          <w:rFonts w:cstheme="minorHAnsi"/>
          <w:szCs w:val="28"/>
        </w:rPr>
        <w:t>)</w:t>
      </w:r>
      <w:r w:rsidR="00954E1F" w:rsidRPr="00D93D2D">
        <w:rPr>
          <w:rFonts w:cstheme="minorHAnsi"/>
          <w:szCs w:val="28"/>
        </w:rPr>
        <w:t xml:space="preserve">. </w:t>
      </w:r>
    </w:p>
    <w:p w14:paraId="65FE0076" w14:textId="53F16252" w:rsidR="000B11F5" w:rsidRPr="00D93D2D" w:rsidRDefault="005C0929" w:rsidP="0093221A">
      <w:pPr>
        <w:tabs>
          <w:tab w:val="left" w:pos="2430"/>
        </w:tabs>
        <w:jc w:val="both"/>
        <w:rPr>
          <w:rFonts w:cstheme="minorHAnsi"/>
          <w:b/>
          <w:szCs w:val="28"/>
        </w:rPr>
      </w:pPr>
      <w:r w:rsidRPr="00D93D2D">
        <w:rPr>
          <w:rFonts w:cstheme="minorHAnsi"/>
          <w:b/>
          <w:szCs w:val="28"/>
        </w:rPr>
        <w:t xml:space="preserve">Decentralized Xpert scenario : </w:t>
      </w:r>
      <w:r w:rsidR="00AA32BF" w:rsidRPr="00D93D2D">
        <w:rPr>
          <w:rFonts w:cstheme="minorHAnsi"/>
          <w:szCs w:val="28"/>
        </w:rPr>
        <w:t>In this scenario, we</w:t>
      </w:r>
      <w:r w:rsidRPr="00D93D2D">
        <w:rPr>
          <w:rFonts w:cstheme="minorHAnsi"/>
          <w:szCs w:val="28"/>
        </w:rPr>
        <w:t xml:space="preserve"> assume</w:t>
      </w:r>
      <w:r w:rsidR="00AA32BF" w:rsidRPr="00D93D2D">
        <w:rPr>
          <w:rFonts w:cstheme="minorHAnsi"/>
          <w:szCs w:val="28"/>
        </w:rPr>
        <w:t>d</w:t>
      </w:r>
      <w:r w:rsidRPr="00D93D2D">
        <w:rPr>
          <w:rFonts w:cstheme="minorHAnsi"/>
          <w:szCs w:val="28"/>
        </w:rPr>
        <w:t xml:space="preserve"> that Xpert testing is performed with at least </w:t>
      </w:r>
      <w:r w:rsidR="00AA32BF" w:rsidRPr="00D93D2D">
        <w:rPr>
          <w:rFonts w:cstheme="minorHAnsi"/>
          <w:szCs w:val="28"/>
        </w:rPr>
        <w:t>one</w:t>
      </w:r>
      <w:r w:rsidRPr="00D93D2D">
        <w:rPr>
          <w:rFonts w:cstheme="minorHAnsi"/>
          <w:szCs w:val="28"/>
        </w:rPr>
        <w:t xml:space="preserve"> battery operated O</w:t>
      </w:r>
      <w:r w:rsidR="00B06EF7" w:rsidRPr="00D93D2D">
        <w:rPr>
          <w:rFonts w:cstheme="minorHAnsi"/>
          <w:szCs w:val="28"/>
        </w:rPr>
        <w:t>mni or Edge</w:t>
      </w:r>
      <w:r w:rsidRPr="00D93D2D">
        <w:rPr>
          <w:rFonts w:cstheme="minorHAnsi"/>
          <w:szCs w:val="28"/>
        </w:rPr>
        <w:t xml:space="preserve"> unit (procurement of the number of units optimized based on the demand at each DMC)</w:t>
      </w:r>
      <w:r w:rsidR="00AA32BF" w:rsidRPr="00D93D2D">
        <w:rPr>
          <w:rFonts w:cstheme="minorHAnsi"/>
          <w:szCs w:val="28"/>
        </w:rPr>
        <w:t>. Likewise, we</w:t>
      </w:r>
      <w:r w:rsidRPr="00D93D2D">
        <w:rPr>
          <w:rFonts w:cstheme="minorHAnsi"/>
          <w:szCs w:val="28"/>
        </w:rPr>
        <w:t xml:space="preserve"> assume</w:t>
      </w:r>
      <w:r w:rsidR="00AA32BF" w:rsidRPr="00D93D2D">
        <w:rPr>
          <w:rFonts w:cstheme="minorHAnsi"/>
          <w:szCs w:val="28"/>
        </w:rPr>
        <w:t>d</w:t>
      </w:r>
      <w:r w:rsidRPr="00D93D2D">
        <w:rPr>
          <w:rFonts w:cstheme="minorHAnsi"/>
          <w:szCs w:val="28"/>
        </w:rPr>
        <w:t xml:space="preserve"> that all suspected TB patients (100%) will be tested with Xpert as an upfront test on the same day during the diagnostic visit.</w:t>
      </w:r>
      <w:r w:rsidR="00954E1F" w:rsidRPr="00D93D2D">
        <w:rPr>
          <w:rFonts w:cstheme="minorHAnsi"/>
          <w:szCs w:val="28"/>
        </w:rPr>
        <w:t xml:space="preserve"> Decentralized Xpert is associated with no pre-treatment </w:t>
      </w:r>
      <w:r w:rsidR="009D1225" w:rsidRPr="00D93D2D">
        <w:rPr>
          <w:rFonts w:cstheme="minorHAnsi"/>
          <w:szCs w:val="28"/>
        </w:rPr>
        <w:t>loss-to-follow-up</w:t>
      </w:r>
      <w:r w:rsidR="00954E1F" w:rsidRPr="00D93D2D">
        <w:rPr>
          <w:rFonts w:cstheme="minorHAnsi"/>
          <w:szCs w:val="28"/>
        </w:rPr>
        <w:t>.</w:t>
      </w:r>
      <w:r w:rsidRPr="00D93D2D">
        <w:rPr>
          <w:rFonts w:cstheme="minorHAnsi"/>
          <w:szCs w:val="28"/>
        </w:rPr>
        <w:t xml:space="preserve"> </w:t>
      </w:r>
    </w:p>
    <w:p w14:paraId="72522252" w14:textId="60DF2E32" w:rsidR="00BB1830" w:rsidRPr="00D93D2D" w:rsidRDefault="00BB1830" w:rsidP="00060BF2">
      <w:pPr>
        <w:pStyle w:val="Heading2"/>
        <w:tabs>
          <w:tab w:val="left" w:pos="2430"/>
        </w:tabs>
        <w:jc w:val="both"/>
        <w:rPr>
          <w:rFonts w:cstheme="minorHAnsi"/>
        </w:rPr>
      </w:pPr>
      <w:bookmarkStart w:id="13" w:name="_Toc12877765"/>
      <w:r w:rsidRPr="00D93D2D">
        <w:rPr>
          <w:rFonts w:cstheme="minorHAnsi"/>
        </w:rPr>
        <w:t>Simulation process</w:t>
      </w:r>
      <w:bookmarkEnd w:id="13"/>
    </w:p>
    <w:p w14:paraId="77CF1904" w14:textId="74D3C949" w:rsidR="00BB1830" w:rsidRPr="00D93D2D" w:rsidRDefault="00BB1830" w:rsidP="009D1225">
      <w:pPr>
        <w:jc w:val="both"/>
        <w:rPr>
          <w:rFonts w:cstheme="minorHAnsi"/>
        </w:rPr>
      </w:pPr>
      <w:r w:rsidRPr="00D93D2D">
        <w:rPr>
          <w:rFonts w:cstheme="minorHAnsi"/>
        </w:rPr>
        <w:t>Our model is run in a timestep of one month</w:t>
      </w:r>
      <w:r w:rsidR="00B06EF7" w:rsidRPr="00D93D2D">
        <w:rPr>
          <w:rFonts w:cstheme="minorHAnsi"/>
        </w:rPr>
        <w:t>,</w:t>
      </w:r>
      <w:r w:rsidRPr="00D93D2D">
        <w:rPr>
          <w:rFonts w:cstheme="minorHAnsi"/>
        </w:rPr>
        <w:t xml:space="preserve"> and outcomes are reported at the end of each simulated year. The core model simulates a population of 1 million people, representative of an average-size district in India that might contain a single DTC. For each Xpert testing scenario (centralized versus decentralized), we generated 2,000 independent simulations of TB transmission at the district level. To assess implementation at a city or state level, we then constructed larger simulated populations of 20 million people by combining 20 randomly sampled districts (with replacement) from the original pool of simulations. We repeated this procedure to achieve a sample of 2,000 larger-scale simulations with a population of 20 million individuals each. All outcomes were reported as median values with interquartile uncertainty ranges across these 2,000 larger-scale simulated populations. </w:t>
      </w:r>
    </w:p>
    <w:p w14:paraId="7A89A435" w14:textId="53FBA3FE" w:rsidR="00E6460D" w:rsidRPr="00D93D2D" w:rsidRDefault="006C1FBA" w:rsidP="00060BF2">
      <w:pPr>
        <w:pStyle w:val="Heading2"/>
        <w:tabs>
          <w:tab w:val="left" w:pos="2430"/>
        </w:tabs>
        <w:jc w:val="both"/>
        <w:rPr>
          <w:rFonts w:cstheme="minorHAnsi"/>
        </w:rPr>
      </w:pPr>
      <w:bookmarkStart w:id="14" w:name="_Toc12877766"/>
      <w:r w:rsidRPr="00D93D2D">
        <w:rPr>
          <w:rFonts w:cstheme="minorHAnsi"/>
        </w:rPr>
        <w:t>Model calibration process</w:t>
      </w:r>
      <w:bookmarkEnd w:id="14"/>
    </w:p>
    <w:p w14:paraId="3A8FB9F2" w14:textId="138313C7" w:rsidR="00C045C3" w:rsidRPr="00D93D2D" w:rsidRDefault="00307286" w:rsidP="00C045C3">
      <w:pPr>
        <w:tabs>
          <w:tab w:val="left" w:pos="2430"/>
        </w:tabs>
        <w:jc w:val="both"/>
        <w:rPr>
          <w:rFonts w:cstheme="minorHAnsi"/>
        </w:rPr>
      </w:pPr>
      <w:r w:rsidRPr="00D93D2D">
        <w:rPr>
          <w:rFonts w:cstheme="minorHAnsi"/>
        </w:rPr>
        <w:t>In absence of DR-TB infection, the model was first brought to a DS-TB equilibrium, calibrated to estimated prevalence of DS-TB in India</w:t>
      </w:r>
      <w:r w:rsidR="006C1FBA" w:rsidRPr="00D93D2D">
        <w:rPr>
          <w:rFonts w:cstheme="minorHAnsi"/>
        </w:rPr>
        <w:t xml:space="preserve">. </w:t>
      </w:r>
      <w:r w:rsidRPr="00D93D2D">
        <w:rPr>
          <w:rFonts w:cstheme="minorHAnsi"/>
        </w:rPr>
        <w:t>Initial DR-TB infections were modeled through DS-TB treatment failures (leading to</w:t>
      </w:r>
      <w:r w:rsidR="006C1FBA" w:rsidRPr="00D93D2D">
        <w:rPr>
          <w:rFonts w:cstheme="minorHAnsi"/>
        </w:rPr>
        <w:t xml:space="preserve"> </w:t>
      </w:r>
      <w:r w:rsidRPr="00D93D2D">
        <w:rPr>
          <w:rFonts w:cstheme="minorHAnsi"/>
        </w:rPr>
        <w:t>TB-</w:t>
      </w:r>
      <w:r w:rsidR="006C1FBA" w:rsidRPr="00D93D2D">
        <w:rPr>
          <w:rFonts w:cstheme="minorHAnsi"/>
        </w:rPr>
        <w:t>drug resistance</w:t>
      </w:r>
      <w:r w:rsidRPr="00D93D2D">
        <w:rPr>
          <w:rFonts w:cstheme="minorHAnsi"/>
        </w:rPr>
        <w:t>)</w:t>
      </w:r>
      <w:r w:rsidR="006C1FBA" w:rsidRPr="00D93D2D">
        <w:rPr>
          <w:rFonts w:cstheme="minorHAnsi"/>
        </w:rPr>
        <w:t xml:space="preserve"> at a time point of 40 years prior to the present day</w:t>
      </w:r>
      <w:r w:rsidR="00C045C3" w:rsidRPr="00D93D2D">
        <w:rPr>
          <w:rFonts w:cstheme="minorHAnsi"/>
        </w:rPr>
        <w:t xml:space="preserve"> (i.e., year </w:t>
      </w:r>
      <w:r w:rsidR="004825C8" w:rsidRPr="00D93D2D">
        <w:rPr>
          <w:rFonts w:cstheme="minorHAnsi"/>
        </w:rPr>
        <w:t>1978</w:t>
      </w:r>
      <w:r w:rsidR="00C045C3" w:rsidRPr="00D93D2D">
        <w:rPr>
          <w:rFonts w:cstheme="minorHAnsi"/>
        </w:rPr>
        <w:t>)</w:t>
      </w:r>
      <w:r w:rsidRPr="00D93D2D">
        <w:rPr>
          <w:rFonts w:cstheme="minorHAnsi"/>
        </w:rPr>
        <w:t xml:space="preserve">, </w:t>
      </w:r>
      <w:r w:rsidR="00C045C3" w:rsidRPr="00D93D2D">
        <w:rPr>
          <w:rFonts w:cstheme="minorHAnsi"/>
        </w:rPr>
        <w:t xml:space="preserve">and </w:t>
      </w:r>
      <w:r w:rsidRPr="00D93D2D">
        <w:rPr>
          <w:rFonts w:cstheme="minorHAnsi"/>
        </w:rPr>
        <w:t xml:space="preserve">were allowed to increase via new transmissions (assuming a </w:t>
      </w:r>
      <w:r w:rsidR="00C045C3" w:rsidRPr="00D93D2D">
        <w:rPr>
          <w:rFonts w:cstheme="minorHAnsi"/>
        </w:rPr>
        <w:t xml:space="preserve">lower </w:t>
      </w:r>
      <w:r w:rsidR="006C1FBA" w:rsidRPr="00D93D2D">
        <w:rPr>
          <w:rFonts w:cstheme="minorHAnsi"/>
        </w:rPr>
        <w:t xml:space="preserve">relative infectiousness of DR-TB </w:t>
      </w:r>
      <w:r w:rsidR="00C045C3" w:rsidRPr="00D93D2D">
        <w:rPr>
          <w:rFonts w:cstheme="minorHAnsi"/>
        </w:rPr>
        <w:t xml:space="preserve">compared to </w:t>
      </w:r>
      <w:r w:rsidR="006C1FBA" w:rsidRPr="00D93D2D">
        <w:rPr>
          <w:rFonts w:cstheme="minorHAnsi"/>
        </w:rPr>
        <w:t>DS-TB</w:t>
      </w:r>
      <w:r w:rsidRPr="00D93D2D">
        <w:rPr>
          <w:rFonts w:cstheme="minorHAnsi"/>
        </w:rPr>
        <w:t xml:space="preserve"> infections)</w:t>
      </w:r>
      <w:r w:rsidR="00C045C3" w:rsidRPr="00D93D2D">
        <w:rPr>
          <w:rFonts w:cstheme="minorHAnsi"/>
        </w:rPr>
        <w:t xml:space="preserve">. </w:t>
      </w:r>
      <w:r w:rsidRPr="00D93D2D">
        <w:rPr>
          <w:rFonts w:cstheme="minorHAnsi"/>
        </w:rPr>
        <w:t>S</w:t>
      </w:r>
      <w:r w:rsidR="00C045C3" w:rsidRPr="00D93D2D">
        <w:rPr>
          <w:rFonts w:cstheme="minorHAnsi"/>
        </w:rPr>
        <w:t>tarting in year 2007, we modeled a gradual (linear) increase in availability of DR-treatment for patients who fail</w:t>
      </w:r>
      <w:r w:rsidRPr="00D93D2D">
        <w:rPr>
          <w:rFonts w:cstheme="minorHAnsi"/>
        </w:rPr>
        <w:t>ed</w:t>
      </w:r>
      <w:r w:rsidR="00C045C3" w:rsidRPr="00D93D2D">
        <w:rPr>
          <w:rFonts w:cstheme="minorHAnsi"/>
        </w:rPr>
        <w:t xml:space="preserve"> </w:t>
      </w:r>
      <w:r w:rsidRPr="00D93D2D">
        <w:rPr>
          <w:rFonts w:cstheme="minorHAnsi"/>
        </w:rPr>
        <w:t>DS-</w:t>
      </w:r>
      <w:r w:rsidR="00C045C3" w:rsidRPr="00D93D2D">
        <w:rPr>
          <w:rFonts w:cstheme="minorHAnsi"/>
        </w:rPr>
        <w:t>treatment through the DOTS-Plus program in India</w:t>
      </w:r>
      <w:r w:rsidRPr="00D93D2D">
        <w:rPr>
          <w:rFonts w:cstheme="minorHAnsi"/>
        </w:rPr>
        <w:t>,</w:t>
      </w:r>
      <w:r w:rsidR="00C045C3" w:rsidRPr="00D93D2D">
        <w:rPr>
          <w:rFonts w:cstheme="minorHAnsi"/>
        </w:rPr>
        <w:t xml:space="preserve"> reaching </w:t>
      </w:r>
      <w:r w:rsidR="00C045C3" w:rsidRPr="00D93D2D">
        <w:rPr>
          <w:rFonts w:cstheme="minorHAnsi"/>
        </w:rPr>
        <w:lastRenderedPageBreak/>
        <w:t>all districts after six years of scale-up (approximately by year 2013). During this time, we assumed that TB diagnosis was entirely made by smear microscopy (no Xpert).</w:t>
      </w:r>
      <w:r w:rsidRPr="00D93D2D">
        <w:rPr>
          <w:rFonts w:cstheme="minorHAnsi"/>
        </w:rPr>
        <w:t xml:space="preserve"> The model was calibrated to 2017 TB epidemiological outcomes in India.</w:t>
      </w:r>
      <w:r w:rsidR="001E22FE" w:rsidRPr="00D93D2D">
        <w:rPr>
          <w:rFonts w:cstheme="minorHAnsi"/>
        </w:rPr>
        <w:fldChar w:fldCharType="begin" w:fldLock="1"/>
      </w:r>
      <w:r w:rsidR="009A35D4">
        <w:rPr>
          <w:rFonts w:cstheme="minorHAnsi"/>
        </w:rPr>
        <w:instrText>ADDIN CSL_CITATION {"citationItems":[{"id":"ITEM-1","itemData":{"ISBN":"9789241565646","author":[{"dropping-particle":"","family":"World Health Organization","given":"","non-dropping-particle":"","parse-names":false,"suffix":""}],"id":"ITEM-1","issued":{"date-parts":[["2018"]]},"title":"Global Tuberculosis Report 2018","type":"book"},"uris":["http://www.mendeley.com/documents/?uuid=4d9312c3-894d-4606-8884-046297b58fd4"]}],"mendeley":{"formattedCitation":"[13]","plainTextFormattedCitation":"[13]","previouslyFormattedCitation":"[13]"},"properties":{"noteIndex":0},"schema":"https://github.com/citation-style-language/schema/raw/master/csl-citation.json"}</w:instrText>
      </w:r>
      <w:r w:rsidR="001E22FE" w:rsidRPr="00D93D2D">
        <w:rPr>
          <w:rFonts w:cstheme="minorHAnsi"/>
        </w:rPr>
        <w:fldChar w:fldCharType="separate"/>
      </w:r>
      <w:r w:rsidR="009A35D4" w:rsidRPr="009A35D4">
        <w:rPr>
          <w:rFonts w:cstheme="minorHAnsi"/>
          <w:noProof/>
        </w:rPr>
        <w:t>[13]</w:t>
      </w:r>
      <w:r w:rsidR="001E22FE" w:rsidRPr="00D93D2D">
        <w:rPr>
          <w:rFonts w:cstheme="minorHAnsi"/>
        </w:rPr>
        <w:fldChar w:fldCharType="end"/>
      </w:r>
      <w:r w:rsidRPr="00D93D2D">
        <w:rPr>
          <w:rFonts w:cstheme="minorHAnsi"/>
        </w:rPr>
        <w:t xml:space="preserve"> Using this calibrated model, we experimented with alternative strategies for implementation of Xpert testing in India (2018 to 2028). At the baseline analysis, </w:t>
      </w:r>
      <w:r w:rsidRPr="00D93D2D">
        <w:rPr>
          <w:rFonts w:cstheme="minorHAnsi"/>
          <w:szCs w:val="28"/>
        </w:rPr>
        <w:t xml:space="preserve">we assumed that Xpert will be </w:t>
      </w:r>
      <w:r w:rsidRPr="00D93D2D">
        <w:rPr>
          <w:rFonts w:cstheme="minorHAnsi"/>
          <w:i/>
          <w:szCs w:val="28"/>
        </w:rPr>
        <w:t>intended</w:t>
      </w:r>
      <w:r w:rsidRPr="00D93D2D">
        <w:rPr>
          <w:rFonts w:cstheme="minorHAnsi"/>
          <w:szCs w:val="28"/>
        </w:rPr>
        <w:t xml:space="preserve"> as a standalone test, replacing smear microscopy over the next decade (Figure S</w:t>
      </w:r>
      <w:r w:rsidR="00293F6B">
        <w:rPr>
          <w:rFonts w:cstheme="minorHAnsi"/>
          <w:szCs w:val="28"/>
        </w:rPr>
        <w:t>6</w:t>
      </w:r>
      <w:r w:rsidRPr="00D93D2D">
        <w:rPr>
          <w:rFonts w:cstheme="minorHAnsi"/>
          <w:szCs w:val="28"/>
        </w:rPr>
        <w:t>).</w:t>
      </w:r>
    </w:p>
    <w:p w14:paraId="2CEF2498" w14:textId="77777777" w:rsidR="00FC72CC" w:rsidRPr="00D93D2D" w:rsidRDefault="00FC72CC" w:rsidP="00C045C3">
      <w:pPr>
        <w:tabs>
          <w:tab w:val="left" w:pos="2430"/>
        </w:tabs>
        <w:jc w:val="both"/>
        <w:rPr>
          <w:rFonts w:cstheme="minorHAnsi"/>
        </w:rPr>
      </w:pPr>
    </w:p>
    <w:p w14:paraId="0B183401" w14:textId="3D8C161F" w:rsidR="00C045C3" w:rsidRPr="00D93D2D" w:rsidRDefault="008654CF" w:rsidP="00A81093">
      <w:pPr>
        <w:tabs>
          <w:tab w:val="left" w:pos="2430"/>
        </w:tabs>
        <w:jc w:val="center"/>
        <w:rPr>
          <w:rFonts w:cstheme="minorHAnsi"/>
        </w:rPr>
      </w:pPr>
      <w:r w:rsidRPr="00D93D2D">
        <w:rPr>
          <w:rFonts w:cstheme="minorHAnsi"/>
          <w:noProof/>
        </w:rPr>
        <w:drawing>
          <wp:inline distT="0" distB="0" distL="0" distR="0" wp14:anchorId="42397DB3" wp14:editId="79D97EBA">
            <wp:extent cx="5943600" cy="107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p w14:paraId="0A066A90" w14:textId="732BA1FB" w:rsidR="00C045C3" w:rsidRPr="00D93D2D" w:rsidRDefault="00C045C3" w:rsidP="00307286">
      <w:pPr>
        <w:pStyle w:val="Caption"/>
        <w:jc w:val="center"/>
        <w:rPr>
          <w:rFonts w:asciiTheme="minorHAnsi" w:hAnsiTheme="minorHAnsi" w:cstheme="minorHAnsi"/>
        </w:rPr>
      </w:pPr>
      <w:r w:rsidRPr="00D93D2D">
        <w:rPr>
          <w:rFonts w:asciiTheme="minorHAnsi" w:hAnsiTheme="minorHAnsi" w:cstheme="minorHAnsi"/>
        </w:rPr>
        <w:t xml:space="preserve">Figure </w:t>
      </w:r>
      <w:r w:rsidR="002C28A1" w:rsidRPr="00D93D2D">
        <w:rPr>
          <w:rFonts w:asciiTheme="minorHAnsi" w:hAnsiTheme="minorHAnsi" w:cstheme="minorHAnsi"/>
        </w:rPr>
        <w:t>S</w:t>
      </w:r>
      <w:r w:rsidR="00293F6B">
        <w:rPr>
          <w:rFonts w:asciiTheme="minorHAnsi" w:hAnsiTheme="minorHAnsi" w:cstheme="minorHAnsi"/>
          <w:noProof/>
        </w:rPr>
        <w:t>6</w:t>
      </w:r>
      <w:r w:rsidRPr="00D93D2D">
        <w:rPr>
          <w:rFonts w:asciiTheme="minorHAnsi" w:hAnsiTheme="minorHAnsi" w:cstheme="minorHAnsi"/>
        </w:rPr>
        <w:t xml:space="preserve">: </w:t>
      </w:r>
      <w:r w:rsidR="00307286" w:rsidRPr="00D93D2D">
        <w:rPr>
          <w:rFonts w:asciiTheme="minorHAnsi" w:hAnsiTheme="minorHAnsi" w:cstheme="minorHAnsi"/>
        </w:rPr>
        <w:t>Simulation calibration process</w:t>
      </w:r>
      <w:r w:rsidRPr="00D93D2D">
        <w:rPr>
          <w:rFonts w:asciiTheme="minorHAnsi" w:hAnsiTheme="minorHAnsi" w:cstheme="minorHAnsi"/>
        </w:rPr>
        <w:t>.</w:t>
      </w:r>
    </w:p>
    <w:p w14:paraId="2C2EF293" w14:textId="77777777" w:rsidR="00C045C3" w:rsidRPr="00D93D2D" w:rsidRDefault="00C045C3" w:rsidP="00C045C3">
      <w:pPr>
        <w:tabs>
          <w:tab w:val="left" w:pos="2430"/>
        </w:tabs>
        <w:jc w:val="both"/>
        <w:rPr>
          <w:rFonts w:cstheme="minorHAnsi"/>
        </w:rPr>
      </w:pPr>
    </w:p>
    <w:p w14:paraId="7FB69D24" w14:textId="6D32C3F4" w:rsidR="006C1FBA" w:rsidRPr="00D93D2D" w:rsidRDefault="009D1225" w:rsidP="00C045C3">
      <w:pPr>
        <w:tabs>
          <w:tab w:val="left" w:pos="2430"/>
        </w:tabs>
        <w:jc w:val="both"/>
        <w:rPr>
          <w:rFonts w:cstheme="minorHAnsi"/>
        </w:rPr>
      </w:pPr>
      <w:r w:rsidRPr="00D93D2D">
        <w:rPr>
          <w:rFonts w:cstheme="minorHAnsi"/>
        </w:rPr>
        <w:t>To calibrate the baseline model in year 2017, w</w:t>
      </w:r>
      <w:r w:rsidR="00C045C3" w:rsidRPr="00D93D2D">
        <w:rPr>
          <w:rFonts w:cstheme="minorHAnsi"/>
        </w:rPr>
        <w:t xml:space="preserve">e tuned the </w:t>
      </w:r>
      <w:r w:rsidRPr="00D93D2D">
        <w:rPr>
          <w:rFonts w:cstheme="minorHAnsi"/>
        </w:rPr>
        <w:t>unknown simulation</w:t>
      </w:r>
      <w:r w:rsidR="00C045C3" w:rsidRPr="00D93D2D">
        <w:rPr>
          <w:rFonts w:cstheme="minorHAnsi"/>
        </w:rPr>
        <w:t xml:space="preserve"> parameter</w:t>
      </w:r>
      <w:r w:rsidRPr="00D93D2D">
        <w:rPr>
          <w:rFonts w:cstheme="minorHAnsi"/>
        </w:rPr>
        <w:t>s</w:t>
      </w:r>
      <w:r w:rsidR="006C1FBA" w:rsidRPr="00D93D2D">
        <w:rPr>
          <w:rFonts w:cstheme="minorHAnsi"/>
        </w:rPr>
        <w:t xml:space="preserve"> such that the </w:t>
      </w:r>
      <w:r w:rsidRPr="00D93D2D">
        <w:rPr>
          <w:rFonts w:cstheme="minorHAnsi"/>
        </w:rPr>
        <w:t xml:space="preserve">DS-TB </w:t>
      </w:r>
      <w:r w:rsidR="006C1FBA" w:rsidRPr="00D93D2D">
        <w:rPr>
          <w:rFonts w:cstheme="minorHAnsi"/>
        </w:rPr>
        <w:t>incidence</w:t>
      </w:r>
      <w:r w:rsidRPr="00D93D2D">
        <w:rPr>
          <w:rFonts w:cstheme="minorHAnsi"/>
        </w:rPr>
        <w:t xml:space="preserve">, prevalence and mortality, as well as DR-TB incidence </w:t>
      </w:r>
      <w:r w:rsidR="00C045C3" w:rsidRPr="00D93D2D">
        <w:rPr>
          <w:rFonts w:cstheme="minorHAnsi"/>
        </w:rPr>
        <w:t>in year 2017</w:t>
      </w:r>
      <w:r w:rsidR="00B06EF7" w:rsidRPr="00D93D2D">
        <w:rPr>
          <w:rFonts w:cstheme="minorHAnsi"/>
        </w:rPr>
        <w:t>,</w:t>
      </w:r>
      <w:r w:rsidR="006C1FBA" w:rsidRPr="00D93D2D">
        <w:rPr>
          <w:rFonts w:cstheme="minorHAnsi"/>
        </w:rPr>
        <w:t xml:space="preserve"> would match current estimates from the WHO and the associated burden of DR-TB among new and previously-treated cases at the time of diagnosis.</w:t>
      </w:r>
      <w:r w:rsidRPr="00D93D2D">
        <w:rPr>
          <w:rFonts w:cstheme="minorHAnsi"/>
        </w:rPr>
        <w:t xml:space="preserve"> Table </w:t>
      </w:r>
      <w:r w:rsidR="00A81093" w:rsidRPr="00D93D2D">
        <w:rPr>
          <w:rFonts w:cstheme="minorHAnsi"/>
        </w:rPr>
        <w:t>S</w:t>
      </w:r>
      <w:r w:rsidR="00293F6B">
        <w:rPr>
          <w:rFonts w:cstheme="minorHAnsi"/>
        </w:rPr>
        <w:t>12</w:t>
      </w:r>
      <w:r w:rsidRPr="00D93D2D">
        <w:rPr>
          <w:rFonts w:cstheme="minorHAnsi"/>
        </w:rPr>
        <w:t xml:space="preserve"> provides a list of all simulation parameters and calibration targets. Figure S</w:t>
      </w:r>
      <w:r w:rsidR="00293F6B">
        <w:rPr>
          <w:rFonts w:cstheme="minorHAnsi"/>
        </w:rPr>
        <w:t>7</w:t>
      </w:r>
      <w:r w:rsidRPr="00D93D2D">
        <w:rPr>
          <w:rFonts w:cstheme="minorHAnsi"/>
        </w:rPr>
        <w:t xml:space="preserve"> provides a summary of model fi</w:t>
      </w:r>
      <w:r w:rsidR="00307286" w:rsidRPr="00D93D2D">
        <w:rPr>
          <w:rFonts w:cstheme="minorHAnsi"/>
        </w:rPr>
        <w:t>t</w:t>
      </w:r>
      <w:r w:rsidRPr="00D93D2D">
        <w:rPr>
          <w:rFonts w:cstheme="minorHAnsi"/>
        </w:rPr>
        <w:t xml:space="preserve"> to calibration targets in year 2017.</w:t>
      </w:r>
      <w:r w:rsidR="006C1FBA" w:rsidRPr="00D93D2D">
        <w:rPr>
          <w:rFonts w:cstheme="minorHAnsi"/>
        </w:rPr>
        <w:t xml:space="preserve"> </w:t>
      </w:r>
    </w:p>
    <w:p w14:paraId="09A80F01" w14:textId="77777777" w:rsidR="00B72037" w:rsidRPr="00D93D2D" w:rsidRDefault="00B72037" w:rsidP="00060BF2">
      <w:pPr>
        <w:tabs>
          <w:tab w:val="left" w:pos="2430"/>
        </w:tabs>
        <w:jc w:val="both"/>
        <w:rPr>
          <w:rFonts w:cstheme="minorHAnsi"/>
        </w:rPr>
      </w:pPr>
    </w:p>
    <w:p w14:paraId="31BEDA0C" w14:textId="77777777" w:rsidR="002C28A1" w:rsidRPr="00D93D2D" w:rsidRDefault="002C28A1" w:rsidP="009D1225">
      <w:pPr>
        <w:keepNext/>
        <w:tabs>
          <w:tab w:val="left" w:pos="2430"/>
        </w:tabs>
        <w:jc w:val="center"/>
        <w:rPr>
          <w:rFonts w:cstheme="minorHAnsi"/>
        </w:rPr>
      </w:pPr>
      <w:r w:rsidRPr="00D93D2D">
        <w:rPr>
          <w:rFonts w:cstheme="minorHAnsi"/>
          <w:noProof/>
          <w:lang w:eastAsia="en-US"/>
        </w:rPr>
        <w:lastRenderedPageBreak/>
        <w:drawing>
          <wp:inline distT="0" distB="0" distL="0" distR="0" wp14:anchorId="4BCC7840" wp14:editId="7E2E0843">
            <wp:extent cx="5080000" cy="50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1.jpeg"/>
                    <pic:cNvPicPr/>
                  </pic:nvPicPr>
                  <pic:blipFill>
                    <a:blip r:embed="rId17">
                      <a:extLst>
                        <a:ext uri="{28A0092B-C50C-407E-A947-70E740481C1C}">
                          <a14:useLocalDpi xmlns:a14="http://schemas.microsoft.com/office/drawing/2010/main" val="0"/>
                        </a:ext>
                      </a:extLst>
                    </a:blip>
                    <a:stretch>
                      <a:fillRect/>
                    </a:stretch>
                  </pic:blipFill>
                  <pic:spPr>
                    <a:xfrm>
                      <a:off x="0" y="0"/>
                      <a:ext cx="5080000" cy="5080000"/>
                    </a:xfrm>
                    <a:prstGeom prst="rect">
                      <a:avLst/>
                    </a:prstGeom>
                  </pic:spPr>
                </pic:pic>
              </a:graphicData>
            </a:graphic>
          </wp:inline>
        </w:drawing>
      </w:r>
    </w:p>
    <w:p w14:paraId="284235F6" w14:textId="047E5C5C" w:rsidR="009D1225" w:rsidRPr="00D93D2D" w:rsidRDefault="002C28A1" w:rsidP="009D1225">
      <w:pPr>
        <w:pStyle w:val="Caption"/>
        <w:rPr>
          <w:rFonts w:asciiTheme="minorHAnsi" w:hAnsiTheme="minorHAnsi" w:cstheme="minorHAnsi"/>
        </w:rPr>
      </w:pPr>
      <w:r w:rsidRPr="00D93D2D">
        <w:rPr>
          <w:rFonts w:asciiTheme="minorHAnsi" w:hAnsiTheme="minorHAnsi" w:cstheme="minorHAnsi"/>
        </w:rPr>
        <w:t>Figure S</w:t>
      </w:r>
      <w:r w:rsidR="00293F6B">
        <w:rPr>
          <w:rFonts w:asciiTheme="minorHAnsi" w:hAnsiTheme="minorHAnsi" w:cstheme="minorHAnsi"/>
        </w:rPr>
        <w:t>7</w:t>
      </w:r>
      <w:r w:rsidRPr="00D93D2D">
        <w:rPr>
          <w:rFonts w:asciiTheme="minorHAnsi" w:hAnsiTheme="minorHAnsi" w:cstheme="minorHAnsi"/>
        </w:rPr>
        <w:t xml:space="preserve">: </w:t>
      </w:r>
      <w:r w:rsidR="009D1225" w:rsidRPr="00D93D2D">
        <w:rPr>
          <w:rFonts w:asciiTheme="minorHAnsi" w:hAnsiTheme="minorHAnsi" w:cstheme="minorHAnsi"/>
        </w:rPr>
        <w:t>M</w:t>
      </w:r>
      <w:r w:rsidRPr="00D93D2D">
        <w:rPr>
          <w:rFonts w:asciiTheme="minorHAnsi" w:hAnsiTheme="minorHAnsi" w:cstheme="minorHAnsi"/>
        </w:rPr>
        <w:t xml:space="preserve">odel </w:t>
      </w:r>
      <w:r w:rsidR="009D1225" w:rsidRPr="00D93D2D">
        <w:rPr>
          <w:rFonts w:asciiTheme="minorHAnsi" w:hAnsiTheme="minorHAnsi" w:cstheme="minorHAnsi"/>
        </w:rPr>
        <w:t xml:space="preserve">fit to calibration </w:t>
      </w:r>
      <w:r w:rsidRPr="00D93D2D">
        <w:rPr>
          <w:rFonts w:asciiTheme="minorHAnsi" w:hAnsiTheme="minorHAnsi" w:cstheme="minorHAnsi"/>
        </w:rPr>
        <w:t>targets</w:t>
      </w:r>
      <w:r w:rsidR="009D1225" w:rsidRPr="00D93D2D">
        <w:rPr>
          <w:rFonts w:asciiTheme="minorHAnsi" w:hAnsiTheme="minorHAnsi" w:cstheme="minorHAnsi"/>
        </w:rPr>
        <w:t xml:space="preserve"> in year 2017. </w:t>
      </w:r>
      <w:r w:rsidR="009D1225" w:rsidRPr="00D93D2D">
        <w:rPr>
          <w:rFonts w:asciiTheme="minorHAnsi" w:hAnsiTheme="minorHAnsi" w:cstheme="minorHAnsi"/>
          <w:b w:val="0"/>
          <w:bCs w:val="0"/>
        </w:rPr>
        <w:t xml:space="preserve">The blue box represents the upper and lower quartile of simulated outcomes (with median shown as solid black line and mean is shown as a dashed line), compared against calibration targets (red line) in year 2017. The whiskers mark the upper and lower 5% percentile of observations from 2,000 random simulations. </w:t>
      </w:r>
    </w:p>
    <w:p w14:paraId="365708EA" w14:textId="43FDBC85" w:rsidR="00E23A59" w:rsidRPr="00D93D2D" w:rsidRDefault="00DA21AB" w:rsidP="00DA21AB">
      <w:pPr>
        <w:rPr>
          <w:rFonts w:cstheme="minorHAnsi"/>
          <w:b/>
          <w:bCs/>
          <w:color w:val="000000" w:themeColor="text1"/>
          <w:kern w:val="2"/>
          <w:szCs w:val="18"/>
        </w:rPr>
      </w:pPr>
      <w:r w:rsidRPr="00D93D2D">
        <w:rPr>
          <w:rFonts w:cstheme="minorHAnsi"/>
        </w:rPr>
        <w:br w:type="page"/>
      </w:r>
    </w:p>
    <w:p w14:paraId="22E5377A" w14:textId="7DE4BA9F" w:rsidR="001A1F1D" w:rsidRPr="00D93D2D" w:rsidRDefault="0016448B" w:rsidP="00BB1830">
      <w:pPr>
        <w:pStyle w:val="Heading2"/>
        <w:rPr>
          <w:rFonts w:cstheme="minorHAnsi"/>
        </w:rPr>
      </w:pPr>
      <w:bookmarkStart w:id="15" w:name="_Toc12877767"/>
      <w:r w:rsidRPr="00D93D2D">
        <w:rPr>
          <w:rFonts w:cstheme="minorHAnsi"/>
        </w:rPr>
        <w:lastRenderedPageBreak/>
        <w:t>S</w:t>
      </w:r>
      <w:r w:rsidR="0021355E" w:rsidRPr="00D93D2D">
        <w:rPr>
          <w:rFonts w:cstheme="minorHAnsi"/>
        </w:rPr>
        <w:t xml:space="preserve">ummary of </w:t>
      </w:r>
      <w:r w:rsidR="009D1225" w:rsidRPr="00D93D2D">
        <w:rPr>
          <w:rFonts w:cstheme="minorHAnsi"/>
        </w:rPr>
        <w:t xml:space="preserve">model </w:t>
      </w:r>
      <w:r w:rsidR="0021355E" w:rsidRPr="00D93D2D">
        <w:rPr>
          <w:rFonts w:cstheme="minorHAnsi"/>
        </w:rPr>
        <w:t>parameters</w:t>
      </w:r>
      <w:bookmarkEnd w:id="15"/>
      <w:r w:rsidR="0021355E" w:rsidRPr="00D93D2D">
        <w:rPr>
          <w:rFonts w:cstheme="minorHAnsi"/>
        </w:rPr>
        <w:t xml:space="preserve"> </w:t>
      </w:r>
    </w:p>
    <w:p w14:paraId="15FD9A82" w14:textId="6681B56E" w:rsidR="001A1F1D" w:rsidRPr="00D93D2D" w:rsidRDefault="009D1225" w:rsidP="001A1F1D">
      <w:pPr>
        <w:rPr>
          <w:rFonts w:cstheme="minorHAnsi"/>
        </w:rPr>
      </w:pPr>
      <w:r w:rsidRPr="00D93D2D">
        <w:rPr>
          <w:rFonts w:cstheme="minorHAnsi"/>
        </w:rPr>
        <w:t xml:space="preserve">Table </w:t>
      </w:r>
      <w:r w:rsidR="00A81093" w:rsidRPr="00D93D2D">
        <w:rPr>
          <w:rFonts w:cstheme="minorHAnsi"/>
        </w:rPr>
        <w:t>S</w:t>
      </w:r>
      <w:r w:rsidR="007338CF" w:rsidRPr="00D93D2D">
        <w:rPr>
          <w:rFonts w:cstheme="minorHAnsi"/>
        </w:rPr>
        <w:t>12</w:t>
      </w:r>
      <w:r w:rsidR="00A81093" w:rsidRPr="00D93D2D">
        <w:rPr>
          <w:rFonts w:cstheme="minorHAnsi"/>
        </w:rPr>
        <w:t xml:space="preserve"> </w:t>
      </w:r>
      <w:r w:rsidRPr="00D93D2D">
        <w:rPr>
          <w:rFonts w:cstheme="minorHAnsi"/>
        </w:rPr>
        <w:t xml:space="preserve">provides a summary of all model parameters and calibration targets. </w:t>
      </w:r>
    </w:p>
    <w:p w14:paraId="20D2154E" w14:textId="185F3582" w:rsidR="001A1F1D" w:rsidRPr="00D93D2D" w:rsidRDefault="001A1F1D" w:rsidP="001A1F1D">
      <w:pPr>
        <w:pStyle w:val="Caption"/>
        <w:keepNext/>
        <w:rPr>
          <w:rFonts w:asciiTheme="minorHAnsi" w:hAnsiTheme="minorHAnsi" w:cstheme="minorHAnsi"/>
        </w:rPr>
      </w:pPr>
    </w:p>
    <w:tbl>
      <w:tblPr>
        <w:tblStyle w:val="LightList"/>
        <w:tblW w:w="9260" w:type="dxa"/>
        <w:tblLayout w:type="fixed"/>
        <w:tblLook w:val="04A0" w:firstRow="1" w:lastRow="0" w:firstColumn="1" w:lastColumn="0" w:noHBand="0" w:noVBand="1"/>
      </w:tblPr>
      <w:tblGrid>
        <w:gridCol w:w="3950"/>
        <w:gridCol w:w="3510"/>
        <w:gridCol w:w="1800"/>
      </w:tblGrid>
      <w:tr w:rsidR="009D79BC" w:rsidRPr="00D93D2D" w14:paraId="0B453364" w14:textId="77777777" w:rsidTr="008A11E8">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950" w:type="dxa"/>
            <w:vAlign w:val="center"/>
            <w:hideMark/>
          </w:tcPr>
          <w:p w14:paraId="4796006F" w14:textId="77777777" w:rsidR="002C28A1" w:rsidRPr="00D93D2D" w:rsidRDefault="002C28A1" w:rsidP="00A81093">
            <w:pPr>
              <w:pStyle w:val="NoSpacing"/>
              <w:jc w:val="left"/>
              <w:rPr>
                <w:rFonts w:cstheme="minorHAnsi"/>
                <w:szCs w:val="20"/>
              </w:rPr>
            </w:pPr>
            <w:r w:rsidRPr="00D93D2D">
              <w:rPr>
                <w:rFonts w:cstheme="minorHAnsi"/>
                <w:szCs w:val="20"/>
              </w:rPr>
              <w:t>Parameter</w:t>
            </w:r>
          </w:p>
        </w:tc>
        <w:tc>
          <w:tcPr>
            <w:tcW w:w="3510" w:type="dxa"/>
            <w:vAlign w:val="center"/>
            <w:hideMark/>
          </w:tcPr>
          <w:p w14:paraId="609B84B4" w14:textId="77777777" w:rsidR="002C28A1" w:rsidRPr="00D93D2D" w:rsidRDefault="002C28A1" w:rsidP="00A81093">
            <w:pPr>
              <w:pStyle w:val="NoSpacing"/>
              <w:jc w:val="left"/>
              <w:cnfStyle w:val="100000000000" w:firstRow="1"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Value</w:t>
            </w:r>
          </w:p>
        </w:tc>
        <w:tc>
          <w:tcPr>
            <w:tcW w:w="1800" w:type="dxa"/>
            <w:vAlign w:val="center"/>
            <w:hideMark/>
          </w:tcPr>
          <w:p w14:paraId="493EDA30" w14:textId="77777777" w:rsidR="002C28A1" w:rsidRPr="00D93D2D" w:rsidRDefault="002C28A1" w:rsidP="00A81093">
            <w:pPr>
              <w:pStyle w:val="NoSpacing"/>
              <w:jc w:val="left"/>
              <w:cnfStyle w:val="100000000000" w:firstRow="1"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Reference</w:t>
            </w:r>
          </w:p>
        </w:tc>
      </w:tr>
      <w:tr w:rsidR="009D79BC" w:rsidRPr="00D93D2D" w14:paraId="38F6B9D4"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shd w:val="clear" w:color="auto" w:fill="D0CECE" w:themeFill="background2" w:themeFillShade="E6"/>
            <w:vAlign w:val="center"/>
          </w:tcPr>
          <w:p w14:paraId="78D12F88" w14:textId="732CCE6A" w:rsidR="002C28A1" w:rsidRPr="00D93D2D" w:rsidRDefault="00B26656" w:rsidP="00A81093">
            <w:pPr>
              <w:pStyle w:val="NoSpacing"/>
              <w:jc w:val="left"/>
              <w:rPr>
                <w:rFonts w:cstheme="minorHAnsi"/>
                <w:szCs w:val="20"/>
              </w:rPr>
            </w:pPr>
            <w:r w:rsidRPr="00D93D2D">
              <w:rPr>
                <w:rFonts w:cstheme="minorHAnsi"/>
                <w:szCs w:val="20"/>
              </w:rPr>
              <w:t xml:space="preserve">TB </w:t>
            </w:r>
            <w:r w:rsidR="002C28A1" w:rsidRPr="00D93D2D">
              <w:rPr>
                <w:rFonts w:cstheme="minorHAnsi"/>
                <w:szCs w:val="20"/>
              </w:rPr>
              <w:t>Natural History</w:t>
            </w:r>
          </w:p>
        </w:tc>
        <w:tc>
          <w:tcPr>
            <w:tcW w:w="3510" w:type="dxa"/>
            <w:shd w:val="clear" w:color="auto" w:fill="D0CECE" w:themeFill="background2" w:themeFillShade="E6"/>
            <w:vAlign w:val="center"/>
          </w:tcPr>
          <w:p w14:paraId="0C197B0E" w14:textId="77777777"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1800" w:type="dxa"/>
            <w:shd w:val="clear" w:color="auto" w:fill="D0CECE" w:themeFill="background2" w:themeFillShade="E6"/>
            <w:vAlign w:val="center"/>
          </w:tcPr>
          <w:p w14:paraId="48928B4C" w14:textId="77777777"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9D79BC" w:rsidRPr="00D93D2D" w14:paraId="0A84E45E"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6C43BDF9" w14:textId="024B4439" w:rsidR="002C28A1" w:rsidRPr="00D93D2D" w:rsidRDefault="002C28A1" w:rsidP="00A81093">
            <w:pPr>
              <w:pStyle w:val="NoSpacing"/>
              <w:jc w:val="left"/>
              <w:rPr>
                <w:rFonts w:cstheme="minorHAnsi"/>
                <w:b w:val="0"/>
                <w:bCs w:val="0"/>
                <w:szCs w:val="20"/>
              </w:rPr>
            </w:pPr>
            <w:r w:rsidRPr="00D93D2D">
              <w:rPr>
                <w:rFonts w:cstheme="minorHAnsi"/>
                <w:b w:val="0"/>
                <w:bCs w:val="0"/>
                <w:szCs w:val="20"/>
              </w:rPr>
              <w:t xml:space="preserve">Annual </w:t>
            </w:r>
            <w:r w:rsidR="0016448B" w:rsidRPr="00D93D2D">
              <w:rPr>
                <w:rFonts w:cstheme="minorHAnsi"/>
                <w:b w:val="0"/>
                <w:bCs w:val="0"/>
                <w:szCs w:val="20"/>
              </w:rPr>
              <w:t xml:space="preserve">risk </w:t>
            </w:r>
            <w:r w:rsidRPr="00D93D2D">
              <w:rPr>
                <w:rFonts w:cstheme="minorHAnsi"/>
                <w:b w:val="0"/>
                <w:bCs w:val="0"/>
                <w:szCs w:val="20"/>
              </w:rPr>
              <w:t>of progression from early latent state by age</w:t>
            </w:r>
          </w:p>
        </w:tc>
        <w:tc>
          <w:tcPr>
            <w:tcW w:w="3510" w:type="dxa"/>
            <w:vAlign w:val="center"/>
            <w:hideMark/>
          </w:tcPr>
          <w:p w14:paraId="7DDBEFFD" w14:textId="7BB906E6" w:rsidR="002C28A1" w:rsidRPr="00D93D2D" w:rsidRDefault="00B26656"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w:t>
            </w:r>
            <w:r w:rsidR="002C28A1" w:rsidRPr="00D93D2D">
              <w:rPr>
                <w:rFonts w:cstheme="minorHAnsi"/>
                <w:szCs w:val="20"/>
              </w:rPr>
              <w:t xml:space="preserve">0 – 2] years: </w:t>
            </w:r>
            <w:r w:rsidR="0016448B" w:rsidRPr="00D93D2D">
              <w:rPr>
                <w:rFonts w:cstheme="minorHAnsi"/>
                <w:szCs w:val="20"/>
              </w:rPr>
              <w:t>0.</w:t>
            </w:r>
            <w:r w:rsidR="002C28A1" w:rsidRPr="00D93D2D">
              <w:rPr>
                <w:rFonts w:cstheme="minorHAnsi"/>
                <w:szCs w:val="20"/>
              </w:rPr>
              <w:t>20</w:t>
            </w:r>
          </w:p>
          <w:p w14:paraId="7992CAE5" w14:textId="275DD786"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 xml:space="preserve">(2 – 10] years: </w:t>
            </w:r>
            <w:r w:rsidR="0016448B" w:rsidRPr="00D93D2D">
              <w:rPr>
                <w:rFonts w:cstheme="minorHAnsi"/>
                <w:szCs w:val="20"/>
              </w:rPr>
              <w:t>0.0</w:t>
            </w:r>
            <w:r w:rsidRPr="00D93D2D">
              <w:rPr>
                <w:rFonts w:cstheme="minorHAnsi"/>
                <w:szCs w:val="20"/>
              </w:rPr>
              <w:t>2</w:t>
            </w:r>
          </w:p>
          <w:p w14:paraId="0F7EBB7D" w14:textId="309C9587"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 xml:space="preserve">(10 – 15] years: </w:t>
            </w:r>
            <w:r w:rsidR="0016448B" w:rsidRPr="00D93D2D">
              <w:rPr>
                <w:rFonts w:cstheme="minorHAnsi"/>
                <w:szCs w:val="20"/>
              </w:rPr>
              <w:t>0.0</w:t>
            </w:r>
            <w:r w:rsidRPr="00D93D2D">
              <w:rPr>
                <w:rFonts w:cstheme="minorHAnsi"/>
                <w:szCs w:val="20"/>
              </w:rPr>
              <w:t>6</w:t>
            </w:r>
          </w:p>
          <w:p w14:paraId="0BEB6D79" w14:textId="4DEFC0F0"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 xml:space="preserve">(15 – 104] years: </w:t>
            </w:r>
            <w:r w:rsidR="0016448B" w:rsidRPr="00D93D2D">
              <w:rPr>
                <w:rFonts w:cstheme="minorHAnsi"/>
                <w:szCs w:val="20"/>
              </w:rPr>
              <w:t>0.0</w:t>
            </w:r>
            <w:r w:rsidRPr="00D93D2D">
              <w:rPr>
                <w:rFonts w:cstheme="minorHAnsi"/>
                <w:szCs w:val="20"/>
              </w:rPr>
              <w:t>9</w:t>
            </w:r>
          </w:p>
        </w:tc>
        <w:tc>
          <w:tcPr>
            <w:tcW w:w="1800" w:type="dxa"/>
            <w:vAlign w:val="center"/>
            <w:hideMark/>
          </w:tcPr>
          <w:p w14:paraId="61D3843C" w14:textId="55819847" w:rsidR="002C28A1" w:rsidRPr="00D93D2D" w:rsidRDefault="003638D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{"citationItems":[{"id":"ITEM-1","itemData":{"ISSN":"1469-4409","author":[{"dropping-particle":"","family":"E. VYNNYCKY","given":"","non-dropping-particle":"","parse-names":false,"suffix":""},{"dropping-particle":"","family":"M. FINE","given":"P E","non-dropping-particle":"","parse-names":false,"suffix":""}],"container-title":"Epidemiology and Infection","id":"ITEM-1","issue":"02","issued":{"date-parts":[["1997"]]},"page":"183-201","title":"The natural history of tuberculosis: the implications of age-dependent risks of disease and the role of reinfection","type":"article-journal","volume":"119"},"uris":["http://www.mendeley.com/documents/?uuid=446cf126-4a56-4dc4-8e99-a89ff94b5390"]},{"id":"ITEM-2","itemData":{"author":[{"dropping-particle":"","family":"Marais","given":"B J","non-dropping-particle":"","parse-names":false,"suffix":""},{"dropping-particle":"","family":"Gie","given":"R P","non-dropping-particle":"","parse-names":false,"suffix":""},{"dropping-particle":"","family":"Schaaf","given":"H S","non-dropping-particle":"","parse-names":false,"suffix":""},{"dropping-particle":"","family":"Hesseling","given":"A C","non-dropping-particle":"","parse-names":false,"suffix":""},{"dropping-particle":"","family":"Obihara","given":"C C","non-dropping-particle":"","parse-names":false,"suffix":""},{"dropping-particle":"","family":"Nelson","given":"L J","non-dropping-particle":"","parse-names":false,"suffix":""},{"dropping-particle":"","family":"Enarson","given":"D A","non-dropping-particle":"","parse-names":false,"suffix":""}],"id":"ITEM-2","issue":"3","issued":{"date-parts":[["2004"]]},"page":"278-285","title":"The clinical epidemiology of childhood pulmonary tuberculosis : a critical review of literature from the pre-chemotherapy era","type":"article-journal","volume":"8"},"uris":["http://www.mendeley.com/documents/?uuid=a9f8fe76-8091-417d-8766-d42682e63ed3"]}],"mendeley":{"formattedCitation":"[14, 15]","plainTextFormattedCitation":"[14, 15]","previouslyFormattedCitation":"[14, 15]"},"properties":{"noteIndex":0},"schema":"https://github.com/citation-style-language/schema/raw/master/csl-citation.json"}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[14, 15]</w:t>
            </w:r>
            <w:r w:rsidRPr="00D93D2D">
              <w:rPr>
                <w:rFonts w:cstheme="minorHAnsi"/>
                <w:szCs w:val="20"/>
              </w:rPr>
              <w:fldChar w:fldCharType="end"/>
            </w:r>
          </w:p>
        </w:tc>
      </w:tr>
      <w:tr w:rsidR="009D79BC" w:rsidRPr="00D93D2D" w14:paraId="3DE2C38B"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27399336" w14:textId="77777777" w:rsidR="002C28A1" w:rsidRPr="00D93D2D" w:rsidRDefault="002C28A1" w:rsidP="00A81093">
            <w:pPr>
              <w:pStyle w:val="NoSpacing"/>
              <w:jc w:val="left"/>
              <w:rPr>
                <w:rFonts w:cstheme="minorHAnsi"/>
                <w:b w:val="0"/>
                <w:bCs w:val="0"/>
                <w:szCs w:val="20"/>
              </w:rPr>
            </w:pPr>
            <w:r w:rsidRPr="00D93D2D">
              <w:rPr>
                <w:rFonts w:cstheme="minorHAnsi"/>
                <w:b w:val="0"/>
                <w:bCs w:val="0"/>
                <w:szCs w:val="20"/>
              </w:rPr>
              <w:t>Relative risk of progression from early latent state by year</w:t>
            </w:r>
          </w:p>
        </w:tc>
        <w:tc>
          <w:tcPr>
            <w:tcW w:w="3510" w:type="dxa"/>
            <w:vAlign w:val="center"/>
          </w:tcPr>
          <w:p w14:paraId="531DBDCE" w14:textId="69FAC7A9" w:rsidR="002C28A1" w:rsidRPr="00D93D2D" w:rsidRDefault="00B26656"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 xml:space="preserve">Year1: </w:t>
            </w:r>
            <w:r w:rsidR="002C28A1" w:rsidRPr="00D93D2D">
              <w:rPr>
                <w:rFonts w:cstheme="minorHAnsi"/>
                <w:szCs w:val="20"/>
              </w:rPr>
              <w:t>1</w:t>
            </w:r>
          </w:p>
          <w:p w14:paraId="4DE7FA1C" w14:textId="3ED4BA6C" w:rsidR="002C28A1" w:rsidRPr="00D93D2D" w:rsidRDefault="00B26656"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 xml:space="preserve">Year2: </w:t>
            </w:r>
            <w:r w:rsidR="002C28A1" w:rsidRPr="00D93D2D">
              <w:rPr>
                <w:rFonts w:cstheme="minorHAnsi"/>
                <w:szCs w:val="20"/>
              </w:rPr>
              <w:t xml:space="preserve">0.41 </w:t>
            </w:r>
          </w:p>
          <w:p w14:paraId="5D6618BD" w14:textId="738E17D5" w:rsidR="002C28A1" w:rsidRPr="00D93D2D" w:rsidRDefault="00B26656"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 xml:space="preserve">Year3: </w:t>
            </w:r>
            <w:r w:rsidR="002C28A1" w:rsidRPr="00D93D2D">
              <w:rPr>
                <w:rFonts w:cstheme="minorHAnsi"/>
                <w:szCs w:val="20"/>
              </w:rPr>
              <w:t xml:space="preserve">0.13 </w:t>
            </w:r>
          </w:p>
          <w:p w14:paraId="25055F7A" w14:textId="2FC2C3A8" w:rsidR="002C28A1" w:rsidRPr="00D93D2D" w:rsidRDefault="00B26656"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 xml:space="preserve">Year4: </w:t>
            </w:r>
            <w:r w:rsidR="002C28A1" w:rsidRPr="00D93D2D">
              <w:rPr>
                <w:rFonts w:cstheme="minorHAnsi"/>
                <w:szCs w:val="20"/>
              </w:rPr>
              <w:t xml:space="preserve">0.086 </w:t>
            </w:r>
          </w:p>
          <w:p w14:paraId="66D146C5" w14:textId="55FBE899" w:rsidR="002C28A1" w:rsidRPr="00D93D2D" w:rsidRDefault="00B26656"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 xml:space="preserve">Year5: </w:t>
            </w:r>
            <w:r w:rsidR="002C28A1" w:rsidRPr="00D93D2D">
              <w:rPr>
                <w:rFonts w:cstheme="minorHAnsi"/>
                <w:szCs w:val="20"/>
              </w:rPr>
              <w:t xml:space="preserve">0.028 </w:t>
            </w:r>
          </w:p>
        </w:tc>
        <w:tc>
          <w:tcPr>
            <w:tcW w:w="1800" w:type="dxa"/>
            <w:vAlign w:val="center"/>
          </w:tcPr>
          <w:p w14:paraId="0594F0B3" w14:textId="47B34D4C" w:rsidR="002C28A1" w:rsidRPr="00D93D2D" w:rsidRDefault="003638D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{"citationItems":[{"id":"ITEM-1","itemData":{"ISSN":"1469-4409","author":[{"dropping-particle":"","family":"E. VYNNYCKY","given":"","non-dropping-particle":"","parse-names":false,"suffix":""},{"dropping-particle":"","family":"M. FINE","given":"P E","non-dropping-particle":"","parse-names":false,"suffix":""}],"container-title":"Epidemiology and Infection","id":"ITEM-1","issue":"02","issued":{"date-parts":[["1997"]]},"page":"183-201","title":"The natural history of tuberculosis: the implications of age-dependent risks of disease and the role of reinfection","type":"article-journal","volume":"119"},"uris":["http://www.mendeley.com/documents/?uuid=446cf126-4a56-4dc4-8e99-a89ff94b5390"]}],"mendeley":{"formattedCitation":"[14]","plainTextFormattedCitation":"[14]","previouslyFormattedCitation":"[14]"},"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[14]</w:t>
            </w:r>
            <w:r w:rsidRPr="00D93D2D">
              <w:rPr>
                <w:rFonts w:cstheme="minorHAnsi"/>
                <w:szCs w:val="20"/>
              </w:rPr>
              <w:fldChar w:fldCharType="end"/>
            </w:r>
          </w:p>
        </w:tc>
      </w:tr>
      <w:tr w:rsidR="009D79BC" w:rsidRPr="00D93D2D" w14:paraId="07CB9760" w14:textId="77777777" w:rsidTr="008A11E8">
        <w:trPr>
          <w:trHeight w:val="259"/>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3F746E08" w14:textId="77777777" w:rsidR="002C28A1" w:rsidRPr="00D93D2D" w:rsidRDefault="002C28A1" w:rsidP="00A81093">
            <w:pPr>
              <w:pStyle w:val="NoSpacing"/>
              <w:jc w:val="left"/>
              <w:rPr>
                <w:rFonts w:cstheme="minorHAnsi"/>
                <w:b w:val="0"/>
                <w:bCs w:val="0"/>
                <w:szCs w:val="20"/>
              </w:rPr>
            </w:pPr>
            <w:r w:rsidRPr="00D93D2D">
              <w:rPr>
                <w:rFonts w:cstheme="minorHAnsi"/>
                <w:b w:val="0"/>
                <w:bCs w:val="0"/>
                <w:szCs w:val="20"/>
              </w:rPr>
              <w:t xml:space="preserve">Annual risk of LLTB progression </w:t>
            </w:r>
          </w:p>
        </w:tc>
        <w:tc>
          <w:tcPr>
            <w:tcW w:w="3510" w:type="dxa"/>
            <w:vAlign w:val="center"/>
            <w:hideMark/>
          </w:tcPr>
          <w:p w14:paraId="70AE0E22" w14:textId="0BB912E7" w:rsidR="002C28A1" w:rsidRPr="00D93D2D" w:rsidRDefault="0016448B"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5e-3</w:t>
            </w:r>
          </w:p>
        </w:tc>
        <w:tc>
          <w:tcPr>
            <w:tcW w:w="1800" w:type="dxa"/>
            <w:vAlign w:val="center"/>
            <w:hideMark/>
          </w:tcPr>
          <w:p w14:paraId="60611766" w14:textId="4C2C8036" w:rsidR="002C28A1" w:rsidRPr="00D93D2D" w:rsidRDefault="00E564CC"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{"citationItems":[{"id":"ITEM-1","itemData":{"DOI":"10.1056/NEJMsa031667","ISSN":"1533-4406","PMID":"15141044","abstract":"BACKGROUND: The prevention of active tuberculosis through the treatment of latent tuberculosis infection is a major element of the national strategy for eliminating tuberculosis in the United States. Targeted treatment for persons who are at the highest risk for reactivation tuberculosis will be needed to achieve this goal. A more precise assessment of the lifetime risk of reactivation tuberculosis, usually estimated at 5 to 10 percent, could help to identify patients who are at the highest risk and motivate them to complete treatment. Currently, the rate of completion of treatment is low. METHODS: Published reports were reviewed to obtain estimates of the risk of tuberculosis among persons with a positive tuberculin skin test. Using these data, I constructed a model to estimate the lifetime risk of tuberculosis among persons with specific medical conditions. RESULTS: The lifetime risk of reactivation tuberculosis is 20 percent or more among most persons with induration of 10 mm or more on a tuberculin skin test and either human immunodeficiency virus infection or evidence of old, healed tuberculosis. The lifetime risk is 10 to 20 percent among persons with recent conversion of a tuberculin skin test and among most persons younger than 35 years of age who are receiving infliximab therapy and have induration of 15 mm or more on a tuberculin skin test. The risk is also 10 to 20 percent among children five years of age or younger who have induration of 10 mm or more on a tuberculin skin test. CONCLUSIONS: Persons with these characteristics should be targeted for intensive efforts to ensure full treatment of latent tuberculosis. Improved rates of completion of treatment among such persons could help to eliminate tuberculosis in the United States. Copyright 2004 Massachusetts Medical Society","author":[{"dropping-particle":"","family":"Horsburgh  Jr.","given":"C R","non-dropping-particle":"","parse-names":false,"suffix":""}],"container-title":"New England Journal of Medicine","id":"ITEM-1","issue":"20","issued":{"date-parts":[["2004"]]},"page":"2060-2067","title":"Priorities for the treatment of latent tuberculosis infection in the United States.[see comment]","type":"article-journal","volume":"350"},"uris":["http://www.mendeley.com/documents/?uuid=c7302564-aeb2-4d12-b1a0-793ee0ebb80b"]}],"mendeley":{"formattedCitation":"[16]","plainTextFormattedCitation":"[16]","previouslyFormattedCitation":"[16]"},"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[16]</w:t>
            </w:r>
            <w:r w:rsidRPr="00D93D2D">
              <w:rPr>
                <w:rFonts w:cstheme="minorHAnsi"/>
                <w:szCs w:val="20"/>
              </w:rPr>
              <w:fldChar w:fldCharType="end"/>
            </w:r>
          </w:p>
        </w:tc>
      </w:tr>
      <w:tr w:rsidR="009D79BC" w:rsidRPr="00D93D2D" w14:paraId="51DB431D"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287ADFE5" w14:textId="17EC853C" w:rsidR="002C28A1" w:rsidRPr="00D93D2D" w:rsidRDefault="009D79BC" w:rsidP="00A81093">
            <w:pPr>
              <w:pStyle w:val="NoSpacing"/>
              <w:jc w:val="left"/>
              <w:rPr>
                <w:rFonts w:cstheme="minorHAnsi"/>
                <w:b w:val="0"/>
                <w:bCs w:val="0"/>
                <w:szCs w:val="20"/>
              </w:rPr>
            </w:pPr>
            <w:r w:rsidRPr="00D93D2D">
              <w:rPr>
                <w:rFonts w:cstheme="minorHAnsi"/>
                <w:b w:val="0"/>
                <w:bCs w:val="0"/>
                <w:szCs w:val="20"/>
              </w:rPr>
              <w:t>Maximum</w:t>
            </w:r>
            <w:r w:rsidR="002C28A1" w:rsidRPr="00D93D2D">
              <w:rPr>
                <w:rFonts w:cstheme="minorHAnsi"/>
                <w:b w:val="0"/>
                <w:bCs w:val="0"/>
                <w:szCs w:val="20"/>
              </w:rPr>
              <w:t xml:space="preserve"> risk of</w:t>
            </w:r>
            <w:r w:rsidRPr="00D93D2D">
              <w:rPr>
                <w:rFonts w:cstheme="minorHAnsi"/>
                <w:b w:val="0"/>
                <w:bCs w:val="0"/>
                <w:szCs w:val="20"/>
              </w:rPr>
              <w:t xml:space="preserve"> active TB</w:t>
            </w:r>
            <w:r w:rsidR="002C28A1" w:rsidRPr="00D93D2D">
              <w:rPr>
                <w:rFonts w:cstheme="minorHAnsi"/>
                <w:b w:val="0"/>
                <w:bCs w:val="0"/>
                <w:szCs w:val="20"/>
              </w:rPr>
              <w:t xml:space="preserve"> mortality</w:t>
            </w:r>
            <w:r w:rsidR="003B4342" w:rsidRPr="00D93D2D">
              <w:rPr>
                <w:rFonts w:cstheme="minorHAnsi"/>
                <w:b w:val="0"/>
                <w:bCs w:val="0"/>
                <w:szCs w:val="20"/>
              </w:rPr>
              <w:t>*</w:t>
            </w:r>
            <w:r w:rsidR="0016448B" w:rsidRPr="00D93D2D">
              <w:rPr>
                <w:rFonts w:cstheme="minorHAnsi"/>
                <w:b w:val="0"/>
                <w:bCs w:val="0"/>
                <w:szCs w:val="20"/>
              </w:rPr>
              <w:t>(per month)</w:t>
            </w:r>
          </w:p>
        </w:tc>
        <w:tc>
          <w:tcPr>
            <w:tcW w:w="3510" w:type="dxa"/>
            <w:vAlign w:val="center"/>
          </w:tcPr>
          <w:p w14:paraId="0CEC1981" w14:textId="7BE4C51D" w:rsidR="002C28A1" w:rsidRPr="00D93D2D" w:rsidRDefault="009D79BC"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 xml:space="preserve">0.0144 </w:t>
            </w:r>
          </w:p>
        </w:tc>
        <w:tc>
          <w:tcPr>
            <w:tcW w:w="1800" w:type="dxa"/>
            <w:vAlign w:val="center"/>
          </w:tcPr>
          <w:p w14:paraId="589B1E03" w14:textId="48574C1E" w:rsidR="002C28A1" w:rsidRPr="00D93D2D" w:rsidRDefault="009D79BC"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Calibrated to provide DS-TB mortality</w:t>
            </w:r>
          </w:p>
        </w:tc>
      </w:tr>
      <w:tr w:rsidR="009D79BC" w:rsidRPr="00D93D2D" w14:paraId="623C5CB4"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63AA8A32" w14:textId="5CDFFCA7" w:rsidR="002C28A1" w:rsidRPr="00D93D2D" w:rsidRDefault="0016448B" w:rsidP="00A81093">
            <w:pPr>
              <w:pStyle w:val="NoSpacing"/>
              <w:jc w:val="left"/>
              <w:rPr>
                <w:rFonts w:cstheme="minorHAnsi"/>
                <w:b w:val="0"/>
                <w:bCs w:val="0"/>
                <w:szCs w:val="20"/>
              </w:rPr>
            </w:pPr>
            <w:r w:rsidRPr="00D93D2D">
              <w:rPr>
                <w:rFonts w:cstheme="minorHAnsi"/>
                <w:b w:val="0"/>
                <w:bCs w:val="0"/>
                <w:szCs w:val="20"/>
              </w:rPr>
              <w:t xml:space="preserve">Probability </w:t>
            </w:r>
            <w:r w:rsidR="002C28A1" w:rsidRPr="00D93D2D">
              <w:rPr>
                <w:rFonts w:cstheme="minorHAnsi"/>
                <w:b w:val="0"/>
                <w:bCs w:val="0"/>
                <w:szCs w:val="20"/>
              </w:rPr>
              <w:t>of spontaneous resolution</w:t>
            </w:r>
            <w:r w:rsidRPr="00D93D2D">
              <w:rPr>
                <w:rFonts w:cstheme="minorHAnsi"/>
                <w:b w:val="0"/>
                <w:bCs w:val="0"/>
                <w:szCs w:val="20"/>
              </w:rPr>
              <w:t xml:space="preserve"> (per month)</w:t>
            </w:r>
          </w:p>
        </w:tc>
        <w:tc>
          <w:tcPr>
            <w:tcW w:w="3510" w:type="dxa"/>
            <w:vAlign w:val="center"/>
          </w:tcPr>
          <w:p w14:paraId="20849820" w14:textId="126ADA9B"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 xml:space="preserve">0.008 </w:t>
            </w:r>
          </w:p>
        </w:tc>
        <w:tc>
          <w:tcPr>
            <w:tcW w:w="1800" w:type="dxa"/>
            <w:vAlign w:val="center"/>
          </w:tcPr>
          <w:p w14:paraId="19CCD60C" w14:textId="5844EC2F" w:rsidR="002C28A1" w:rsidRPr="00D93D2D" w:rsidRDefault="005A6E42"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{"citationItems":[{"id":"ITEM-1","itemData":{"DOI":"10.1371/journal.pone.0017601","ISBN":"10.1371/journal.pone.0017601","ISSN":"19326203","PMID":"21483732","abstract":"BACKGROUND The prognosis, specifically the case fatality and duration, of untreated tuberculosis is important as many patients are not correctly diagnosed and therefore receive inadequate or no treatment. Furthermore, duration and case fatality of tuberculosis are key parameters in interpreting epidemiological data. METHODOLOGY AND PRINCIPAL FINDINGS To estimate the duration and case fatality of untreated pulmonary tuberculosis in HIV negative patients we reviewed studies from the pre-chemotherapy era. Untreated smear-positive tuberculosis among HIV negative individuals has a 10-year case fatality variously reported between 53% and 86%, with a weighted mean of 70%. Ten-year case fatality of culture-positive smear-negative tuberculosis was nowhere reported directly but can be indirectly estimated to be approximately 20%. The duration of tuberculosis from onset to cure or death is approximately 3 years and appears to be similar for smear-positive and smear-negative tuberculosis. CONCLUSIONS Current models of untreated tuberculosis that assume a total duration of 2 years until self-cure or death underestimate the duration of disease by about one year, but their case fatality estimates of 70% for smear-positive and 20% for culture-positive smear-negative tuberculosis appear to be satisfactory.","author":[{"dropping-particle":"","family":"Tiemersma","given":"Edine W.","non-dropping-particle":"","parse-names":false,"suffix":""},{"dropping-particle":"","family":"Werf","given":"Marieke J.","non-dropping-particle":"van der","parse-names":false,"suffix":""},{"dropping-particle":"","family":"Borgdorff","given":"Martien W.","non-dropping-particle":"","parse-names":false,"suffix":""},{"dropping-particle":"","family":"Williams","given":"Brian G.","non-dropping-particle":"","parse-names":false,"suffix":""},{"dropping-particle":"","family":"Nagelkerke","given":"Nico J.D.","non-dropping-particle":"","parse-names":false,"suffix":""}],"container-title":"PLoS ONE","id":"ITEM-1","issue":"4","issued":{"date-parts":[["2011"]]},"title":"Natural history of tuberculosis: Duration and fatality of untreated pulmonary tuberculosis in HIV negative patients: A systematic review","type":"article-journal","volume":"6"},"uris":["http://www.mendeley.com/documents/?uuid=16942058-b958-4375-9f4b-7226e584ce7a"]}],"mendeley":{"formattedCitation":"[17]","plainTextFormattedCitation":"[17]","previouslyFormattedCitation":"[17]"},"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[17]</w:t>
            </w:r>
            <w:r w:rsidRPr="00D93D2D">
              <w:rPr>
                <w:rFonts w:cstheme="minorHAnsi"/>
                <w:szCs w:val="20"/>
              </w:rPr>
              <w:fldChar w:fldCharType="end"/>
            </w:r>
          </w:p>
        </w:tc>
      </w:tr>
      <w:tr w:rsidR="009D79BC" w:rsidRPr="00D93D2D" w14:paraId="738631ED"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40BD5722" w14:textId="3C8F2A16" w:rsidR="002C28A1" w:rsidRPr="00D93D2D" w:rsidRDefault="0016448B" w:rsidP="00A81093">
            <w:pPr>
              <w:pStyle w:val="NoSpacing"/>
              <w:jc w:val="left"/>
              <w:rPr>
                <w:rFonts w:cstheme="minorHAnsi"/>
                <w:b w:val="0"/>
                <w:bCs w:val="0"/>
                <w:szCs w:val="20"/>
              </w:rPr>
            </w:pPr>
            <w:r w:rsidRPr="00D93D2D">
              <w:rPr>
                <w:rFonts w:cstheme="minorHAnsi"/>
                <w:b w:val="0"/>
                <w:bCs w:val="0"/>
                <w:szCs w:val="20"/>
              </w:rPr>
              <w:t>Annual risk</w:t>
            </w:r>
            <w:r w:rsidR="002C28A1" w:rsidRPr="00D93D2D">
              <w:rPr>
                <w:rFonts w:cstheme="minorHAnsi"/>
                <w:b w:val="0"/>
                <w:bCs w:val="0"/>
                <w:szCs w:val="20"/>
              </w:rPr>
              <w:t xml:space="preserve"> of relapse within 2 years of resolution</w:t>
            </w:r>
            <w:r w:rsidRPr="00D93D2D">
              <w:rPr>
                <w:rFonts w:cstheme="minorHAnsi"/>
                <w:b w:val="0"/>
                <w:bCs w:val="0"/>
                <w:szCs w:val="20"/>
              </w:rPr>
              <w:t xml:space="preserve"> (set to 0 afterward)</w:t>
            </w:r>
          </w:p>
        </w:tc>
        <w:tc>
          <w:tcPr>
            <w:tcW w:w="3510" w:type="dxa"/>
            <w:vAlign w:val="center"/>
          </w:tcPr>
          <w:p w14:paraId="3AC482DA" w14:textId="39DEC1E3" w:rsidR="002C28A1" w:rsidRPr="00D93D2D" w:rsidRDefault="0016448B"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0.0</w:t>
            </w:r>
            <w:r w:rsidR="002C28A1" w:rsidRPr="00D93D2D">
              <w:rPr>
                <w:rFonts w:cstheme="minorHAnsi"/>
                <w:szCs w:val="20"/>
              </w:rPr>
              <w:t>2 (DS-TB)</w:t>
            </w:r>
          </w:p>
          <w:p w14:paraId="103F0D3E" w14:textId="77777777" w:rsidR="00B26656" w:rsidRPr="00D93D2D" w:rsidRDefault="00B26656"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p>
          <w:p w14:paraId="1FDCB452" w14:textId="0C0A933C" w:rsidR="002C28A1" w:rsidRPr="00D93D2D" w:rsidRDefault="0016448B"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0.0</w:t>
            </w:r>
            <w:r w:rsidR="002C28A1" w:rsidRPr="00D93D2D">
              <w:rPr>
                <w:rFonts w:cstheme="minorHAnsi"/>
                <w:szCs w:val="20"/>
              </w:rPr>
              <w:t>4 (DR-TB)</w:t>
            </w:r>
          </w:p>
        </w:tc>
        <w:tc>
          <w:tcPr>
            <w:tcW w:w="1800" w:type="dxa"/>
            <w:vAlign w:val="center"/>
          </w:tcPr>
          <w:p w14:paraId="71124779" w14:textId="01354F3B" w:rsidR="00E564CC" w:rsidRPr="00D93D2D" w:rsidRDefault="00E564CC" w:rsidP="00E564CC">
            <w:pPr>
              <w:pStyle w:val="NoSpacing"/>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{"citationItems":[{"id":"ITEM-1","itemData":{"DOI":"10.1093/cid/ciu186","ISSN":"1537-6591","PMID":"24647020","abstract":"BACKGROUND: There is increasing evidence from tuberculosis high-burden settings that exogenous reinfection contributes considerably to recurrent disease. However, large longitudinal studies of endogenous reactivation (relapse) and reinfection tuberculosis are lacking. We hypothesize a relationship between relapse vs reinfection and the time between treatment completion and recurrent disease.\n\nMETHODS: Population-based retrospective cohort study on all smear-positive tuberculosis cases successfully treated between 1996 and 2008 in a suburban setting in Cape Town, South Africa. Inverse gaussian distributions were fitted to observed annual rates of relapse and reinfection, distinguished by DNA fingerprinting of Mycobacterium tuberculosis strains recultured from diagnostic samples.\n\nRESULTS: Paired DNA fingerprint data were available for 130 (64%) of 203 recurrent smear-positive tuberculosis cases in the 13-year study period. Reinfection accounted for 66 (51%) of 130 recurrent cases overall, 9 (20%) of 44 recurrent cases within the first year, and 57 (66%) of 86 thereafter (P &lt; .001). The relapse rate peaked at 3.93% (95% confidence interval [CI], 2.35%-5.96%) per annum 0.35 (95% CI, .15-.45) years after treatment completion. The reinfection tuberculosis rate peaked at 1.58% (95% CI, .94%-2.46%) per annum 1.20 (95% CI, .55-1.70) years after completion.\n\nCONCLUSIONS: To our knowledge, this is the first study of sufficient size and duration using DNA fingerprinting to investigate tuberculosis relapse and reinfection over a lengthy period. Relapse occurred early after treatment completion, whereas reinfection dominated after 1 year and accounted for at least half of recurrent disease. This temporal relationship may explain the high variability in reinfection observed across smaller studies. We speculate that follow-up time in antituberculosis drug trials should take reinfection into account.","author":[{"dropping-particle":"","family":"Marx","given":"Florian M","non-dropping-particle":"","parse-names":false,"suffix":""},{"dropping-particle":"","family":"Dunbar","given":"Rory","non-dropping-particle":"","parse-names":false,"suffix":""},{"dropping-particle":"","family":"Enarson","given":"Donald a","non-dropping-particle":"","parse-names":false,"suffix":""},{"dropping-particle":"","family":"Williams","given":"Brian G","non-dropping-particle":"","parse-names":false,"suffix":""},{"dropping-particle":"","family":"Warren","given":"Robin M","non-dropping-particle":"","parse-names":false,"suffix":""},{"dropping-particle":"","family":"Spuy","given":"Gian D","non-dropping-particle":"van der","parse-names":false,"suffix":""},{"dropping-particle":"","family":"Helden","given":"Paul D","non-dropping-particle":"van","parse-names":false,"suffix":""},{"dropping-particle":"","family":"Beyers","given":"Nulda","non-dropping-particle":"","parse-names":false,"suffix":""}],"container-title":"Clinical infectious diseases : an official publication of the Infectious Diseases Society of America","id":"ITEM-1","issue":"12","issued":{"date-parts":[["2014","6"]]},"page":"1676-83","title":"The temporal dynamics of relapse and reinfection tuberculosis after successful treatment: a retrospective cohort study.","type":"article-journal","volume":"58"},"uris":["http://www.mendeley.com/documents/?uuid=e58d384c-834e-4b16-8f23-a83d7b76f107"]},{"id":"ITEM-2","itemData":{"DOI":"10.1371/journal.pmed.1000146","author":[{"dropping-particle":"","family":"Lienhardt","given":"Christian","non-dropping-particle":"","parse-names":false,"suffix":""},{"dropping-particle":"","family":"Paydar","given":"Anita","non-dropping-particle":"","parse-names":false,"suffix":""},{"dropping-particle":"","family":"Menzies","given":"Dick","non-dropping-particle":"","parse-names":false,"suffix":""},{"dropping-particle":"","family":"Benedetti","given":"Andrea","non-dropping-particle":"","parse-names":false,"suffix":""},{"dropping-particle":"","family":"Martin","given":"Ian","non-dropping-particle":"","parse-names":false,"suffix":""},{"dropping-particle":"","family":"Pai","given":"Madhukar","non-dropping-particle":"","parse-names":false,"suffix":""},{"dropping-particle":"","family":"Burman","given":"William","non-dropping-particle":"","parse-names":false,"suffix":""},{"dropping-particle":"","family":"Vernon","given":"Andrew","non-dropping-particle":"","parse-names":false,"suffix":""},{"dropping-particle":"","family":"Royce","given":"Sarah","non-dropping-particle":"","parse-names":false,"suffix":""}],"container-title":"PLoS Medicine","id":"ITEM-2","issue":"9","issued":{"date-parts":[["2009"]]},"page":"e1000146","title":"Effect of Duration and Intermittency of Rifampin on Tuberculosis Treatment Outcomes: A Systematic Review and Meta-Analysis","type":"article-journal","volume":"6"},"uris":["http://www.mendeley.com/documents/?uuid=b26dbd5b-c322-489c-8394-fd024ac0d14d"]},{"id":"ITEM-3","itemData":{"ISSN":"10273719","abstract":"SETTING An Argentinean reference hospital specialising in infectious diseases. OBJECTIVE To assess the outcomes of all human immunodeficiency virus (HIV) negative multidrug-resistant tuberculosis (MDR-TB) patients referred to or diagnosed at Hospital Muñiz. DESIGN Clinical study for the period 1996-1999, with follow-up until June 2002. RESULTS One hundred and forty-one adult patients (52.5% female) with resistance to two to seven drugs were studied. Fifty patients (35.5%) had not been treated previously. The most frequently used second-line drugs were 5-F-quinolones, cycloserine and ethionamide in susceptibility based individually tailored three- to five-drug regimens. Hospital admission was associated with treatment success. Forty-five episodes of severe toxicity occurred. Treatment was successful in 51.8% of cases, but follow-up of 73 patients yielded 11.9% relapse. The mortality rate was 19.1% and default was 19.9%. Logistic regression analysis was statistically significant for treatment success in relation to patient admission, residence and resistance pattern. CONCLUSION The burden of MDR-TB in this setting--prolonged infection, treatment cost and difficulties, low rates of cure and treatment adherence and high rates of fatality and relapse--can be improved by strengthening TB control programme activities and fighting against poverty and HIV/AIDS.","author":[{"dropping-particle":"","family":"Palmero","given":"Domingo J.","non-dropping-particle":"","parse-names":false,"suffix":""},{"dropping-particle":"","family":"Ambroggi","given":"M.","non-dropping-particle":"","parse-names":false,"suffix":""},{"dropping-particle":"","family":"Brea","given":"A.","non-dropping-particle":"","parse-names":false,"suffix":""},{"dropping-particle":"","family":"Lucas","given":"M.","non-dropping-particle":"De","parse-names":false,"suffix":""},{"dropping-particle":"","family":"Fulgenzi","given":"A.","non-dropping-particle":"","parse-names":false,"suffix":""},{"dropping-particle":"","family":"Martinez","given":"D.","non-dropping-particle":"","parse-names":false,"suffix":""},{"dropping-particle":"","family":"Mosca","given":"C.","non-dropping-particle":"","parse-names":false,"suffix":""},{"dropping-particle":"","family":"Musella","given":"R.","non-dropping-particle":"","parse-names":false,"suffix":""},{"dropping-particle":"","family":"Natiello","given":"M.","non-dropping-particle":"","parse-names":false,"suffix":""},{"dropping-particle":"","family":"Gonzalez","given":"C.","non-dropping-particle":"","parse-names":false,"suffix":""},{"dropping-particle":"","family":"Abbate","given":"E.","non-dropping-particle":"","parse-names":false,"suffix":""}],"container-title":"International Journal of Tuberculosis and Lung Disease","id":"ITEM-3","issue":"6","issued":{"date-parts":[["2004"]]},"page":"778-784","title":"Treatment and follow-up of HIV-negative multidrug-resistant tuberculosis patients in an infectious diseases reference hospital, Buenos Aires, Argentina","type":"article-journal","volume":"8"},"uris":["http://www.mendeley.com/documents/?uuid=fcbd90d9-482e-4b4e-8e2d-fc20f233456b"]}],"mendeley":{"formattedCitation":"[18–20]","plainTextFormattedCitation":"[18–20]","previouslyFormattedCitation":"[18–20]"},"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[18–20]</w:t>
            </w:r>
            <w:r w:rsidRPr="00D93D2D">
              <w:rPr>
                <w:rFonts w:cstheme="minorHAnsi"/>
                <w:szCs w:val="20"/>
              </w:rPr>
              <w:fldChar w:fldCharType="end"/>
            </w:r>
          </w:p>
          <w:p w14:paraId="6E920993" w14:textId="31BFBCFD"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9D79BC" w:rsidRPr="00D93D2D" w14:paraId="7A61D9DC" w14:textId="77777777" w:rsidTr="008A11E8">
        <w:trPr>
          <w:trHeight w:val="241"/>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274B3B46" w14:textId="67C01E38" w:rsidR="002C28A1" w:rsidRPr="00D93D2D" w:rsidRDefault="002C28A1" w:rsidP="00A81093">
            <w:pPr>
              <w:pStyle w:val="NoSpacing"/>
              <w:jc w:val="left"/>
              <w:rPr>
                <w:rFonts w:cstheme="minorHAnsi"/>
                <w:b w:val="0"/>
                <w:bCs w:val="0"/>
                <w:szCs w:val="20"/>
              </w:rPr>
            </w:pPr>
            <w:r w:rsidRPr="00D93D2D">
              <w:rPr>
                <w:rFonts w:cstheme="minorHAnsi"/>
                <w:b w:val="0"/>
                <w:bCs w:val="0"/>
                <w:szCs w:val="20"/>
              </w:rPr>
              <w:t xml:space="preserve">Maximum probability of Smear </w:t>
            </w:r>
            <w:r w:rsidR="003B4342" w:rsidRPr="00D93D2D">
              <w:rPr>
                <w:rFonts w:cstheme="minorHAnsi"/>
                <w:b w:val="0"/>
                <w:bCs w:val="0"/>
                <w:szCs w:val="20"/>
              </w:rPr>
              <w:t>conversion (negative to positive)</w:t>
            </w:r>
            <w:r w:rsidRPr="00D93D2D">
              <w:rPr>
                <w:rFonts w:cstheme="minorHAnsi"/>
                <w:b w:val="0"/>
                <w:bCs w:val="0"/>
                <w:szCs w:val="20"/>
              </w:rPr>
              <w:t>*</w:t>
            </w:r>
          </w:p>
        </w:tc>
        <w:tc>
          <w:tcPr>
            <w:tcW w:w="3510" w:type="dxa"/>
            <w:vAlign w:val="center"/>
          </w:tcPr>
          <w:p w14:paraId="0C2DA6E1" w14:textId="77777777"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0.7</w:t>
            </w:r>
          </w:p>
        </w:tc>
        <w:tc>
          <w:tcPr>
            <w:tcW w:w="1800" w:type="dxa"/>
            <w:vAlign w:val="center"/>
          </w:tcPr>
          <w:p w14:paraId="4E67ACED" w14:textId="4E71FC21" w:rsidR="002C28A1" w:rsidRPr="00D93D2D" w:rsidRDefault="00E564CC"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{"citationItems":[{"id":"ITEM-1","itemData":{"author":[{"dropping-particle":"","family":"Organization","given":"World Health","non-dropping-particle":"","parse-names":false,"suffix":""}],"id":"ITEM-1","issued":{"date-parts":[["2016"]]},"title":"Global Tuberculosis Report 2016","type":"article-journal"},"uris":["http://www.mendeley.com/documents/?uuid=99f5745f-ea53-407d-8ae8-1292daedaac2"]}],"mendeley":{"formattedCitation":"[21]","plainTextFormattedCitation":"[21]","previouslyFormattedCitation":"[21]"},"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[21]</w:t>
            </w:r>
            <w:r w:rsidRPr="00D93D2D">
              <w:rPr>
                <w:rFonts w:cstheme="minorHAnsi"/>
                <w:szCs w:val="20"/>
              </w:rPr>
              <w:fldChar w:fldCharType="end"/>
            </w:r>
          </w:p>
        </w:tc>
      </w:tr>
      <w:tr w:rsidR="009D79BC" w:rsidRPr="00D93D2D" w14:paraId="2C9F2EB8"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shd w:val="clear" w:color="auto" w:fill="D0CECE" w:themeFill="background2" w:themeFillShade="E6"/>
            <w:vAlign w:val="center"/>
          </w:tcPr>
          <w:p w14:paraId="5205057D" w14:textId="77777777" w:rsidR="002C28A1" w:rsidRPr="00D93D2D" w:rsidRDefault="002C28A1" w:rsidP="00A81093">
            <w:pPr>
              <w:pStyle w:val="NoSpacing"/>
              <w:jc w:val="left"/>
              <w:rPr>
                <w:rFonts w:cstheme="minorHAnsi"/>
                <w:szCs w:val="20"/>
              </w:rPr>
            </w:pPr>
            <w:r w:rsidRPr="00D93D2D">
              <w:rPr>
                <w:rFonts w:cstheme="minorHAnsi"/>
                <w:szCs w:val="20"/>
              </w:rPr>
              <w:t>TB care</w:t>
            </w:r>
          </w:p>
        </w:tc>
        <w:tc>
          <w:tcPr>
            <w:tcW w:w="3510" w:type="dxa"/>
            <w:shd w:val="clear" w:color="auto" w:fill="D0CECE" w:themeFill="background2" w:themeFillShade="E6"/>
            <w:vAlign w:val="center"/>
          </w:tcPr>
          <w:p w14:paraId="25B067E6" w14:textId="77777777"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b/>
                <w:bCs/>
                <w:szCs w:val="20"/>
              </w:rPr>
            </w:pPr>
          </w:p>
        </w:tc>
        <w:tc>
          <w:tcPr>
            <w:tcW w:w="1800" w:type="dxa"/>
            <w:shd w:val="clear" w:color="auto" w:fill="D0CECE" w:themeFill="background2" w:themeFillShade="E6"/>
            <w:vAlign w:val="center"/>
          </w:tcPr>
          <w:p w14:paraId="7B8EB413" w14:textId="77777777"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b/>
                <w:bCs/>
                <w:szCs w:val="20"/>
              </w:rPr>
            </w:pPr>
          </w:p>
        </w:tc>
      </w:tr>
      <w:tr w:rsidR="009D79BC" w:rsidRPr="00D93D2D" w14:paraId="637B97D6"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71D01F62" w14:textId="47253722" w:rsidR="002C28A1" w:rsidRPr="00D93D2D" w:rsidRDefault="002C28A1" w:rsidP="00A81093">
            <w:pPr>
              <w:pStyle w:val="NoSpacing"/>
              <w:jc w:val="left"/>
              <w:rPr>
                <w:rFonts w:cstheme="minorHAnsi"/>
                <w:b w:val="0"/>
                <w:bCs w:val="0"/>
                <w:szCs w:val="20"/>
              </w:rPr>
            </w:pPr>
            <w:r w:rsidRPr="00D93D2D">
              <w:rPr>
                <w:rFonts w:cstheme="minorHAnsi"/>
                <w:b w:val="0"/>
                <w:bCs w:val="0"/>
                <w:szCs w:val="20"/>
              </w:rPr>
              <w:t>Maximum probability of seeking care</w:t>
            </w:r>
            <w:r w:rsidR="003B4342" w:rsidRPr="00D93D2D">
              <w:rPr>
                <w:rFonts w:cstheme="minorHAnsi"/>
                <w:b w:val="0"/>
                <w:bCs w:val="0"/>
                <w:szCs w:val="20"/>
              </w:rPr>
              <w:t>*</w:t>
            </w:r>
            <w:r w:rsidR="0016448B" w:rsidRPr="00D93D2D">
              <w:rPr>
                <w:rFonts w:cstheme="minorHAnsi"/>
                <w:b w:val="0"/>
                <w:bCs w:val="0"/>
                <w:szCs w:val="20"/>
              </w:rPr>
              <w:t xml:space="preserve"> (per month)</w:t>
            </w:r>
          </w:p>
        </w:tc>
        <w:tc>
          <w:tcPr>
            <w:tcW w:w="3510" w:type="dxa"/>
            <w:vAlign w:val="center"/>
          </w:tcPr>
          <w:p w14:paraId="5850EAEF" w14:textId="79C0FE32"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0.17</w:t>
            </w:r>
            <w:r w:rsidR="009D79BC" w:rsidRPr="00D93D2D">
              <w:rPr>
                <w:rFonts w:cstheme="minorHAnsi"/>
                <w:szCs w:val="20"/>
              </w:rPr>
              <w:t xml:space="preserve">6 </w:t>
            </w:r>
          </w:p>
        </w:tc>
        <w:tc>
          <w:tcPr>
            <w:tcW w:w="1800" w:type="dxa"/>
            <w:vAlign w:val="center"/>
          </w:tcPr>
          <w:p w14:paraId="3351C83D" w14:textId="314CBE35"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Calibrated to provide the DS-TB prevalence at baseline</w:t>
            </w:r>
          </w:p>
        </w:tc>
      </w:tr>
      <w:tr w:rsidR="009D79BC" w:rsidRPr="00D93D2D" w14:paraId="7351D3F4" w14:textId="77777777" w:rsidTr="008A11E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177CD81E" w14:textId="02F0417F" w:rsidR="002C28A1" w:rsidRPr="00D93D2D" w:rsidRDefault="002C28A1" w:rsidP="00A81093">
            <w:pPr>
              <w:pStyle w:val="NoSpacing"/>
              <w:jc w:val="left"/>
              <w:rPr>
                <w:rFonts w:cstheme="minorHAnsi"/>
                <w:b w:val="0"/>
                <w:bCs w:val="0"/>
                <w:szCs w:val="20"/>
              </w:rPr>
            </w:pPr>
            <w:r w:rsidRPr="00D93D2D">
              <w:rPr>
                <w:rFonts w:cstheme="minorHAnsi"/>
                <w:b w:val="0"/>
                <w:bCs w:val="0"/>
                <w:szCs w:val="20"/>
              </w:rPr>
              <w:t xml:space="preserve">Probability of </w:t>
            </w:r>
            <w:r w:rsidR="00B26656" w:rsidRPr="00D93D2D">
              <w:rPr>
                <w:rFonts w:cstheme="minorHAnsi"/>
                <w:b w:val="0"/>
                <w:bCs w:val="0"/>
                <w:szCs w:val="20"/>
              </w:rPr>
              <w:t xml:space="preserve">DS-TB </w:t>
            </w:r>
            <w:r w:rsidRPr="00D93D2D">
              <w:rPr>
                <w:rFonts w:cstheme="minorHAnsi"/>
                <w:b w:val="0"/>
                <w:bCs w:val="0"/>
                <w:szCs w:val="20"/>
              </w:rPr>
              <w:t>treatment</w:t>
            </w:r>
            <w:r w:rsidR="00B26656" w:rsidRPr="00D93D2D">
              <w:rPr>
                <w:rFonts w:cstheme="minorHAnsi"/>
                <w:b w:val="0"/>
                <w:bCs w:val="0"/>
                <w:szCs w:val="20"/>
              </w:rPr>
              <w:t xml:space="preserve"> in </w:t>
            </w:r>
            <w:r w:rsidRPr="00D93D2D">
              <w:rPr>
                <w:rFonts w:cstheme="minorHAnsi"/>
                <w:b w:val="0"/>
                <w:bCs w:val="0"/>
                <w:szCs w:val="20"/>
              </w:rPr>
              <w:t>private sector</w:t>
            </w:r>
          </w:p>
        </w:tc>
        <w:tc>
          <w:tcPr>
            <w:tcW w:w="3510" w:type="dxa"/>
            <w:vAlign w:val="center"/>
          </w:tcPr>
          <w:p w14:paraId="2B7BB58A" w14:textId="4F70A7D6"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0.5</w:t>
            </w:r>
          </w:p>
        </w:tc>
        <w:tc>
          <w:tcPr>
            <w:tcW w:w="1800" w:type="dxa"/>
            <w:vAlign w:val="center"/>
          </w:tcPr>
          <w:p w14:paraId="43F04347" w14:textId="68B16D75" w:rsidR="002C28A1" w:rsidRPr="00D93D2D" w:rsidRDefault="005A6E42"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{"citationItems":[{"id":"ITEM-1","itemData":{"DOI":"10.1371/journal.pone.0042458","ISBN":"1932-6203 (Electronic)\\r1932-6203 (Linking)","ISSN":"19326203","PMID":"22879990","abstract":"SETTING: Revised National Tuberculosis Control Programme (RNTCP), Delhi, India. OBJECTIVE: To ascertain the number and sequence of providers visited by TB patients before availing treatment services from DOTS; to describe the duration between onset of symptoms to treatment. STUDY DESIGN: A cross sectional, qualitative study. Information was gathered through in-depth interviews of TB patients registered during the month of Oct, 2012 for availing TB treatment under the Revised National TB Control Programme from four tuberculosis diagnosis and treatment centers in Delhi. RESULTS: Out of the 114 patients who registered, 108 participated in the study. The study showed that informal providers and retail chemists were the first point of contact and source of clinical advice for two-third of the patients, while the rest sought medical care from qualified providers directly. Most patients sought medical care from more than two providers, before being diagnosed as TB. Female TB patients and patients with extra-pulmonary TB had long mean duration between onset of symptoms to initiation of treatment (6.3 months and 8.4 months respectively). CONCLUSION: The pathways followed by TB patients, illustrated in this study, provide valuable lessons on the importance of different types of providers (both formal and informal) in the health system in a society like India and the delays in the diagnosis and treatment of tuberculosis.","author":[{"dropping-particle":"","family":"Kapoor","given":"Sunil K.","non-dropping-particle":"","parse-names":false,"suffix":""},{"dropping-particle":"","family":"Raman","given":"A. Venkat","non-dropping-particle":"","parse-names":false,"suffix":""},{"dropping-particle":"","family":"Sachdeva","given":"Kuldeep Singh","non-dropping-particle":"","parse-names":false,"suffix":""},{"dropping-particle":"","family":"Satyanarayana","given":"Srinath","non-dropping-particle":"","parse-names":false,"suffix":""}],"container-title":"PLoS ONE","id":"ITEM-1","issue":"8","issued":{"date-parts":[["2012"]]},"page":"1-6","title":"How did the TB patients reach DOTS services in Delhi? a study of patient treatment seeking behavior","type":"article-journal","volume":"7"},"uris":["http://www.mendeley.com/documents/?uuid=c2b24e60-8ab9-453d-9076-12a6fdd10ec4"]}],"mendeley":{"formattedCitation":"[11]","plainTextFormattedCitation":"[11]","previouslyFormattedCitation":"[11]"},"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[11]</w:t>
            </w:r>
            <w:r w:rsidRPr="00D93D2D">
              <w:rPr>
                <w:rFonts w:cstheme="minorHAnsi"/>
                <w:szCs w:val="20"/>
              </w:rPr>
              <w:fldChar w:fldCharType="end"/>
            </w:r>
          </w:p>
        </w:tc>
      </w:tr>
      <w:tr w:rsidR="009D79BC" w:rsidRPr="00D93D2D" w14:paraId="7A8EEC86"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253D3DB0" w14:textId="3CD23BA6" w:rsidR="002C28A1" w:rsidRPr="00D93D2D" w:rsidRDefault="002C28A1" w:rsidP="00A81093">
            <w:pPr>
              <w:pStyle w:val="NoSpacing"/>
              <w:jc w:val="left"/>
              <w:rPr>
                <w:rFonts w:cstheme="minorHAnsi"/>
                <w:b w:val="0"/>
                <w:bCs w:val="0"/>
                <w:szCs w:val="20"/>
              </w:rPr>
            </w:pPr>
            <w:r w:rsidRPr="00D93D2D">
              <w:rPr>
                <w:rFonts w:cstheme="minorHAnsi"/>
                <w:b w:val="0"/>
                <w:bCs w:val="0"/>
                <w:szCs w:val="20"/>
              </w:rPr>
              <w:t xml:space="preserve">Probability of empiric treatment at </w:t>
            </w:r>
            <w:r w:rsidR="00B26656" w:rsidRPr="00D93D2D">
              <w:rPr>
                <w:rFonts w:cstheme="minorHAnsi"/>
                <w:b w:val="0"/>
                <w:bCs w:val="0"/>
                <w:szCs w:val="20"/>
              </w:rPr>
              <w:t xml:space="preserve">initial </w:t>
            </w:r>
            <w:r w:rsidRPr="00D93D2D">
              <w:rPr>
                <w:rFonts w:cstheme="minorHAnsi"/>
                <w:b w:val="0"/>
                <w:bCs w:val="0"/>
                <w:szCs w:val="20"/>
              </w:rPr>
              <w:t>encounter (</w:t>
            </w:r>
            <w:r w:rsidR="00B26656" w:rsidRPr="00D93D2D">
              <w:rPr>
                <w:rFonts w:cstheme="minorHAnsi"/>
                <w:b w:val="0"/>
                <w:bCs w:val="0"/>
                <w:szCs w:val="20"/>
              </w:rPr>
              <w:t xml:space="preserve">among </w:t>
            </w:r>
            <w:r w:rsidRPr="00D93D2D">
              <w:rPr>
                <w:rFonts w:cstheme="minorHAnsi"/>
                <w:b w:val="0"/>
                <w:bCs w:val="0"/>
                <w:szCs w:val="20"/>
              </w:rPr>
              <w:t>smear-negative</w:t>
            </w:r>
            <w:r w:rsidR="00B26656" w:rsidRPr="00D93D2D">
              <w:rPr>
                <w:rFonts w:cstheme="minorHAnsi"/>
                <w:b w:val="0"/>
                <w:bCs w:val="0"/>
                <w:szCs w:val="20"/>
              </w:rPr>
              <w:t xml:space="preserve"> patients</w:t>
            </w:r>
            <w:r w:rsidRPr="00D93D2D">
              <w:rPr>
                <w:rFonts w:cstheme="minorHAnsi"/>
                <w:b w:val="0"/>
                <w:bCs w:val="0"/>
                <w:szCs w:val="20"/>
              </w:rPr>
              <w:t>)</w:t>
            </w:r>
          </w:p>
        </w:tc>
        <w:tc>
          <w:tcPr>
            <w:tcW w:w="3510" w:type="dxa"/>
            <w:vAlign w:val="center"/>
          </w:tcPr>
          <w:p w14:paraId="39746121" w14:textId="77777777"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0.25</w:t>
            </w:r>
          </w:p>
        </w:tc>
        <w:tc>
          <w:tcPr>
            <w:tcW w:w="1800" w:type="dxa"/>
            <w:vAlign w:val="center"/>
          </w:tcPr>
          <w:p w14:paraId="40BF00CF" w14:textId="1A493B07" w:rsidR="002C28A1" w:rsidRPr="00D93D2D" w:rsidRDefault="0016448B"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 xml:space="preserve">Assumption </w:t>
            </w:r>
          </w:p>
        </w:tc>
      </w:tr>
      <w:tr w:rsidR="009D79BC" w:rsidRPr="00D93D2D" w14:paraId="0699AE11"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5814BD06" w14:textId="45ECDF41" w:rsidR="002C28A1" w:rsidRPr="00D93D2D" w:rsidRDefault="002C28A1" w:rsidP="00A81093">
            <w:pPr>
              <w:pStyle w:val="NoSpacing"/>
              <w:jc w:val="left"/>
              <w:rPr>
                <w:rFonts w:cstheme="minorHAnsi"/>
                <w:b w:val="0"/>
                <w:bCs w:val="0"/>
                <w:szCs w:val="20"/>
              </w:rPr>
            </w:pPr>
            <w:r w:rsidRPr="00D93D2D">
              <w:rPr>
                <w:rFonts w:cstheme="minorHAnsi"/>
                <w:b w:val="0"/>
                <w:bCs w:val="0"/>
                <w:szCs w:val="20"/>
              </w:rPr>
              <w:t xml:space="preserve">Probability of permanent loss-to-follow-up after initial encounter </w:t>
            </w:r>
          </w:p>
        </w:tc>
        <w:tc>
          <w:tcPr>
            <w:tcW w:w="3510" w:type="dxa"/>
            <w:vAlign w:val="center"/>
          </w:tcPr>
          <w:p w14:paraId="2EA48232" w14:textId="77777777"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0.13</w:t>
            </w:r>
          </w:p>
        </w:tc>
        <w:tc>
          <w:tcPr>
            <w:tcW w:w="1800" w:type="dxa"/>
            <w:vAlign w:val="center"/>
          </w:tcPr>
          <w:p w14:paraId="78238B08" w14:textId="176E171C" w:rsidR="002C28A1" w:rsidRPr="00D93D2D" w:rsidRDefault="00E564CC"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{"citationItems":[{"id":"ITEM-1","itemData":{"author":[{"dropping-particle":"","family":"Macpherson","given":"Peter","non-dropping-particle":"","parse-names":false,"suffix":""},{"dropping-particle":"","family":"Houben","given":"M G J","non-dropping-particle":"","parse-names":false,"suffix":""},{"dropping-particle":"","family":"Glynn","given":"Judith R","non-dropping-particle":"","parse-names":false,"suffix":""},{"dropping-particle":"","family":"Corbett","given":"L","non-dropping-particle":"","parse-names":false,"suffix":""},{"dropping-particle":"","family":"Kranzer","given":"Katharina","non-dropping-particle":"","parse-names":false,"suffix":""}],"container-title":"Bulletin of the World Health Organization","id":"ITEM-1","issue":"October 2013","issued":{"date-parts":[["2014"]]},"page":"126-138","title":"Systematic Systematic reviews reviews Pre-treatment loss to follow-up in tuberculosis patients in low- and lower-middle-income countries and high-burden countries : a systematic review and meta-analysis","type":"article-journal"},"uris":["http://www.mendeley.com/documents/?uuid=5269f048-9c51-4250-999f-803278549b70"]}],"mendeley":{"formattedCitation":"[22]","plainTextFormattedCitation":"[22]","previouslyFormattedCitation":"[22]"},"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[22]</w:t>
            </w:r>
            <w:r w:rsidRPr="00D93D2D">
              <w:rPr>
                <w:rFonts w:cstheme="minorHAnsi"/>
                <w:szCs w:val="20"/>
              </w:rPr>
              <w:fldChar w:fldCharType="end"/>
            </w:r>
          </w:p>
        </w:tc>
      </w:tr>
      <w:tr w:rsidR="009D79BC" w:rsidRPr="00D93D2D" w14:paraId="6956DDD5" w14:textId="77777777" w:rsidTr="008A11E8">
        <w:trPr>
          <w:trHeight w:val="475"/>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50B774E7" w14:textId="4EA54794" w:rsidR="002C28A1" w:rsidRPr="00D93D2D" w:rsidRDefault="003B4342" w:rsidP="00A81093">
            <w:pPr>
              <w:pStyle w:val="NoSpacing"/>
              <w:jc w:val="left"/>
              <w:rPr>
                <w:rFonts w:cstheme="minorHAnsi"/>
                <w:b w:val="0"/>
                <w:bCs w:val="0"/>
                <w:color w:val="000000" w:themeColor="text1"/>
                <w:szCs w:val="20"/>
              </w:rPr>
            </w:pPr>
            <w:r w:rsidRPr="00D93D2D">
              <w:rPr>
                <w:rFonts w:cstheme="minorHAnsi"/>
                <w:b w:val="0"/>
                <w:bCs w:val="0"/>
                <w:color w:val="000000" w:themeColor="text1"/>
                <w:szCs w:val="20"/>
              </w:rPr>
              <w:t>P</w:t>
            </w:r>
            <w:r w:rsidR="002C28A1" w:rsidRPr="00D93D2D">
              <w:rPr>
                <w:rFonts w:cstheme="minorHAnsi"/>
                <w:b w:val="0"/>
                <w:bCs w:val="0"/>
                <w:color w:val="000000" w:themeColor="text1"/>
                <w:szCs w:val="20"/>
              </w:rPr>
              <w:t xml:space="preserve">robability of returning for </w:t>
            </w:r>
            <w:r w:rsidR="00B26656" w:rsidRPr="00D93D2D">
              <w:rPr>
                <w:rFonts w:cstheme="minorHAnsi"/>
                <w:b w:val="0"/>
                <w:bCs w:val="0"/>
                <w:color w:val="000000" w:themeColor="text1"/>
                <w:szCs w:val="20"/>
              </w:rPr>
              <w:t xml:space="preserve">follow-up </w:t>
            </w:r>
            <w:r w:rsidR="002C28A1" w:rsidRPr="00D93D2D">
              <w:rPr>
                <w:rFonts w:cstheme="minorHAnsi"/>
                <w:b w:val="0"/>
                <w:bCs w:val="0"/>
                <w:color w:val="000000" w:themeColor="text1"/>
                <w:szCs w:val="20"/>
              </w:rPr>
              <w:t xml:space="preserve">encounter </w:t>
            </w:r>
            <w:r w:rsidR="0016448B" w:rsidRPr="00D93D2D">
              <w:rPr>
                <w:rFonts w:cstheme="minorHAnsi"/>
                <w:b w:val="0"/>
                <w:bCs w:val="0"/>
                <w:color w:val="000000" w:themeColor="text1"/>
                <w:szCs w:val="20"/>
              </w:rPr>
              <w:t>(</w:t>
            </w:r>
            <w:r w:rsidR="0016448B" w:rsidRPr="00D93D2D">
              <w:rPr>
                <w:rFonts w:cstheme="minorHAnsi"/>
                <w:b w:val="0"/>
                <w:bCs w:val="0"/>
                <w:szCs w:val="20"/>
              </w:rPr>
              <w:t>per month)</w:t>
            </w:r>
          </w:p>
        </w:tc>
        <w:tc>
          <w:tcPr>
            <w:tcW w:w="3510" w:type="dxa"/>
            <w:vAlign w:val="center"/>
          </w:tcPr>
          <w:p w14:paraId="290C9AA3" w14:textId="28204CB3"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w:t>
            </w:r>
            <w:r w:rsidR="003B4342" w:rsidRPr="00D93D2D">
              <w:rPr>
                <w:rFonts w:cstheme="minorHAnsi"/>
                <w:szCs w:val="20"/>
              </w:rPr>
              <w:t xml:space="preserve">46 </w:t>
            </w:r>
          </w:p>
        </w:tc>
        <w:tc>
          <w:tcPr>
            <w:tcW w:w="1800" w:type="dxa"/>
            <w:vAlign w:val="center"/>
          </w:tcPr>
          <w:p w14:paraId="63951516" w14:textId="1E34DAD7" w:rsidR="002C28A1" w:rsidRPr="00D93D2D" w:rsidRDefault="00E564CC"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{"citationItems":[{"id":"ITEM-1","itemData":{"author":[{"dropping-particle":"","family":"Macpherson","given":"Peter","non-dropping-particle":"","parse-names":false,"suffix":""},{"dropping-particle":"","family":"Houben","given":"M G J","non-dropping-particle":"","parse-names":false,"suffix":""},{"dropping-particle":"","family":"Glynn","given":"Judith R","non-dropping-particle":"","parse-names":false,"suffix":""},{"dropping-particle":"","family":"Corbett","given":"L","non-dropping-particle":"","parse-names":false,"suffix":""},{"dropping-particle":"","family":"Kranzer","given":"Katharina","non-dropping-particle":"","parse-names":false,"suffix":""}],"container-title":"Bulletin of the World Health Organization","id":"ITEM-1","issue":"October 2013","issued":{"date-parts":[["2014"]]},"page":"126-138","title":"Systematic Systematic reviews reviews Pre-treatment loss to follow-up in tuberculosis patients in low- and lower-middle-income countries and high-burden countries : a systematic review and meta-analysis","type":"article-journal"},"uris":["http://www.mendeley.com/documents/?uuid=5269f048-9c51-4250-999f-803278549b70"]}],"mendeley":{"formattedCitation":"[22]","plainTextFormattedCitation":"[22]","previouslyFormattedCitation":"[22]"},"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[22]</w:t>
            </w:r>
            <w:r w:rsidRPr="00D93D2D">
              <w:rPr>
                <w:rFonts w:cstheme="minorHAnsi"/>
                <w:szCs w:val="20"/>
              </w:rPr>
              <w:fldChar w:fldCharType="end"/>
            </w:r>
          </w:p>
        </w:tc>
      </w:tr>
      <w:tr w:rsidR="009D79BC" w:rsidRPr="00D93D2D" w14:paraId="65C10145"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49785A80" w14:textId="6C49F9CF" w:rsidR="002C28A1" w:rsidRPr="00D93D2D" w:rsidRDefault="002C28A1" w:rsidP="00A81093">
            <w:pPr>
              <w:pStyle w:val="NoSpacing"/>
              <w:jc w:val="left"/>
              <w:rPr>
                <w:rFonts w:cstheme="minorHAnsi"/>
                <w:b w:val="0"/>
                <w:bCs w:val="0"/>
                <w:szCs w:val="20"/>
              </w:rPr>
            </w:pPr>
            <w:r w:rsidRPr="00D93D2D">
              <w:rPr>
                <w:rFonts w:cstheme="minorHAnsi"/>
                <w:b w:val="0"/>
                <w:bCs w:val="0"/>
                <w:szCs w:val="20"/>
              </w:rPr>
              <w:t xml:space="preserve">Probability of MDR-TB treatment failure </w:t>
            </w:r>
          </w:p>
        </w:tc>
        <w:tc>
          <w:tcPr>
            <w:tcW w:w="3510" w:type="dxa"/>
            <w:vAlign w:val="center"/>
          </w:tcPr>
          <w:p w14:paraId="2934B000" w14:textId="6ECF603C" w:rsidR="002C28A1" w:rsidRPr="00D93D2D" w:rsidRDefault="0016448B"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0.</w:t>
            </w:r>
            <w:r w:rsidR="002C28A1" w:rsidRPr="00D93D2D">
              <w:rPr>
                <w:rFonts w:cstheme="minorHAnsi"/>
                <w:szCs w:val="20"/>
              </w:rPr>
              <w:t>17</w:t>
            </w:r>
          </w:p>
        </w:tc>
        <w:tc>
          <w:tcPr>
            <w:tcW w:w="1800" w:type="dxa"/>
            <w:vAlign w:val="center"/>
          </w:tcPr>
          <w:p w14:paraId="6550BF1F" w14:textId="20FD3BE6" w:rsidR="002C28A1" w:rsidRPr="00D93D2D" w:rsidRDefault="00E564CC"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{"citationItems":[{"id":"ITEM-1","itemData":{"URL":"http://apps.who.int/gho/data/?theme=main&amp;vid=60740","author":[{"dropping-particle":"","family":"Organization","given":"World Health","non-dropping-particle":"","parse-names":false,"suffix":""}],"id":"ITEM-1","issued":{"date-parts":[["2017"]]},"title":"Global Health Observatory Data Repository","type":"webpage"},"uris":["http://www.mendeley.com/documents/?uuid=acb723f1-f312-4a27-ba74-1d1ce13c364e"]}],"mendeley":{"formattedCitation":"[23]","plainTextFormattedCitation":"[23]","previouslyFormattedCitation":"[23]"},"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[23]</w:t>
            </w:r>
            <w:r w:rsidRPr="00D93D2D">
              <w:rPr>
                <w:rFonts w:cstheme="minorHAnsi"/>
                <w:szCs w:val="20"/>
              </w:rPr>
              <w:fldChar w:fldCharType="end"/>
            </w:r>
          </w:p>
        </w:tc>
      </w:tr>
      <w:tr w:rsidR="00C77224" w:rsidRPr="00D93D2D" w14:paraId="36E50A5E"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19650978" w14:textId="6B7CC1DA" w:rsidR="00C77224" w:rsidRPr="00D93D2D" w:rsidRDefault="00C77224" w:rsidP="00A81093">
            <w:pPr>
              <w:pStyle w:val="NoSpacing"/>
              <w:jc w:val="left"/>
              <w:rPr>
                <w:rFonts w:cstheme="minorHAnsi"/>
                <w:b w:val="0"/>
                <w:bCs w:val="0"/>
                <w:szCs w:val="20"/>
              </w:rPr>
            </w:pPr>
            <w:r w:rsidRPr="00D93D2D">
              <w:rPr>
                <w:rFonts w:cstheme="minorHAnsi"/>
                <w:b w:val="0"/>
                <w:bCs w:val="0"/>
                <w:szCs w:val="20"/>
              </w:rPr>
              <w:t xml:space="preserve">Sensitivity of Xpert for TB </w:t>
            </w:r>
          </w:p>
        </w:tc>
        <w:tc>
          <w:tcPr>
            <w:tcW w:w="3510" w:type="dxa"/>
            <w:vAlign w:val="center"/>
          </w:tcPr>
          <w:p w14:paraId="54290F91" w14:textId="1F9097A9" w:rsidR="00C77224" w:rsidRPr="00D93D2D" w:rsidRDefault="0016448B"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 xml:space="preserve">1.00 </w:t>
            </w:r>
            <w:r w:rsidR="00C77224" w:rsidRPr="00D93D2D">
              <w:rPr>
                <w:rFonts w:cstheme="minorHAnsi"/>
                <w:szCs w:val="20"/>
              </w:rPr>
              <w:t>(smear-positive)</w:t>
            </w:r>
          </w:p>
          <w:p w14:paraId="464718C0" w14:textId="6AC6D1F3" w:rsidR="00C77224" w:rsidRPr="00D93D2D" w:rsidRDefault="0016448B"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w:t>
            </w:r>
            <w:r w:rsidR="00C77224" w:rsidRPr="00D93D2D">
              <w:rPr>
                <w:rFonts w:cstheme="minorHAnsi"/>
                <w:szCs w:val="20"/>
              </w:rPr>
              <w:t>6</w:t>
            </w:r>
            <w:r w:rsidRPr="00D93D2D">
              <w:rPr>
                <w:rFonts w:cstheme="minorHAnsi"/>
                <w:szCs w:val="20"/>
              </w:rPr>
              <w:t xml:space="preserve">7 </w:t>
            </w:r>
            <w:r w:rsidR="00C77224" w:rsidRPr="00D93D2D">
              <w:rPr>
                <w:rFonts w:cstheme="minorHAnsi"/>
                <w:szCs w:val="20"/>
              </w:rPr>
              <w:t>(smear-negative)</w:t>
            </w:r>
          </w:p>
        </w:tc>
        <w:tc>
          <w:tcPr>
            <w:tcW w:w="1800" w:type="dxa"/>
            <w:vMerge w:val="restart"/>
            <w:vAlign w:val="center"/>
          </w:tcPr>
          <w:p w14:paraId="308D46E2" w14:textId="5AA7CE7D" w:rsidR="00C77224" w:rsidRPr="00D93D2D" w:rsidRDefault="00F17AE8"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fldChar w:fldCharType="begin" w:fldLock="1"/>
            </w:r>
            <w:r w:rsidR="009A35D4">
              <w:rPr>
                <w:rFonts w:cstheme="minorHAnsi"/>
                <w:szCs w:val="20"/>
              </w:rPr>
              <w:instrText>ADDIN CSL_CITATION {"citationItems":[{"id":"ITEM-1","itemData":{"DOI":"10.1002/14651858.CD009593.pub3.Copyright","author":[{"dropping-particle":"","family":"Steingart","given":"K.R.","non-dropping-particle":"","parse-names":false,"suffix":""},{"dropping-particle":"","family":"Schiller","given":"Ian","non-dropping-particle":"","parse-names":false,"suffix":""},{"dropping-particle":"","family":"Horne","given":"D.J.","non-dropping-particle":"","parse-names":false,"suffix":""},{"dropping-particle":"","family":"Pai","given":"Madhukar","non-dropping-particle":"","parse-names":false,"suffix":""},{"dropping-particle":"","family":"Boehme","given":"C.C.","non-dropping-particle":"","parse-names":false,"suffix":""},{"dropping-particle":"","family":"Dendukuri","given":"Nandini","non-dropping-particle":"","parse-names":false,"suffix":""}],"container-title":"The Cochrane Library","id":"ITEM-1","issue":"1","issued":{"date-parts":[["2014"]]},"title":"Xpert ® MTB / RIF assay for pulmonary tuberculosis and rifampicin resistance in adults ( Review ) Xpert ® MTB / RIF assay for pulmonary tuberculosis and rifampicin resistance in adults","type":"article-journal"},"uris":["http://www.mendeley.com/documents/?uuid=b30be55f-1f18-4535-be4a-b41c1ddfd53c"]}],"mendeley":{"formattedCitation":"[24]","plainTextFormattedCitation":"[24]","previouslyFormattedCitation":"[24]"},"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Cs w:val="20"/>
              </w:rPr>
              <w:t>[24]</w:t>
            </w:r>
            <w:r w:rsidRPr="00D93D2D">
              <w:rPr>
                <w:rFonts w:cstheme="minorHAnsi"/>
                <w:szCs w:val="20"/>
              </w:rPr>
              <w:fldChar w:fldCharType="end"/>
            </w:r>
          </w:p>
        </w:tc>
      </w:tr>
      <w:tr w:rsidR="00C77224" w:rsidRPr="00D93D2D" w14:paraId="6B16A7A9"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0BCB8FD1" w14:textId="77777777" w:rsidR="00C77224" w:rsidRPr="00D93D2D" w:rsidRDefault="00C77224" w:rsidP="00A81093">
            <w:pPr>
              <w:pStyle w:val="NoSpacing"/>
              <w:jc w:val="left"/>
              <w:rPr>
                <w:rFonts w:cstheme="minorHAnsi"/>
                <w:b w:val="0"/>
                <w:bCs w:val="0"/>
                <w:szCs w:val="20"/>
              </w:rPr>
            </w:pPr>
            <w:r w:rsidRPr="00D93D2D">
              <w:rPr>
                <w:rFonts w:cstheme="minorHAnsi"/>
                <w:b w:val="0"/>
                <w:bCs w:val="0"/>
                <w:szCs w:val="20"/>
              </w:rPr>
              <w:t>Sensitivity of Xpert for rifampin resistance</w:t>
            </w:r>
          </w:p>
        </w:tc>
        <w:tc>
          <w:tcPr>
            <w:tcW w:w="3510" w:type="dxa"/>
            <w:vAlign w:val="center"/>
          </w:tcPr>
          <w:p w14:paraId="1B590C56" w14:textId="3FC82749" w:rsidR="00C77224" w:rsidRPr="00D93D2D" w:rsidRDefault="0016448B"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0.</w:t>
            </w:r>
            <w:r w:rsidR="00C77224" w:rsidRPr="00D93D2D">
              <w:rPr>
                <w:rFonts w:cstheme="minorHAnsi"/>
                <w:szCs w:val="20"/>
              </w:rPr>
              <w:t>95</w:t>
            </w:r>
          </w:p>
        </w:tc>
        <w:tc>
          <w:tcPr>
            <w:tcW w:w="1800" w:type="dxa"/>
            <w:vMerge/>
            <w:vAlign w:val="center"/>
          </w:tcPr>
          <w:p w14:paraId="423AF6B0" w14:textId="67886968" w:rsidR="00C77224" w:rsidRPr="00D93D2D" w:rsidRDefault="00C77224"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C77224" w:rsidRPr="00D93D2D" w14:paraId="02F6772D"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5F2AE38C" w14:textId="77777777" w:rsidR="00C77224" w:rsidRPr="00D93D2D" w:rsidRDefault="00C77224" w:rsidP="00A81093">
            <w:pPr>
              <w:pStyle w:val="NoSpacing"/>
              <w:jc w:val="left"/>
              <w:rPr>
                <w:rFonts w:cstheme="minorHAnsi"/>
                <w:b w:val="0"/>
                <w:bCs w:val="0"/>
                <w:szCs w:val="20"/>
              </w:rPr>
            </w:pPr>
            <w:r w:rsidRPr="00D93D2D">
              <w:rPr>
                <w:rFonts w:cstheme="minorHAnsi"/>
                <w:b w:val="0"/>
                <w:bCs w:val="0"/>
                <w:szCs w:val="20"/>
              </w:rPr>
              <w:t xml:space="preserve">Specificity of Xpert </w:t>
            </w:r>
          </w:p>
        </w:tc>
        <w:tc>
          <w:tcPr>
            <w:tcW w:w="3510" w:type="dxa"/>
            <w:vAlign w:val="center"/>
          </w:tcPr>
          <w:p w14:paraId="0B685418" w14:textId="1EB50B2A" w:rsidR="00C77224" w:rsidRPr="00D93D2D" w:rsidRDefault="0016448B"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w:t>
            </w:r>
            <w:r w:rsidR="00C77224" w:rsidRPr="00D93D2D">
              <w:rPr>
                <w:rFonts w:cstheme="minorHAnsi"/>
                <w:szCs w:val="20"/>
              </w:rPr>
              <w:t>99</w:t>
            </w:r>
          </w:p>
        </w:tc>
        <w:tc>
          <w:tcPr>
            <w:tcW w:w="1800" w:type="dxa"/>
            <w:vMerge/>
            <w:vAlign w:val="center"/>
          </w:tcPr>
          <w:p w14:paraId="3C6ED537" w14:textId="7C404A7B" w:rsidR="00C77224" w:rsidRPr="00D93D2D" w:rsidRDefault="00C77224"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9D79BC" w:rsidRPr="00D93D2D" w14:paraId="31FB3321"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shd w:val="clear" w:color="auto" w:fill="D0CECE" w:themeFill="background2" w:themeFillShade="E6"/>
            <w:vAlign w:val="center"/>
          </w:tcPr>
          <w:p w14:paraId="525A641C" w14:textId="77777777" w:rsidR="002C28A1" w:rsidRPr="00D93D2D" w:rsidRDefault="002C28A1" w:rsidP="00A81093">
            <w:pPr>
              <w:pStyle w:val="NoSpacing"/>
              <w:jc w:val="left"/>
              <w:rPr>
                <w:rFonts w:cstheme="minorHAnsi"/>
                <w:szCs w:val="20"/>
              </w:rPr>
            </w:pPr>
            <w:r w:rsidRPr="00D93D2D">
              <w:rPr>
                <w:rFonts w:cstheme="minorHAnsi"/>
                <w:szCs w:val="20"/>
              </w:rPr>
              <w:t xml:space="preserve">Transmission </w:t>
            </w:r>
          </w:p>
        </w:tc>
        <w:tc>
          <w:tcPr>
            <w:tcW w:w="3510" w:type="dxa"/>
            <w:shd w:val="clear" w:color="auto" w:fill="D0CECE" w:themeFill="background2" w:themeFillShade="E6"/>
            <w:vAlign w:val="center"/>
          </w:tcPr>
          <w:p w14:paraId="70BF5897" w14:textId="77777777"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1800" w:type="dxa"/>
            <w:shd w:val="clear" w:color="auto" w:fill="D0CECE" w:themeFill="background2" w:themeFillShade="E6"/>
            <w:vAlign w:val="center"/>
          </w:tcPr>
          <w:p w14:paraId="77B69190" w14:textId="77777777"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9D79BC" w:rsidRPr="00D93D2D" w14:paraId="36B7D3D8" w14:textId="77777777" w:rsidTr="008A11E8">
        <w:trPr>
          <w:trHeight w:val="475"/>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2C70106E" w14:textId="77777777" w:rsidR="002C28A1" w:rsidRPr="00D93D2D" w:rsidRDefault="002C28A1" w:rsidP="00A81093">
            <w:pPr>
              <w:pStyle w:val="NoSpacing"/>
              <w:jc w:val="left"/>
              <w:rPr>
                <w:rFonts w:cstheme="minorHAnsi"/>
                <w:b w:val="0"/>
                <w:bCs w:val="0"/>
                <w:szCs w:val="20"/>
              </w:rPr>
            </w:pPr>
            <w:r w:rsidRPr="00D93D2D">
              <w:rPr>
                <w:rFonts w:cstheme="minorHAnsi"/>
                <w:b w:val="0"/>
                <w:bCs w:val="0"/>
                <w:szCs w:val="20"/>
              </w:rPr>
              <w:t>Maximum DR-TB infectiousness (relative to DS-TB)*</w:t>
            </w:r>
          </w:p>
        </w:tc>
        <w:tc>
          <w:tcPr>
            <w:tcW w:w="3510" w:type="dxa"/>
            <w:vAlign w:val="center"/>
          </w:tcPr>
          <w:p w14:paraId="623321AD" w14:textId="44AAE89A"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w:t>
            </w:r>
            <w:r w:rsidR="00B26656" w:rsidRPr="00D93D2D">
              <w:rPr>
                <w:rFonts w:cstheme="minorHAnsi"/>
                <w:szCs w:val="20"/>
              </w:rPr>
              <w:t>9</w:t>
            </w:r>
          </w:p>
        </w:tc>
        <w:tc>
          <w:tcPr>
            <w:tcW w:w="1800" w:type="dxa"/>
            <w:vAlign w:val="center"/>
          </w:tcPr>
          <w:p w14:paraId="5E9FE242" w14:textId="72C25B62" w:rsidR="002C28A1" w:rsidRPr="00D93D2D" w:rsidRDefault="00B26656"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Calibrated to provide DR-TB incidence at baseline</w:t>
            </w:r>
          </w:p>
        </w:tc>
      </w:tr>
      <w:tr w:rsidR="009D79BC" w:rsidRPr="00D93D2D" w14:paraId="4BEE6373"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4546E574" w14:textId="3A5CF3EA" w:rsidR="002C28A1" w:rsidRPr="00D93D2D" w:rsidRDefault="002C28A1" w:rsidP="00A81093">
            <w:pPr>
              <w:pStyle w:val="NoSpacing"/>
              <w:jc w:val="left"/>
              <w:rPr>
                <w:rFonts w:cstheme="minorHAnsi"/>
                <w:b w:val="0"/>
                <w:bCs w:val="0"/>
                <w:szCs w:val="20"/>
              </w:rPr>
            </w:pPr>
            <w:r w:rsidRPr="00D93D2D">
              <w:rPr>
                <w:rFonts w:cstheme="minorHAnsi"/>
                <w:b w:val="0"/>
                <w:bCs w:val="0"/>
                <w:szCs w:val="20"/>
              </w:rPr>
              <w:lastRenderedPageBreak/>
              <w:t xml:space="preserve">Individual’s </w:t>
            </w:r>
            <w:r w:rsidR="0016448B" w:rsidRPr="00D93D2D">
              <w:rPr>
                <w:rFonts w:cstheme="minorHAnsi"/>
                <w:b w:val="0"/>
                <w:bCs w:val="0"/>
                <w:szCs w:val="20"/>
              </w:rPr>
              <w:t>risk</w:t>
            </w:r>
            <w:r w:rsidRPr="00D93D2D">
              <w:rPr>
                <w:rFonts w:cstheme="minorHAnsi"/>
                <w:b w:val="0"/>
                <w:bCs w:val="0"/>
                <w:szCs w:val="20"/>
              </w:rPr>
              <w:t xml:space="preserve"> of acquiring resistance </w:t>
            </w:r>
            <w:r w:rsidR="00B26656" w:rsidRPr="00D93D2D">
              <w:rPr>
                <w:rFonts w:cstheme="minorHAnsi"/>
                <w:b w:val="0"/>
                <w:bCs w:val="0"/>
                <w:szCs w:val="20"/>
              </w:rPr>
              <w:t>after</w:t>
            </w:r>
            <w:r w:rsidRPr="00D93D2D">
              <w:rPr>
                <w:rFonts w:cstheme="minorHAnsi"/>
                <w:b w:val="0"/>
                <w:bCs w:val="0"/>
                <w:szCs w:val="20"/>
              </w:rPr>
              <w:t xml:space="preserve"> DS-TB treatment</w:t>
            </w:r>
            <w:r w:rsidR="00B26656" w:rsidRPr="00D93D2D">
              <w:rPr>
                <w:rFonts w:cstheme="minorHAnsi"/>
                <w:b w:val="0"/>
                <w:bCs w:val="0"/>
                <w:szCs w:val="20"/>
              </w:rPr>
              <w:t xml:space="preserve"> failure (post year 1976)</w:t>
            </w:r>
          </w:p>
        </w:tc>
        <w:tc>
          <w:tcPr>
            <w:tcW w:w="3510" w:type="dxa"/>
            <w:vAlign w:val="center"/>
          </w:tcPr>
          <w:p w14:paraId="06D61FF0" w14:textId="610ECC57" w:rsidR="002C28A1" w:rsidRPr="00D93D2D" w:rsidRDefault="00B26656"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6</w:t>
            </w:r>
            <w:r w:rsidR="0016448B" w:rsidRPr="00D93D2D">
              <w:rPr>
                <w:rFonts w:cstheme="minorHAnsi"/>
                <w:szCs w:val="20"/>
              </w:rPr>
              <w:t>e-6</w:t>
            </w:r>
          </w:p>
        </w:tc>
        <w:tc>
          <w:tcPr>
            <w:tcW w:w="1800" w:type="dxa"/>
            <w:vAlign w:val="center"/>
          </w:tcPr>
          <w:p w14:paraId="5F9400C5" w14:textId="03D41879"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 xml:space="preserve">Calibrated to provide target </w:t>
            </w:r>
            <w:r w:rsidR="0016448B" w:rsidRPr="00D93D2D">
              <w:rPr>
                <w:rFonts w:cstheme="minorHAnsi"/>
                <w:szCs w:val="20"/>
              </w:rPr>
              <w:t xml:space="preserve">DR-TB </w:t>
            </w:r>
            <w:r w:rsidRPr="00D93D2D">
              <w:rPr>
                <w:rFonts w:cstheme="minorHAnsi"/>
                <w:szCs w:val="20"/>
              </w:rPr>
              <w:t xml:space="preserve">incidence </w:t>
            </w:r>
          </w:p>
        </w:tc>
      </w:tr>
      <w:tr w:rsidR="009D79BC" w:rsidRPr="00D93D2D" w14:paraId="3D5CC53C"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136A2379" w14:textId="385BD43C" w:rsidR="002C28A1" w:rsidRPr="00D93D2D" w:rsidRDefault="002C28A1" w:rsidP="00A81093">
            <w:pPr>
              <w:pStyle w:val="NoSpacing"/>
              <w:jc w:val="left"/>
              <w:rPr>
                <w:rFonts w:cstheme="minorHAnsi"/>
                <w:b w:val="0"/>
                <w:bCs w:val="0"/>
                <w:szCs w:val="20"/>
              </w:rPr>
            </w:pPr>
            <w:r w:rsidRPr="00D93D2D">
              <w:rPr>
                <w:rFonts w:cstheme="minorHAnsi"/>
                <w:b w:val="0"/>
                <w:bCs w:val="0"/>
                <w:szCs w:val="20"/>
              </w:rPr>
              <w:t>Relative</w:t>
            </w:r>
            <w:r w:rsidR="0016448B" w:rsidRPr="00D93D2D">
              <w:rPr>
                <w:rFonts w:cstheme="minorHAnsi"/>
                <w:b w:val="0"/>
                <w:bCs w:val="0"/>
                <w:szCs w:val="20"/>
              </w:rPr>
              <w:t xml:space="preserve"> TB</w:t>
            </w:r>
            <w:r w:rsidRPr="00D93D2D">
              <w:rPr>
                <w:rFonts w:cstheme="minorHAnsi"/>
                <w:b w:val="0"/>
                <w:bCs w:val="0"/>
                <w:szCs w:val="20"/>
              </w:rPr>
              <w:t xml:space="preserve"> infectiousness for those failing treatment </w:t>
            </w:r>
          </w:p>
        </w:tc>
        <w:tc>
          <w:tcPr>
            <w:tcW w:w="3510" w:type="dxa"/>
            <w:vAlign w:val="center"/>
          </w:tcPr>
          <w:p w14:paraId="69DF93A0" w14:textId="77777777"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0.5</w:t>
            </w:r>
          </w:p>
          <w:p w14:paraId="412F4395" w14:textId="77777777"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800" w:type="dxa"/>
            <w:vAlign w:val="center"/>
          </w:tcPr>
          <w:p w14:paraId="4D407888" w14:textId="2B2D2DED" w:rsidR="002C28A1" w:rsidRPr="00D93D2D" w:rsidRDefault="00B26656"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Assumption</w:t>
            </w:r>
          </w:p>
        </w:tc>
      </w:tr>
      <w:tr w:rsidR="009D79BC" w:rsidRPr="00D93D2D" w14:paraId="29FDCC22"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2B0761BE" w14:textId="77777777" w:rsidR="002C28A1" w:rsidRPr="00D93D2D" w:rsidRDefault="002C28A1" w:rsidP="00A81093">
            <w:pPr>
              <w:pStyle w:val="NoSpacing"/>
              <w:jc w:val="left"/>
              <w:rPr>
                <w:rFonts w:cstheme="minorHAnsi"/>
                <w:b w:val="0"/>
                <w:bCs w:val="0"/>
                <w:szCs w:val="20"/>
              </w:rPr>
            </w:pPr>
            <w:r w:rsidRPr="00D93D2D">
              <w:rPr>
                <w:rFonts w:cstheme="minorHAnsi"/>
                <w:b w:val="0"/>
                <w:bCs w:val="0"/>
                <w:szCs w:val="20"/>
              </w:rPr>
              <w:t>Infectiousness among children (&lt;10 years old)</w:t>
            </w:r>
          </w:p>
        </w:tc>
        <w:tc>
          <w:tcPr>
            <w:tcW w:w="3510" w:type="dxa"/>
            <w:vAlign w:val="center"/>
          </w:tcPr>
          <w:p w14:paraId="553D92C9" w14:textId="77777777" w:rsidR="002C28A1" w:rsidRPr="00D93D2D" w:rsidRDefault="002C28A1"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0</w:t>
            </w:r>
          </w:p>
        </w:tc>
        <w:tc>
          <w:tcPr>
            <w:tcW w:w="1800" w:type="dxa"/>
            <w:vAlign w:val="center"/>
          </w:tcPr>
          <w:p w14:paraId="3634FDEA" w14:textId="7AFBEE2E" w:rsidR="002C28A1" w:rsidRPr="00D93D2D" w:rsidRDefault="0016448B"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Assumption</w:t>
            </w:r>
          </w:p>
        </w:tc>
      </w:tr>
      <w:tr w:rsidR="009D79BC" w:rsidRPr="00D93D2D" w14:paraId="1DB3EADB"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088CEAD4" w14:textId="643BFDF0" w:rsidR="002C28A1" w:rsidRPr="00D93D2D" w:rsidRDefault="002C28A1" w:rsidP="00A81093">
            <w:pPr>
              <w:pStyle w:val="NoSpacing"/>
              <w:jc w:val="left"/>
              <w:rPr>
                <w:rFonts w:cstheme="minorHAnsi"/>
                <w:b w:val="0"/>
                <w:bCs w:val="0"/>
                <w:szCs w:val="20"/>
              </w:rPr>
            </w:pPr>
            <w:r w:rsidRPr="00D93D2D">
              <w:rPr>
                <w:rFonts w:cstheme="minorHAnsi"/>
                <w:b w:val="0"/>
                <w:bCs w:val="0"/>
                <w:szCs w:val="20"/>
              </w:rPr>
              <w:t xml:space="preserve">Reduction in reinfection </w:t>
            </w:r>
            <w:r w:rsidR="0016448B" w:rsidRPr="00D93D2D">
              <w:rPr>
                <w:rFonts w:cstheme="minorHAnsi"/>
                <w:b w:val="0"/>
                <w:bCs w:val="0"/>
                <w:szCs w:val="20"/>
              </w:rPr>
              <w:t>risk</w:t>
            </w:r>
            <w:r w:rsidRPr="00D93D2D">
              <w:rPr>
                <w:rFonts w:cstheme="minorHAnsi"/>
                <w:b w:val="0"/>
                <w:bCs w:val="0"/>
                <w:szCs w:val="20"/>
              </w:rPr>
              <w:t xml:space="preserve"> if latently infected</w:t>
            </w:r>
          </w:p>
        </w:tc>
        <w:tc>
          <w:tcPr>
            <w:tcW w:w="3510" w:type="dxa"/>
            <w:vAlign w:val="center"/>
          </w:tcPr>
          <w:p w14:paraId="21197C84" w14:textId="77777777" w:rsidR="002C28A1" w:rsidRPr="00D93D2D" w:rsidRDefault="002C28A1"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0.5</w:t>
            </w:r>
          </w:p>
        </w:tc>
        <w:tc>
          <w:tcPr>
            <w:tcW w:w="1800" w:type="dxa"/>
            <w:vAlign w:val="center"/>
          </w:tcPr>
          <w:p w14:paraId="69CAA1F4" w14:textId="4F4245BC" w:rsidR="002C28A1" w:rsidRPr="00D93D2D" w:rsidRDefault="00F17AE8"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 w:val="22"/>
                <w:szCs w:val="20"/>
              </w:rPr>
            </w:pPr>
            <w:r w:rsidRPr="00D93D2D">
              <w:rPr>
                <w:rFonts w:cstheme="minorHAnsi"/>
                <w:szCs w:val="20"/>
              </w:rPr>
              <w:fldChar w:fldCharType="begin" w:fldLock="1"/>
            </w:r>
            <w:r w:rsidR="009A35D4">
              <w:rPr>
                <w:rFonts w:cstheme="minorHAnsi"/>
                <w:sz w:val="22"/>
                <w:szCs w:val="20"/>
              </w:rPr>
              <w:instrText>ADDIN CSL_CITATION {"citationItems":[{"id":"ITEM-1","itemData":{"DOI":"10.1093/cid/cir951","ISSN":"10584838","abstract":"BACKGROUND: The risk of progression to active tuberculosis is greatest in the several years following initial infection. The extent to which latent tuberculosis infection reduces the risk of progressive disease following reexposure and reinfection is not known. Indirect estimates from population models have been highly variable.\\n\\nMETHODS: We reviewed prospective cohort studies of persons exposed to individuals with infectious tuberculosis that were published prior to the widespread treatment of latent tuberculosis to estimate the incidence of tuberculosis among individuals with latent tuberculosis infection (LTBI group) and without latent tuberculosis (uninfected; UI group). We calculated the incidence rate ratio (IRR) of tuberculosis disease following infection between these 2 groups. We then adjusted incidence for expected reactivation, proportion of each group that was infected, and median time of observation following infection during the study.\\n\\nRESULTS: We identified 18 publications reporting tuberculosis incidence among 23 paired cohorts of individuals with and without latent infection (total N = 19 886). The weighted mean adjusted incidence rate of tuberculosis in the LTBI and UI groups attributable to reinfection was 13.5 per 1000 person-years (95% confidence interval [CI]: 5.0-26.2 per 1000 person-years) and that attributable to primary infection was 60.1 per 1000 person-years (95% CI: 38.6-87.4 per 1000 person-years). The adjusted IRR for tuberculosis in the LTBI group compared with the UI group was 0.21 (95% CI: .14-.30).\\n\\nCONCLUSIONS: Individuals with latent tuberculosis had 79% lower risk of progressive tuberculosis after reinfection than uninfected individuals. The risk reduction estimated in this study is greater than most previous estimates made through population models.","author":[{"dropping-particle":"","family":"Andrews","given":"Jason R.","non-dropping-particle":"","parse-names":false,"suffix":""},{"dropping-particle":"","family":"Noubary","given":"Farzad","non-dropping-particle":"","parse-names":false,"suffix":""},{"dropping-particle":"","family":"Walensky","given":"Rochelle P.","non-dropping-particle":"","parse-names":false,"suffix":""},{"dropping-particle":"","family":"Cerda","given":"Rodrigo","non-dropping-particle":"","parse-names":false,"suffix":""},{"dropping-particle":"","family":"Losina","given":"Elena","non-dropping-particle":"","parse-names":false,"suffix":""},{"dropping-particle":"","family":"Horsburgh","given":"C. Robert","non-dropping-particle":"","parse-names":false,"suffix":""}],"container-title":"Clinical Infectious Diseases","id":"ITEM-1","issue":"6","issued":{"date-parts":[["2012"]]},"page":"784-791","title":"Risk of progression to active tuberculosis following reinfection with Mycobacterium tuberculosis","type":"article-journal","volume":"54"},"uris":["http://www.mendeley.com/documents/?uuid=4d2a9605-7ff6-4f49-b4a8-fdc75e028b8d"]},{"id":"ITEM-2","itemData":{"DOI":"10.1016/S0041-3879(82)80013-5","ISSN":"00413879","author":[{"dropping-particle":"","family":"Sutherland","given":"Ian","non-dropping-particle":"","parse-names":false,"suffix":""},{"dropping-particle":"","family":"Švandová","given":"Eva","non-dropping-particle":"","parse-names":false,"suffix":""},{"dropping-particle":"","family":"Radhakrishna","given":"S.","non-dropping-particle":"","parse-names":false,"suffix":""}],"container-title":"Tubercle","id":"ITEM-2","issue":"4","issued":{"date-parts":[["1982","12"]]},"page":"255-268","title":"The development of clinical tuberculosis following infection with tubercle bacilli","type":"article-journal","volume":"63"},"uris":["http://www.mendeley.com/documents/?uuid=f03a46b6-26e6-4374-95ca-f7a3e2ee5536"]}],"mendeley":{"formattedCitation":"[25, 26]","plainTextFormattedCitation":"[25, 26]","previouslyFormattedCitation":"[25, 26]"},"properties":{"noteIndex":0},"schema":"https://github.com/citation-style-language/schema/raw/master/csl-citation.json"}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 w:val="22"/>
                <w:szCs w:val="20"/>
              </w:rPr>
              <w:t>[25, 26]</w:t>
            </w:r>
            <w:r w:rsidRPr="00D93D2D">
              <w:rPr>
                <w:rFonts w:cstheme="minorHAnsi"/>
                <w:szCs w:val="20"/>
              </w:rPr>
              <w:fldChar w:fldCharType="end"/>
            </w:r>
          </w:p>
        </w:tc>
      </w:tr>
      <w:tr w:rsidR="008A11E8" w:rsidRPr="00D93D2D" w14:paraId="6A796057"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shd w:val="clear" w:color="auto" w:fill="D0CECE" w:themeFill="background2" w:themeFillShade="E6"/>
            <w:vAlign w:val="center"/>
          </w:tcPr>
          <w:p w14:paraId="3BA5B305" w14:textId="39F4E6E1" w:rsidR="008A11E8" w:rsidRPr="00D93D2D" w:rsidRDefault="008A11E8" w:rsidP="00A81093">
            <w:pPr>
              <w:pStyle w:val="NoSpacing"/>
              <w:rPr>
                <w:rFonts w:cstheme="minorHAnsi"/>
                <w:szCs w:val="20"/>
              </w:rPr>
            </w:pPr>
            <w:r w:rsidRPr="00D93D2D">
              <w:rPr>
                <w:rFonts w:cstheme="minorHAnsi"/>
                <w:szCs w:val="20"/>
              </w:rPr>
              <w:t>Calibration targets</w:t>
            </w:r>
          </w:p>
        </w:tc>
        <w:tc>
          <w:tcPr>
            <w:tcW w:w="3510" w:type="dxa"/>
            <w:shd w:val="clear" w:color="auto" w:fill="D0CECE" w:themeFill="background2" w:themeFillShade="E6"/>
            <w:vAlign w:val="center"/>
          </w:tcPr>
          <w:p w14:paraId="5ED1A0F4" w14:textId="7CA1E5A4" w:rsidR="008A11E8" w:rsidRPr="00D93D2D" w:rsidRDefault="008A11E8" w:rsidP="008A11E8">
            <w:pPr>
              <w:pStyle w:val="NoSpacing"/>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D93D2D">
              <w:rPr>
                <w:rFonts w:cstheme="minorHAnsi"/>
                <w:b/>
                <w:bCs/>
                <w:szCs w:val="20"/>
              </w:rPr>
              <w:t>Mean [lower-upper range]</w:t>
            </w:r>
          </w:p>
        </w:tc>
        <w:tc>
          <w:tcPr>
            <w:tcW w:w="1800" w:type="dxa"/>
            <w:shd w:val="clear" w:color="auto" w:fill="D0CECE" w:themeFill="background2" w:themeFillShade="E6"/>
            <w:vAlign w:val="center"/>
          </w:tcPr>
          <w:p w14:paraId="2B189E30" w14:textId="77777777" w:rsidR="008A11E8" w:rsidRPr="00D93D2D" w:rsidRDefault="008A11E8" w:rsidP="00A81093">
            <w:pPr>
              <w:pStyle w:val="NoSpacing"/>
              <w:cnfStyle w:val="000000100000" w:firstRow="0" w:lastRow="0" w:firstColumn="0" w:lastColumn="0" w:oddVBand="0" w:evenVBand="0" w:oddHBand="1" w:evenHBand="0" w:firstRowFirstColumn="0" w:firstRowLastColumn="0" w:lastRowFirstColumn="0" w:lastRowLastColumn="0"/>
              <w:rPr>
                <w:rFonts w:cstheme="minorHAnsi"/>
                <w:b/>
                <w:bCs/>
                <w:sz w:val="22"/>
                <w:szCs w:val="20"/>
              </w:rPr>
            </w:pPr>
          </w:p>
        </w:tc>
      </w:tr>
      <w:tr w:rsidR="00C77224" w:rsidRPr="00D93D2D" w14:paraId="23717030"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5565849D" w14:textId="0E7D5646" w:rsidR="00C77224" w:rsidRPr="00D93D2D" w:rsidRDefault="00C77224" w:rsidP="00A81093">
            <w:pPr>
              <w:pStyle w:val="NoSpacing"/>
              <w:jc w:val="left"/>
              <w:rPr>
                <w:rFonts w:cstheme="minorHAnsi"/>
                <w:b w:val="0"/>
                <w:bCs w:val="0"/>
                <w:szCs w:val="20"/>
              </w:rPr>
            </w:pPr>
            <w:r w:rsidRPr="00D93D2D">
              <w:rPr>
                <w:rFonts w:cstheme="minorHAnsi"/>
                <w:b w:val="0"/>
                <w:bCs w:val="0"/>
                <w:szCs w:val="20"/>
              </w:rPr>
              <w:t xml:space="preserve">DS-TB incidence </w:t>
            </w:r>
          </w:p>
        </w:tc>
        <w:tc>
          <w:tcPr>
            <w:tcW w:w="3510" w:type="dxa"/>
            <w:vAlign w:val="center"/>
          </w:tcPr>
          <w:p w14:paraId="329D4FC8" w14:textId="2864CD47" w:rsidR="00C77224" w:rsidRPr="00D93D2D" w:rsidRDefault="00C77224"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211 [109 – 345] per 100,000 people</w:t>
            </w:r>
          </w:p>
        </w:tc>
        <w:tc>
          <w:tcPr>
            <w:tcW w:w="1800" w:type="dxa"/>
            <w:vMerge w:val="restart"/>
            <w:vAlign w:val="center"/>
          </w:tcPr>
          <w:p w14:paraId="580A6FD7" w14:textId="258C7296" w:rsidR="00C77224" w:rsidRPr="00D93D2D" w:rsidRDefault="00F17AE8"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 w:val="22"/>
                <w:szCs w:val="20"/>
              </w:rPr>
            </w:pPr>
            <w:r w:rsidRPr="00D93D2D">
              <w:rPr>
                <w:rFonts w:cstheme="minorHAnsi"/>
                <w:szCs w:val="20"/>
              </w:rPr>
              <w:fldChar w:fldCharType="begin" w:fldLock="1"/>
            </w:r>
            <w:r w:rsidR="009A35D4">
              <w:rPr>
                <w:rFonts w:cstheme="minorHAnsi"/>
                <w:sz w:val="22"/>
                <w:szCs w:val="20"/>
              </w:rPr>
              <w:instrText>ADDIN CSL_CITATION {"citationItems":[{"id":"ITEM-1","itemData":{"ISBN":"9789241565646","author":[{"dropping-particle":"","family":"World Health Organization","given":"","non-dropping-particle":"","parse-names":false,"suffix":""}],"id":"ITEM-1","issued":{"date-parts":[["2018"]]},"title":"Global Tuberculosis Report 2018","type":"book"},"uris":["http://www.mendeley.com/documents/?uuid=4d9312c3-894d-4606-8884-046297b58fd4"]}],"mendeley":{"formattedCitation":"[13]","plainTextFormattedCitation":"[13]","previouslyFormattedCitation":"[13]"},"properties":{"noteIndex":0},"schema":"https://github.com/citation-style-language/schema/raw/master/csl-citation.json"}</w:instrText>
            </w:r>
            <w:r w:rsidRPr="00D93D2D">
              <w:rPr>
                <w:rFonts w:cstheme="minorHAnsi"/>
                <w:szCs w:val="20"/>
              </w:rPr>
              <w:fldChar w:fldCharType="separate"/>
            </w:r>
            <w:r w:rsidR="009A35D4" w:rsidRPr="009A35D4">
              <w:rPr>
                <w:rFonts w:cstheme="minorHAnsi"/>
                <w:noProof/>
                <w:sz w:val="22"/>
                <w:szCs w:val="20"/>
              </w:rPr>
              <w:t>[13]</w:t>
            </w:r>
            <w:r w:rsidRPr="00D93D2D">
              <w:rPr>
                <w:rFonts w:cstheme="minorHAnsi"/>
                <w:szCs w:val="20"/>
              </w:rPr>
              <w:fldChar w:fldCharType="end"/>
            </w:r>
          </w:p>
        </w:tc>
      </w:tr>
      <w:tr w:rsidR="00C77224" w:rsidRPr="00D93D2D" w14:paraId="769375CB"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5903479E" w14:textId="0140506D" w:rsidR="00C77224" w:rsidRPr="00D93D2D" w:rsidRDefault="00C77224" w:rsidP="00A81093">
            <w:pPr>
              <w:pStyle w:val="NoSpacing"/>
              <w:jc w:val="left"/>
              <w:rPr>
                <w:rFonts w:cstheme="minorHAnsi"/>
                <w:b w:val="0"/>
                <w:bCs w:val="0"/>
                <w:szCs w:val="20"/>
              </w:rPr>
            </w:pPr>
            <w:r w:rsidRPr="00D93D2D">
              <w:rPr>
                <w:rFonts w:cstheme="minorHAnsi"/>
                <w:b w:val="0"/>
                <w:bCs w:val="0"/>
                <w:szCs w:val="20"/>
              </w:rPr>
              <w:t>DS-TB mortality</w:t>
            </w:r>
          </w:p>
        </w:tc>
        <w:tc>
          <w:tcPr>
            <w:tcW w:w="3510" w:type="dxa"/>
            <w:vAlign w:val="center"/>
          </w:tcPr>
          <w:p w14:paraId="6DDF5502" w14:textId="5DDA4370" w:rsidR="00C77224" w:rsidRPr="00D93D2D" w:rsidRDefault="00C77224"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32 [24 – 40] per 100,000 people</w:t>
            </w:r>
          </w:p>
        </w:tc>
        <w:tc>
          <w:tcPr>
            <w:tcW w:w="1800" w:type="dxa"/>
            <w:vMerge/>
            <w:vAlign w:val="center"/>
          </w:tcPr>
          <w:p w14:paraId="2BCD1B0C" w14:textId="77777777" w:rsidR="00C77224" w:rsidRPr="00D93D2D" w:rsidRDefault="00C77224"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C77224" w:rsidRPr="00D93D2D" w14:paraId="3143DEAE"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5C521111" w14:textId="5C6C68B2" w:rsidR="00C77224" w:rsidRPr="00D93D2D" w:rsidRDefault="00C77224" w:rsidP="00A81093">
            <w:pPr>
              <w:pStyle w:val="NoSpacing"/>
              <w:jc w:val="left"/>
              <w:rPr>
                <w:rFonts w:cstheme="minorHAnsi"/>
                <w:b w:val="0"/>
                <w:bCs w:val="0"/>
                <w:szCs w:val="20"/>
              </w:rPr>
            </w:pPr>
            <w:r w:rsidRPr="00D93D2D">
              <w:rPr>
                <w:rFonts w:cstheme="minorHAnsi"/>
                <w:b w:val="0"/>
                <w:bCs w:val="0"/>
                <w:szCs w:val="20"/>
              </w:rPr>
              <w:t>DR-TB incidence</w:t>
            </w:r>
          </w:p>
        </w:tc>
        <w:tc>
          <w:tcPr>
            <w:tcW w:w="3510" w:type="dxa"/>
            <w:vAlign w:val="center"/>
          </w:tcPr>
          <w:p w14:paraId="5365A0F3" w14:textId="360F8F77" w:rsidR="00C77224" w:rsidRPr="00D93D2D" w:rsidRDefault="00C77224"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11 [7.2 – 15] per 100,000 people</w:t>
            </w:r>
          </w:p>
        </w:tc>
        <w:tc>
          <w:tcPr>
            <w:tcW w:w="1800" w:type="dxa"/>
            <w:vMerge/>
            <w:vAlign w:val="center"/>
          </w:tcPr>
          <w:p w14:paraId="7CDC7A11" w14:textId="77777777" w:rsidR="00C77224" w:rsidRPr="00D93D2D" w:rsidRDefault="00C77224"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77224" w:rsidRPr="00D93D2D" w14:paraId="36F4CE36" w14:textId="77777777" w:rsidTr="008A11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59A59091" w14:textId="04200E38" w:rsidR="00C77224" w:rsidRPr="00D93D2D" w:rsidRDefault="00C77224" w:rsidP="00A81093">
            <w:pPr>
              <w:pStyle w:val="NoSpacing"/>
              <w:jc w:val="left"/>
              <w:rPr>
                <w:rFonts w:cstheme="minorHAnsi"/>
                <w:b w:val="0"/>
                <w:bCs w:val="0"/>
                <w:szCs w:val="20"/>
              </w:rPr>
            </w:pPr>
            <w:r w:rsidRPr="00D93D2D">
              <w:rPr>
                <w:rFonts w:cstheme="minorHAnsi"/>
                <w:b w:val="0"/>
                <w:bCs w:val="0"/>
                <w:szCs w:val="20"/>
              </w:rPr>
              <w:t>Proportion of DR-TB in new patients</w:t>
            </w:r>
          </w:p>
        </w:tc>
        <w:tc>
          <w:tcPr>
            <w:tcW w:w="3510" w:type="dxa"/>
            <w:vAlign w:val="center"/>
          </w:tcPr>
          <w:p w14:paraId="3FA7F3CD" w14:textId="7FB8E30E" w:rsidR="00C77224" w:rsidRPr="00D93D2D" w:rsidRDefault="00C77224"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r w:rsidRPr="00D93D2D">
              <w:rPr>
                <w:rFonts w:cstheme="minorHAnsi"/>
                <w:szCs w:val="20"/>
              </w:rPr>
              <w:t>0.028 [0.02 – 0.035]</w:t>
            </w:r>
          </w:p>
        </w:tc>
        <w:tc>
          <w:tcPr>
            <w:tcW w:w="1800" w:type="dxa"/>
            <w:vMerge/>
            <w:vAlign w:val="center"/>
          </w:tcPr>
          <w:p w14:paraId="2940D33F" w14:textId="77777777" w:rsidR="00C77224" w:rsidRPr="00D93D2D" w:rsidRDefault="00C77224" w:rsidP="00A81093">
            <w:pPr>
              <w:pStyle w:val="NoSpacing"/>
              <w:jc w:val="left"/>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C77224" w:rsidRPr="00D93D2D" w14:paraId="1E9A3A1D" w14:textId="77777777" w:rsidTr="008A11E8">
        <w:trPr>
          <w:trHeight w:val="200"/>
        </w:trPr>
        <w:tc>
          <w:tcPr>
            <w:cnfStyle w:val="001000000000" w:firstRow="0" w:lastRow="0" w:firstColumn="1" w:lastColumn="0" w:oddVBand="0" w:evenVBand="0" w:oddHBand="0" w:evenHBand="0" w:firstRowFirstColumn="0" w:firstRowLastColumn="0" w:lastRowFirstColumn="0" w:lastRowLastColumn="0"/>
            <w:tcW w:w="3950" w:type="dxa"/>
            <w:vAlign w:val="center"/>
          </w:tcPr>
          <w:p w14:paraId="4A00B8A5" w14:textId="585EE618" w:rsidR="00C77224" w:rsidRPr="00D93D2D" w:rsidRDefault="00C77224" w:rsidP="00A81093">
            <w:pPr>
              <w:pStyle w:val="NoSpacing"/>
              <w:jc w:val="left"/>
              <w:rPr>
                <w:rFonts w:cstheme="minorHAnsi"/>
                <w:b w:val="0"/>
                <w:bCs w:val="0"/>
                <w:szCs w:val="20"/>
              </w:rPr>
            </w:pPr>
            <w:r w:rsidRPr="00D93D2D">
              <w:rPr>
                <w:rFonts w:cstheme="minorHAnsi"/>
                <w:b w:val="0"/>
                <w:bCs w:val="0"/>
                <w:szCs w:val="20"/>
              </w:rPr>
              <w:t>Proportion of DR-TB in retreated patients</w:t>
            </w:r>
          </w:p>
        </w:tc>
        <w:tc>
          <w:tcPr>
            <w:tcW w:w="3510" w:type="dxa"/>
            <w:vAlign w:val="center"/>
          </w:tcPr>
          <w:p w14:paraId="18B8748D" w14:textId="5774BD99" w:rsidR="00C77224" w:rsidRPr="00D93D2D" w:rsidRDefault="00C77224"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r w:rsidRPr="00D93D2D">
              <w:rPr>
                <w:rFonts w:cstheme="minorHAnsi"/>
                <w:szCs w:val="20"/>
              </w:rPr>
              <w:t>0.12 [0.1 – 0.14]</w:t>
            </w:r>
          </w:p>
        </w:tc>
        <w:tc>
          <w:tcPr>
            <w:tcW w:w="1800" w:type="dxa"/>
            <w:vMerge/>
            <w:vAlign w:val="center"/>
          </w:tcPr>
          <w:p w14:paraId="775BFA32" w14:textId="77777777" w:rsidR="00C77224" w:rsidRPr="00D93D2D" w:rsidRDefault="00C77224" w:rsidP="00A81093">
            <w:pPr>
              <w:pStyle w:val="NoSpacing"/>
              <w:jc w:val="left"/>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14:paraId="5345C28D" w14:textId="77777777" w:rsidR="00A06D55" w:rsidRDefault="00A06D55" w:rsidP="00084C16">
      <w:pPr>
        <w:rPr>
          <w:rFonts w:cstheme="minorHAnsi"/>
        </w:rPr>
      </w:pPr>
    </w:p>
    <w:p w14:paraId="20C2C2D5" w14:textId="6AB92F2E" w:rsidR="00A06D55" w:rsidRPr="00943476" w:rsidRDefault="00A06D55" w:rsidP="00084C16">
      <w:pPr>
        <w:rPr>
          <w:rFonts w:cstheme="minorHAnsi"/>
          <w:b/>
          <w:bCs/>
        </w:rPr>
      </w:pPr>
      <w:r w:rsidRPr="00943476">
        <w:rPr>
          <w:rFonts w:cstheme="minorHAnsi"/>
          <w:b/>
          <w:bCs/>
        </w:rPr>
        <w:t>Table S12: Summary of all simulation parameters and their values at baseline.</w:t>
      </w:r>
    </w:p>
    <w:p w14:paraId="7DE01AED" w14:textId="36456F11" w:rsidR="00BE4A37" w:rsidRPr="00D93D2D" w:rsidRDefault="003B4342" w:rsidP="00084C16">
      <w:pPr>
        <w:rPr>
          <w:rFonts w:cstheme="minorHAnsi"/>
        </w:rPr>
        <w:sectPr w:rsidR="00BE4A37" w:rsidRPr="00D93D2D" w:rsidSect="009A3C9B">
          <w:footnotePr>
            <w:numFmt w:val="chicago"/>
            <w:numStart w:val="2"/>
          </w:footnotePr>
          <w:pgSz w:w="12240" w:h="15840"/>
          <w:pgMar w:top="1440" w:right="1440" w:bottom="1440" w:left="1440" w:header="720" w:footer="720" w:gutter="0"/>
          <w:cols w:space="425"/>
          <w:docGrid w:linePitch="360"/>
        </w:sectPr>
      </w:pPr>
      <w:r w:rsidRPr="00D93D2D">
        <w:rPr>
          <w:rFonts w:cstheme="minorHAnsi"/>
        </w:rPr>
        <w:t>* Parameter is modeled as a linear function of time since active disease development, reaching a maximum threshold at 9 months since infection and staying at that level afterward.</w:t>
      </w:r>
      <w:r w:rsidR="00BE4A37" w:rsidRPr="00D93D2D">
        <w:rPr>
          <w:rFonts w:cstheme="minorHAnsi"/>
        </w:rPr>
        <w:br w:type="page"/>
      </w:r>
    </w:p>
    <w:p w14:paraId="33D1F76F" w14:textId="35BEA095" w:rsidR="00BE4A37" w:rsidRPr="00D93D2D" w:rsidRDefault="00BE4A37" w:rsidP="00060BF2">
      <w:pPr>
        <w:pStyle w:val="Heading1"/>
        <w:jc w:val="both"/>
        <w:rPr>
          <w:rFonts w:cstheme="minorHAnsi"/>
        </w:rPr>
      </w:pPr>
      <w:bookmarkStart w:id="16" w:name="_Toc12877768"/>
      <w:r w:rsidRPr="00D93D2D">
        <w:rPr>
          <w:rFonts w:cstheme="minorHAnsi"/>
        </w:rPr>
        <w:lastRenderedPageBreak/>
        <w:t>Sensitivity analysis</w:t>
      </w:r>
      <w:bookmarkEnd w:id="16"/>
      <w:r w:rsidRPr="00D93D2D">
        <w:rPr>
          <w:rFonts w:cstheme="minorHAnsi"/>
        </w:rPr>
        <w:t xml:space="preserve"> </w:t>
      </w:r>
    </w:p>
    <w:p w14:paraId="1C521AEF" w14:textId="77777777" w:rsidR="00E562B5" w:rsidRPr="00D93D2D" w:rsidRDefault="00E562B5" w:rsidP="00E562B5">
      <w:pPr>
        <w:pStyle w:val="Heading2"/>
        <w:rPr>
          <w:rFonts w:cstheme="minorHAnsi"/>
        </w:rPr>
      </w:pPr>
      <w:bookmarkStart w:id="17" w:name="_Toc12877769"/>
      <w:r w:rsidRPr="00D93D2D">
        <w:rPr>
          <w:rFonts w:cstheme="minorHAnsi"/>
        </w:rPr>
        <w:t>One-way sensitivity analyses</w:t>
      </w:r>
      <w:bookmarkEnd w:id="17"/>
      <w:r w:rsidRPr="00D93D2D">
        <w:rPr>
          <w:rFonts w:cstheme="minorHAnsi"/>
        </w:rPr>
        <w:t xml:space="preserve"> </w:t>
      </w:r>
    </w:p>
    <w:p w14:paraId="14E0001E" w14:textId="5872448D" w:rsidR="00E562B5" w:rsidRPr="00D93D2D" w:rsidRDefault="00E562B5" w:rsidP="00E562B5">
      <w:pPr>
        <w:rPr>
          <w:rFonts w:cstheme="minorHAnsi"/>
        </w:rPr>
      </w:pPr>
      <w:r w:rsidRPr="00D93D2D">
        <w:rPr>
          <w:rFonts w:cstheme="minorHAnsi"/>
        </w:rPr>
        <w:t>We performed univariate sensitivity analyses for selected epidemiological and cost-related parameters across the ranges shown in Table 1 in the main text. Figure S</w:t>
      </w:r>
      <w:r w:rsidR="00293F6B">
        <w:rPr>
          <w:rFonts w:cstheme="minorHAnsi"/>
        </w:rPr>
        <w:t>8</w:t>
      </w:r>
      <w:r w:rsidRPr="00D93D2D">
        <w:rPr>
          <w:rFonts w:cstheme="minorHAnsi"/>
        </w:rPr>
        <w:t xml:space="preserve"> summarizes the results for main outcomes.</w:t>
      </w:r>
    </w:p>
    <w:p w14:paraId="2742D26D" w14:textId="512B16C4" w:rsidR="00E562B5" w:rsidRPr="00D93D2D" w:rsidRDefault="00E562B5" w:rsidP="0093221A">
      <w:pPr>
        <w:jc w:val="both"/>
        <w:rPr>
          <w:rFonts w:cstheme="minorHAnsi"/>
          <w:b/>
          <w:bCs/>
        </w:rPr>
      </w:pPr>
      <w:r w:rsidRPr="00D93D2D">
        <w:rPr>
          <w:rFonts w:cstheme="minorHAnsi"/>
          <w:noProof/>
        </w:rPr>
        <w:drawing>
          <wp:inline distT="0" distB="0" distL="0" distR="0" wp14:anchorId="44FEF802" wp14:editId="047D3DAC">
            <wp:extent cx="5943600" cy="5403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403215"/>
                    </a:xfrm>
                    <a:prstGeom prst="rect">
                      <a:avLst/>
                    </a:prstGeom>
                  </pic:spPr>
                </pic:pic>
              </a:graphicData>
            </a:graphic>
          </wp:inline>
        </w:drawing>
      </w:r>
      <w:r w:rsidRPr="00D93D2D">
        <w:rPr>
          <w:rFonts w:cstheme="minorHAnsi"/>
          <w:b/>
          <w:bCs/>
        </w:rPr>
        <w:t xml:space="preserve"> Figure S</w:t>
      </w:r>
      <w:r w:rsidR="00293F6B">
        <w:rPr>
          <w:rFonts w:cstheme="minorHAnsi"/>
          <w:b/>
          <w:bCs/>
        </w:rPr>
        <w:t>8</w:t>
      </w:r>
      <w:r w:rsidRPr="00D93D2D">
        <w:rPr>
          <w:rFonts w:cstheme="minorHAnsi"/>
          <w:b/>
          <w:bCs/>
        </w:rPr>
        <w:t xml:space="preserve">. One-way sensitivity analysis to value of selected model parameters. </w:t>
      </w:r>
      <w:r w:rsidRPr="00D93D2D">
        <w:rPr>
          <w:rFonts w:cstheme="minorHAnsi"/>
        </w:rPr>
        <w:t>Panels show the sensitivity of epidemiological outputs (reduction in DS-TB incidence in panel A), costing outcomes (difference in costs in panel B, and DALYs averted in panel C) comparing decentralized to centralized TB testing, and the proportion of simulations that remain cost effective at a threshold of $1,000  (panel D) under one-way variation in value of selected model parameters. Each parameter value is followed by a up/down arrow, denoting an increase (</w:t>
      </w:r>
      <w:r w:rsidRPr="00D93D2D">
        <w:rPr>
          <w:rFonts w:cstheme="minorHAnsi"/>
        </w:rPr>
        <w:sym w:font="Symbol" w:char="F0AD"/>
      </w:r>
      <w:r w:rsidRPr="00D93D2D">
        <w:rPr>
          <w:rFonts w:cstheme="minorHAnsi"/>
        </w:rPr>
        <w:t>) or decrease (</w:t>
      </w:r>
      <w:r w:rsidRPr="00D93D2D">
        <w:rPr>
          <w:rFonts w:cstheme="minorHAnsi"/>
        </w:rPr>
        <w:sym w:font="Symbol" w:char="F0AF"/>
      </w:r>
      <w:r w:rsidRPr="00D93D2D">
        <w:rPr>
          <w:rFonts w:cstheme="minorHAnsi"/>
        </w:rPr>
        <w:t xml:space="preserve">) in the input parameter value as listed in Table 1. Each scenario is simulated starting in year 2018 and is followed to year 2028 under centralized and decentralized Xpert placement. The bars and arrows represent the median and interquartile ranges across </w:t>
      </w:r>
      <w:r w:rsidRPr="00D93D2D">
        <w:rPr>
          <w:rFonts w:cstheme="minorHAnsi"/>
        </w:rPr>
        <w:lastRenderedPageBreak/>
        <w:t xml:space="preserve">1000 simulations. The red mark and dashed line represent the baseline scenario with no parameter variation. </w:t>
      </w:r>
    </w:p>
    <w:p w14:paraId="2BA0E114" w14:textId="07B532F0" w:rsidR="00E23A59" w:rsidRPr="00D93D2D" w:rsidRDefault="009A3C9B" w:rsidP="00060BF2">
      <w:pPr>
        <w:pStyle w:val="Heading2"/>
        <w:jc w:val="both"/>
        <w:rPr>
          <w:rFonts w:cstheme="minorHAnsi"/>
        </w:rPr>
      </w:pPr>
      <w:bookmarkStart w:id="18" w:name="_Toc12877770"/>
      <w:r w:rsidRPr="00D93D2D">
        <w:rPr>
          <w:rFonts w:cstheme="minorHAnsi"/>
        </w:rPr>
        <w:t xml:space="preserve">Sensitivity </w:t>
      </w:r>
      <w:r w:rsidR="006C36D2">
        <w:rPr>
          <w:rFonts w:cstheme="minorHAnsi"/>
        </w:rPr>
        <w:t xml:space="preserve">and threshold </w:t>
      </w:r>
      <w:r w:rsidRPr="00D93D2D">
        <w:rPr>
          <w:rFonts w:cstheme="minorHAnsi"/>
        </w:rPr>
        <w:t xml:space="preserve">analysis to </w:t>
      </w:r>
      <w:r w:rsidR="006C36D2">
        <w:rPr>
          <w:rFonts w:cstheme="minorHAnsi"/>
        </w:rPr>
        <w:t xml:space="preserve">incremental </w:t>
      </w:r>
      <w:r w:rsidRPr="00D93D2D">
        <w:rPr>
          <w:rFonts w:cstheme="minorHAnsi"/>
        </w:rPr>
        <w:t>pre-treatment loss to follow up</w:t>
      </w:r>
      <w:r w:rsidR="006C36D2">
        <w:rPr>
          <w:rFonts w:cstheme="minorHAnsi"/>
        </w:rPr>
        <w:t xml:space="preserve"> in the centralized scenario</w:t>
      </w:r>
      <w:bookmarkEnd w:id="18"/>
    </w:p>
    <w:p w14:paraId="4A6411CF" w14:textId="5FDBDCD6" w:rsidR="009A3C9B" w:rsidRPr="00D93D2D" w:rsidRDefault="009A3C9B" w:rsidP="00060BF2">
      <w:pPr>
        <w:jc w:val="both"/>
        <w:rPr>
          <w:rFonts w:cstheme="minorHAnsi"/>
        </w:rPr>
      </w:pPr>
      <w:r w:rsidRPr="00D93D2D">
        <w:rPr>
          <w:rFonts w:cstheme="minorHAnsi"/>
        </w:rPr>
        <w:t>Additional sensitivity analysis was performed to variation in probability of the pre-treatment loss-to-follow-up in the centralized scenario</w:t>
      </w:r>
      <w:r w:rsidR="006C36D2">
        <w:rPr>
          <w:rFonts w:cstheme="minorHAnsi"/>
        </w:rPr>
        <w:t>,</w:t>
      </w:r>
      <w:r w:rsidR="00A06D55">
        <w:rPr>
          <w:rFonts w:cstheme="minorHAnsi"/>
        </w:rPr>
        <w:t xml:space="preserve"> </w:t>
      </w:r>
      <w:r w:rsidRPr="00D93D2D">
        <w:rPr>
          <w:rFonts w:cstheme="minorHAnsi"/>
        </w:rPr>
        <w:t xml:space="preserve">assumed at 0.13 in </w:t>
      </w:r>
      <w:r w:rsidR="006C36D2">
        <w:rPr>
          <w:rFonts w:cstheme="minorHAnsi"/>
        </w:rPr>
        <w:t>main</w:t>
      </w:r>
      <w:r w:rsidR="006C36D2" w:rsidRPr="00D93D2D">
        <w:rPr>
          <w:rFonts w:cstheme="minorHAnsi"/>
        </w:rPr>
        <w:t xml:space="preserve"> </w:t>
      </w:r>
      <w:r w:rsidRPr="00D93D2D">
        <w:rPr>
          <w:rFonts w:cstheme="minorHAnsi"/>
        </w:rPr>
        <w:t>analysis</w:t>
      </w:r>
      <w:r w:rsidR="006C36D2">
        <w:rPr>
          <w:rFonts w:cstheme="minorHAnsi"/>
        </w:rPr>
        <w:t xml:space="preserve"> and varied from 0% to 20% for sensitivity analysis</w:t>
      </w:r>
      <w:r w:rsidRPr="00D93D2D">
        <w:rPr>
          <w:rFonts w:cstheme="minorHAnsi"/>
        </w:rPr>
        <w:t xml:space="preserve">. For costing purposes, we assumed a decentralized scenario with </w:t>
      </w:r>
      <w:r w:rsidR="00435CB8" w:rsidRPr="00D93D2D">
        <w:rPr>
          <w:rFonts w:cstheme="minorHAnsi"/>
        </w:rPr>
        <w:t>moderate</w:t>
      </w:r>
      <w:r w:rsidRPr="00D93D2D">
        <w:rPr>
          <w:rFonts w:cstheme="minorHAnsi"/>
        </w:rPr>
        <w:t xml:space="preserve"> volume of 3 tests per day and a centralized scenario </w:t>
      </w:r>
      <w:r w:rsidR="00435CB8" w:rsidRPr="00D93D2D">
        <w:rPr>
          <w:rFonts w:cstheme="minorHAnsi"/>
        </w:rPr>
        <w:t xml:space="preserve">with </w:t>
      </w:r>
      <w:r w:rsidRPr="00D93D2D">
        <w:rPr>
          <w:rFonts w:cstheme="minorHAnsi"/>
        </w:rPr>
        <w:t>no cost sharing for sample transport (the most favorable scenario for decentralized Xpert)</w:t>
      </w:r>
      <w:r w:rsidR="006C36D2">
        <w:rPr>
          <w:rFonts w:cstheme="minorHAnsi"/>
        </w:rPr>
        <w:t xml:space="preserve"> and $1000 threshold for willingness to pay</w:t>
      </w:r>
      <w:r w:rsidRPr="00D93D2D">
        <w:rPr>
          <w:rFonts w:cstheme="minorHAnsi"/>
        </w:rPr>
        <w:t xml:space="preserve">. All results are summarized in Figure </w:t>
      </w:r>
      <w:r w:rsidR="00C77224" w:rsidRPr="00D93D2D">
        <w:rPr>
          <w:rFonts w:cstheme="minorHAnsi"/>
        </w:rPr>
        <w:t>S</w:t>
      </w:r>
      <w:r w:rsidR="00293F6B">
        <w:rPr>
          <w:rFonts w:cstheme="minorHAnsi"/>
        </w:rPr>
        <w:t>9</w:t>
      </w:r>
      <w:r w:rsidRPr="00D93D2D">
        <w:rPr>
          <w:rFonts w:cstheme="minorHAnsi"/>
        </w:rPr>
        <w:t xml:space="preserve">. Under higher levels of loss-to-follow-up in the centralized scenario, a smaller number of patients presenting to the public sector would successfully receive TB treatment, resulting in an increase in incidence of DS-TB and DR-TB when compared to a counterfactual scenario with no loss-to-follow-up (decentralized Xpert: Figure </w:t>
      </w:r>
      <w:r w:rsidR="00C77224" w:rsidRPr="00D93D2D">
        <w:rPr>
          <w:rFonts w:cstheme="minorHAnsi"/>
        </w:rPr>
        <w:t>S</w:t>
      </w:r>
      <w:r w:rsidR="00293F6B">
        <w:rPr>
          <w:rFonts w:cstheme="minorHAnsi"/>
        </w:rPr>
        <w:t>9</w:t>
      </w:r>
      <w:r w:rsidRPr="00D93D2D">
        <w:rPr>
          <w:rFonts w:cstheme="minorHAnsi"/>
        </w:rPr>
        <w:t xml:space="preserve"> Panel A&amp;B). Increase in pre-treatment loss-to-follow-up was further associated with reduction in overall cost and DALYs (Panel C &amp; D). This was further reflected in the final values of ICER, with higher proportion of simulations suggesting DXP as a cost-effective strategy at higher levels of pre-treatment loss-to-follow-up (Panel E). </w:t>
      </w:r>
    </w:p>
    <w:p w14:paraId="6E1E88FD" w14:textId="0FB26BB3" w:rsidR="009A3C9B" w:rsidRPr="00D93D2D" w:rsidRDefault="009A3C9B" w:rsidP="00060BF2">
      <w:pPr>
        <w:jc w:val="both"/>
        <w:rPr>
          <w:rFonts w:cstheme="minorHAnsi"/>
        </w:rPr>
      </w:pPr>
      <w:r w:rsidRPr="00D93D2D">
        <w:rPr>
          <w:rFonts w:cstheme="minorHAnsi"/>
        </w:rPr>
        <w:t xml:space="preserve"> </w:t>
      </w:r>
    </w:p>
    <w:p w14:paraId="000C986C" w14:textId="282D4E59" w:rsidR="0021355E" w:rsidRPr="00D93D2D" w:rsidRDefault="002B5B04" w:rsidP="00C77224">
      <w:pPr>
        <w:keepNext/>
        <w:jc w:val="center"/>
        <w:rPr>
          <w:rFonts w:cstheme="minorHAnsi"/>
        </w:rPr>
      </w:pPr>
      <w:r w:rsidRPr="00D93D2D">
        <w:rPr>
          <w:rFonts w:cstheme="minorHAnsi"/>
          <w:noProof/>
        </w:rPr>
        <w:lastRenderedPageBreak/>
        <w:drawing>
          <wp:inline distT="0" distB="0" distL="0" distR="0" wp14:anchorId="6D237130" wp14:editId="4383416D">
            <wp:extent cx="5943600" cy="7429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7E40208D" w14:textId="35E4C3CA" w:rsidR="0021355E" w:rsidRDefault="0021355E" w:rsidP="0021355E">
      <w:pPr>
        <w:pStyle w:val="Caption"/>
        <w:rPr>
          <w:rFonts w:asciiTheme="minorHAnsi" w:hAnsiTheme="minorHAnsi" w:cstheme="minorHAnsi"/>
          <w:b w:val="0"/>
          <w:bCs w:val="0"/>
        </w:rPr>
      </w:pPr>
      <w:r w:rsidRPr="00D93D2D">
        <w:rPr>
          <w:rFonts w:asciiTheme="minorHAnsi" w:hAnsiTheme="minorHAnsi" w:cstheme="minorHAnsi"/>
        </w:rPr>
        <w:t xml:space="preserve">Figure </w:t>
      </w:r>
      <w:r w:rsidR="00C77224" w:rsidRPr="00D93D2D">
        <w:rPr>
          <w:rFonts w:asciiTheme="minorHAnsi" w:hAnsiTheme="minorHAnsi" w:cstheme="minorHAnsi"/>
        </w:rPr>
        <w:t>S</w:t>
      </w:r>
      <w:r w:rsidR="00293F6B">
        <w:rPr>
          <w:rFonts w:asciiTheme="minorHAnsi" w:hAnsiTheme="minorHAnsi" w:cstheme="minorHAnsi"/>
          <w:noProof/>
        </w:rPr>
        <w:t>9</w:t>
      </w:r>
      <w:r w:rsidRPr="00D93D2D">
        <w:rPr>
          <w:rFonts w:asciiTheme="minorHAnsi" w:hAnsiTheme="minorHAnsi" w:cstheme="minorHAnsi"/>
        </w:rPr>
        <w:t xml:space="preserve">: </w:t>
      </w:r>
      <w:r w:rsidR="00435CB8" w:rsidRPr="00D93D2D">
        <w:rPr>
          <w:rFonts w:asciiTheme="minorHAnsi" w:hAnsiTheme="minorHAnsi" w:cstheme="minorHAnsi"/>
        </w:rPr>
        <w:t>O</w:t>
      </w:r>
      <w:r w:rsidRPr="00D93D2D">
        <w:rPr>
          <w:rFonts w:asciiTheme="minorHAnsi" w:hAnsiTheme="minorHAnsi" w:cstheme="minorHAnsi"/>
        </w:rPr>
        <w:t xml:space="preserve">ne-way sensitivity analysis of results to variation in probability of pre-treatment loss-to-follow-up in the centralized scenario compared to </w:t>
      </w:r>
      <w:r w:rsidR="00777917">
        <w:rPr>
          <w:rFonts w:asciiTheme="minorHAnsi" w:hAnsiTheme="minorHAnsi" w:cstheme="minorHAnsi"/>
        </w:rPr>
        <w:t>the</w:t>
      </w:r>
      <w:r w:rsidRPr="00D93D2D">
        <w:rPr>
          <w:rFonts w:asciiTheme="minorHAnsi" w:hAnsiTheme="minorHAnsi" w:cstheme="minorHAnsi"/>
        </w:rPr>
        <w:t xml:space="preserve"> decentralized scenario. </w:t>
      </w:r>
      <w:r w:rsidRPr="00D93D2D">
        <w:rPr>
          <w:rFonts w:asciiTheme="minorHAnsi" w:hAnsiTheme="minorHAnsi" w:cstheme="minorHAnsi"/>
          <w:b w:val="0"/>
          <w:bCs w:val="0"/>
        </w:rPr>
        <w:t xml:space="preserve">The values in panel A to D represent medians and arrows mark the interquartile ranges of all simulations. </w:t>
      </w:r>
      <w:r w:rsidR="00435CB8" w:rsidRPr="00D93D2D">
        <w:rPr>
          <w:rFonts w:asciiTheme="minorHAnsi" w:hAnsiTheme="minorHAnsi" w:cstheme="minorHAnsi"/>
          <w:b w:val="0"/>
          <w:bCs w:val="0"/>
        </w:rPr>
        <w:t xml:space="preserve">Panel E represents the proportion of simulations in which decentralized testing remains cost-effective relative to centralized </w:t>
      </w:r>
      <w:r w:rsidR="00435CB8" w:rsidRPr="00D93D2D">
        <w:rPr>
          <w:rFonts w:asciiTheme="minorHAnsi" w:hAnsiTheme="minorHAnsi" w:cstheme="minorHAnsi"/>
          <w:b w:val="0"/>
          <w:bCs w:val="0"/>
        </w:rPr>
        <w:lastRenderedPageBreak/>
        <w:t xml:space="preserve">testing at a </w:t>
      </w:r>
      <w:r w:rsidR="005A6E42" w:rsidRPr="00D93D2D">
        <w:rPr>
          <w:rFonts w:asciiTheme="minorHAnsi" w:hAnsiTheme="minorHAnsi" w:cstheme="minorHAnsi"/>
          <w:b w:val="0"/>
          <w:bCs w:val="0"/>
        </w:rPr>
        <w:t>cost-effectiveness threshold of $1,000 per DALY averted</w:t>
      </w:r>
      <w:r w:rsidR="00435CB8" w:rsidRPr="00D93D2D">
        <w:rPr>
          <w:rFonts w:asciiTheme="minorHAnsi" w:hAnsiTheme="minorHAnsi" w:cstheme="minorHAnsi"/>
          <w:b w:val="0"/>
          <w:bCs w:val="0"/>
        </w:rPr>
        <w:t xml:space="preserve">. CXP, centralized Xpert testing; DXP, decentralized Xpert testing. </w:t>
      </w:r>
    </w:p>
    <w:p w14:paraId="2107D795" w14:textId="2437EFB5" w:rsidR="006C36D2" w:rsidRDefault="00783E79" w:rsidP="00C759F1">
      <w:r>
        <w:t xml:space="preserve">To further characterize the role of this parameter at different costing scenarios, we summarized the results in a threshold analysis format. </w:t>
      </w:r>
      <w:r w:rsidR="00AE6295">
        <w:t xml:space="preserve">Table </w:t>
      </w:r>
      <w:r>
        <w:t>S13</w:t>
      </w:r>
      <w:r w:rsidR="00AE6295">
        <w:t xml:space="preserve"> </w:t>
      </w:r>
      <w:r>
        <w:t>shows</w:t>
      </w:r>
      <w:r w:rsidR="00AE6295">
        <w:t xml:space="preserve"> the threshold </w:t>
      </w:r>
      <w:r>
        <w:t>values</w:t>
      </w:r>
      <w:r w:rsidR="00777917">
        <w:t xml:space="preserve"> (to the nearest 5%)</w:t>
      </w:r>
      <w:r w:rsidR="00AE6295">
        <w:t xml:space="preserve"> for the </w:t>
      </w:r>
      <w:r>
        <w:t>incremental</w:t>
      </w:r>
      <w:r w:rsidR="00AE6295">
        <w:t xml:space="preserve"> loss to follow-up in the centralized scenario at which 50% of simulation</w:t>
      </w:r>
      <w:r w:rsidR="00777917">
        <w:t>s</w:t>
      </w:r>
      <w:r w:rsidR="00AE6295">
        <w:t xml:space="preserve"> </w:t>
      </w:r>
      <w:r w:rsidR="00777917">
        <w:t>fall below the cost-effectiveness threshold,</w:t>
      </w:r>
      <w:r>
        <w:t xml:space="preserve"> at</w:t>
      </w:r>
      <w:r w:rsidR="00AE6295">
        <w:t xml:space="preserve"> various willingness to pa</w:t>
      </w:r>
      <w:r>
        <w:t>y</w:t>
      </w:r>
      <w:r w:rsidR="00AE6295">
        <w:t xml:space="preserve"> thresholds (rows) and various </w:t>
      </w:r>
      <w:r>
        <w:t xml:space="preserve">costing </w:t>
      </w:r>
      <w:r w:rsidR="00AE6295">
        <w:t>scenario</w:t>
      </w:r>
      <w:r>
        <w:t>s</w:t>
      </w:r>
      <w:r w:rsidR="00AE6295">
        <w:t xml:space="preserve"> (columns). </w:t>
      </w:r>
      <w:r w:rsidR="00777917">
        <w:t xml:space="preserve">This table illustrates that, when no cost sharing of specimen transport network costs is possible and decentralized testing can be performed at a volume of 3 tests per day, decentralized testing </w:t>
      </w:r>
      <w:r w:rsidR="00DD3A01">
        <w:t>is projected to be cost-effective in &gt;50% of simulations, regardless of the cost-effectiveness threshold. By contrast, if decentralized testing can only be performed at a volume of 0.3 tests per day and the cost-effectiveness threshold is $1,000 per DALY averted or lower, decentralized testing is unlikely to be considered cost-effective under any scenario of incremental loss to follow-up. Cost-effectiveness assessments are most dependent on incremental loss to follow-up in the setting where decentralized testing can be performed at 3 tests per day, but specimen transport costs can be shared in the centralized testing scenario. In this case, at a cost-effectiveness threshold of $500 per DALY averted, decentralized testing was only deemed cost-effective (in 50% of simulations) if incremental loss to follow-up was 20% or higher in the centralized scenario. However, at a cost-effectiveness threshold of $2000 per DALY averted, decentralized testing would be deemed cost-effective if incremental loss to follow-up was only 5% or higher.</w:t>
      </w:r>
    </w:p>
    <w:p w14:paraId="6078AF48" w14:textId="0827C7D3" w:rsidR="00AE6295" w:rsidRDefault="00AE6295" w:rsidP="00C759F1"/>
    <w:tbl>
      <w:tblPr>
        <w:tblStyle w:val="ListTable3"/>
        <w:tblW w:w="9316" w:type="dxa"/>
        <w:tblLayout w:type="fixed"/>
        <w:tblLook w:val="04A0" w:firstRow="1" w:lastRow="0" w:firstColumn="1" w:lastColumn="0" w:noHBand="0" w:noVBand="1"/>
      </w:tblPr>
      <w:tblGrid>
        <w:gridCol w:w="1318"/>
        <w:gridCol w:w="2057"/>
        <w:gridCol w:w="1897"/>
        <w:gridCol w:w="2041"/>
        <w:gridCol w:w="20"/>
        <w:gridCol w:w="1983"/>
      </w:tblGrid>
      <w:tr w:rsidR="00AE6295" w:rsidRPr="009A35D4" w14:paraId="796EC43F" w14:textId="77777777" w:rsidTr="009A35D4">
        <w:trPr>
          <w:cnfStyle w:val="100000000000" w:firstRow="1" w:lastRow="0" w:firstColumn="0" w:lastColumn="0" w:oddVBand="0" w:evenVBand="0" w:oddHBand="0" w:evenHBand="0" w:firstRowFirstColumn="0" w:firstRowLastColumn="0" w:lastRowFirstColumn="0" w:lastRowLastColumn="0"/>
          <w:trHeight w:val="743"/>
        </w:trPr>
        <w:tc>
          <w:tcPr>
            <w:cnfStyle w:val="001000000100" w:firstRow="0" w:lastRow="0" w:firstColumn="1" w:lastColumn="0" w:oddVBand="0" w:evenVBand="0" w:oddHBand="0" w:evenHBand="0" w:firstRowFirstColumn="1" w:firstRowLastColumn="0" w:lastRowFirstColumn="0" w:lastRowLastColumn="0"/>
            <w:tcW w:w="1318" w:type="dxa"/>
            <w:noWrap/>
            <w:hideMark/>
          </w:tcPr>
          <w:p w14:paraId="10E94CE1" w14:textId="77777777" w:rsidR="00AE6295" w:rsidRPr="009A35D4" w:rsidRDefault="00AE6295" w:rsidP="006804F9">
            <w:pPr>
              <w:rPr>
                <w:rFonts w:ascii="Times New Roman" w:eastAsia="Times New Roman" w:hAnsi="Times New Roman" w:cs="Times New Roman"/>
                <w:sz w:val="18"/>
                <w:szCs w:val="18"/>
              </w:rPr>
            </w:pPr>
          </w:p>
        </w:tc>
        <w:tc>
          <w:tcPr>
            <w:tcW w:w="2057" w:type="dxa"/>
            <w:hideMark/>
          </w:tcPr>
          <w:p w14:paraId="6137008B" w14:textId="21CDCB20" w:rsidR="00AE6295" w:rsidRPr="009A35D4" w:rsidRDefault="00AE6295" w:rsidP="006804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9A35D4">
              <w:rPr>
                <w:rFonts w:ascii="Calibri" w:eastAsia="Times New Roman" w:hAnsi="Calibri" w:cs="Calibri"/>
                <w:color w:val="auto"/>
                <w:sz w:val="18"/>
                <w:szCs w:val="18"/>
              </w:rPr>
              <w:t xml:space="preserve">Centralized specimen transport with </w:t>
            </w:r>
            <w:r w:rsidR="00783E79" w:rsidRPr="009A35D4">
              <w:rPr>
                <w:rFonts w:ascii="Calibri" w:eastAsia="Times New Roman" w:hAnsi="Calibri" w:cs="Calibri"/>
                <w:sz w:val="18"/>
                <w:szCs w:val="18"/>
              </w:rPr>
              <w:t>95%</w:t>
            </w:r>
            <w:r w:rsidRPr="009A35D4">
              <w:rPr>
                <w:rFonts w:ascii="Calibri" w:eastAsia="Times New Roman" w:hAnsi="Calibri" w:cs="Calibri"/>
                <w:color w:val="auto"/>
                <w:sz w:val="18"/>
                <w:szCs w:val="18"/>
              </w:rPr>
              <w:t>cost sharing</w:t>
            </w:r>
          </w:p>
        </w:tc>
        <w:tc>
          <w:tcPr>
            <w:tcW w:w="1897" w:type="dxa"/>
            <w:hideMark/>
          </w:tcPr>
          <w:p w14:paraId="161CC62A" w14:textId="77777777" w:rsidR="00AE6295" w:rsidRPr="009A35D4" w:rsidRDefault="00AE6295" w:rsidP="006804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aps/>
                <w:sz w:val="18"/>
                <w:szCs w:val="18"/>
              </w:rPr>
            </w:pPr>
            <w:r w:rsidRPr="009A35D4">
              <w:rPr>
                <w:rFonts w:ascii="Calibri" w:eastAsia="Times New Roman" w:hAnsi="Calibri" w:cs="Calibri"/>
                <w:color w:val="auto"/>
                <w:sz w:val="18"/>
                <w:szCs w:val="18"/>
              </w:rPr>
              <w:t>Centralized specimen</w:t>
            </w:r>
          </w:p>
          <w:p w14:paraId="68EB01C9" w14:textId="18F854C6" w:rsidR="00AE6295" w:rsidRPr="009A35D4" w:rsidRDefault="00AE6295" w:rsidP="006804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9A35D4">
              <w:rPr>
                <w:rFonts w:ascii="Calibri" w:eastAsia="Times New Roman" w:hAnsi="Calibri" w:cs="Calibri"/>
                <w:color w:val="auto"/>
                <w:sz w:val="18"/>
                <w:szCs w:val="18"/>
              </w:rPr>
              <w:t xml:space="preserve">transport with </w:t>
            </w:r>
            <w:r w:rsidR="00783E79" w:rsidRPr="009A35D4">
              <w:rPr>
                <w:rFonts w:ascii="Calibri" w:eastAsia="Times New Roman" w:hAnsi="Calibri" w:cs="Calibri"/>
                <w:sz w:val="18"/>
                <w:szCs w:val="18"/>
              </w:rPr>
              <w:t>no</w:t>
            </w:r>
            <w:r w:rsidRPr="009A35D4">
              <w:rPr>
                <w:rFonts w:ascii="Calibri" w:eastAsia="Times New Roman" w:hAnsi="Calibri" w:cs="Calibri"/>
                <w:color w:val="auto"/>
                <w:sz w:val="18"/>
                <w:szCs w:val="18"/>
              </w:rPr>
              <w:t xml:space="preserve"> cost sharing</w:t>
            </w:r>
          </w:p>
        </w:tc>
        <w:tc>
          <w:tcPr>
            <w:tcW w:w="2041" w:type="dxa"/>
            <w:hideMark/>
          </w:tcPr>
          <w:p w14:paraId="1AB075A1" w14:textId="21EA6CB3" w:rsidR="00AE6295" w:rsidRPr="009A35D4" w:rsidRDefault="00AE6295" w:rsidP="006804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9A35D4">
              <w:rPr>
                <w:rFonts w:ascii="Calibri" w:eastAsia="Times New Roman" w:hAnsi="Calibri" w:cs="Calibri"/>
                <w:color w:val="auto"/>
                <w:sz w:val="18"/>
                <w:szCs w:val="18"/>
              </w:rPr>
              <w:t xml:space="preserve">Centralized specimen transport with </w:t>
            </w:r>
            <w:r w:rsidR="00783E79" w:rsidRPr="009A35D4">
              <w:rPr>
                <w:rFonts w:ascii="Calibri" w:eastAsia="Times New Roman" w:hAnsi="Calibri" w:cs="Calibri"/>
                <w:sz w:val="18"/>
                <w:szCs w:val="18"/>
              </w:rPr>
              <w:t>95%</w:t>
            </w:r>
            <w:r w:rsidRPr="009A35D4">
              <w:rPr>
                <w:rFonts w:ascii="Calibri" w:eastAsia="Times New Roman" w:hAnsi="Calibri" w:cs="Calibri"/>
                <w:color w:val="auto"/>
                <w:sz w:val="18"/>
                <w:szCs w:val="18"/>
              </w:rPr>
              <w:t>cost sharing</w:t>
            </w:r>
          </w:p>
        </w:tc>
        <w:tc>
          <w:tcPr>
            <w:tcW w:w="2003" w:type="dxa"/>
            <w:gridSpan w:val="2"/>
            <w:hideMark/>
          </w:tcPr>
          <w:p w14:paraId="7E9D73C2" w14:textId="36E24098" w:rsidR="00AE6295" w:rsidRPr="009A35D4" w:rsidRDefault="00AE6295" w:rsidP="006804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9A35D4">
              <w:rPr>
                <w:rFonts w:ascii="Calibri" w:eastAsia="Times New Roman" w:hAnsi="Calibri" w:cs="Calibri"/>
                <w:color w:val="auto"/>
                <w:sz w:val="18"/>
                <w:szCs w:val="18"/>
              </w:rPr>
              <w:t xml:space="preserve">Centralized specimen transport with </w:t>
            </w:r>
            <w:r w:rsidR="00783E79" w:rsidRPr="009A35D4">
              <w:rPr>
                <w:rFonts w:ascii="Calibri" w:eastAsia="Times New Roman" w:hAnsi="Calibri" w:cs="Calibri"/>
                <w:sz w:val="18"/>
                <w:szCs w:val="18"/>
              </w:rPr>
              <w:t>no</w:t>
            </w:r>
            <w:r w:rsidRPr="009A35D4">
              <w:rPr>
                <w:rFonts w:ascii="Calibri" w:eastAsia="Times New Roman" w:hAnsi="Calibri" w:cs="Calibri"/>
                <w:color w:val="auto"/>
                <w:sz w:val="18"/>
                <w:szCs w:val="18"/>
              </w:rPr>
              <w:t xml:space="preserve"> cost sharing</w:t>
            </w:r>
          </w:p>
        </w:tc>
      </w:tr>
      <w:tr w:rsidR="00EB0541" w:rsidRPr="009A35D4" w14:paraId="365DBEA5" w14:textId="77777777" w:rsidTr="00EB05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8" w:type="dxa"/>
            <w:vMerge w:val="restart"/>
            <w:shd w:val="clear" w:color="auto" w:fill="AEAAAA" w:themeFill="background2" w:themeFillShade="BF"/>
            <w:noWrap/>
          </w:tcPr>
          <w:p w14:paraId="18631C88" w14:textId="0426CE3B" w:rsidR="00EB0541" w:rsidRPr="009A35D4" w:rsidRDefault="00EB0541" w:rsidP="00AE6295">
            <w:pPr>
              <w:rPr>
                <w:rFonts w:ascii="Calibri" w:eastAsia="Times New Roman" w:hAnsi="Calibri" w:cs="Calibri"/>
                <w:color w:val="000000"/>
                <w:sz w:val="18"/>
                <w:szCs w:val="18"/>
              </w:rPr>
            </w:pPr>
            <w:r w:rsidRPr="009A35D4">
              <w:rPr>
                <w:rFonts w:ascii="Calibri" w:eastAsia="Times New Roman" w:hAnsi="Calibri" w:cs="Calibri"/>
                <w:color w:val="000000"/>
                <w:sz w:val="18"/>
                <w:szCs w:val="18"/>
              </w:rPr>
              <w:t>Cost effectiveness threshold:</w:t>
            </w:r>
          </w:p>
        </w:tc>
        <w:tc>
          <w:tcPr>
            <w:tcW w:w="3954" w:type="dxa"/>
            <w:gridSpan w:val="2"/>
            <w:shd w:val="clear" w:color="auto" w:fill="AEAAAA" w:themeFill="background2" w:themeFillShade="BF"/>
            <w:noWrap/>
            <w:vAlign w:val="center"/>
          </w:tcPr>
          <w:p w14:paraId="2D4A57F6" w14:textId="5190CD52" w:rsidR="00EB0541" w:rsidRPr="009A35D4" w:rsidRDefault="00EB0541" w:rsidP="00AE62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Decentralized test volume: 3 tests per day</w:t>
            </w:r>
          </w:p>
        </w:tc>
        <w:tc>
          <w:tcPr>
            <w:tcW w:w="4044" w:type="dxa"/>
            <w:gridSpan w:val="3"/>
            <w:shd w:val="clear" w:color="auto" w:fill="AEAAAA" w:themeFill="background2" w:themeFillShade="BF"/>
            <w:noWrap/>
            <w:vAlign w:val="center"/>
          </w:tcPr>
          <w:p w14:paraId="181D47F2" w14:textId="1AE7B556" w:rsidR="00EB0541" w:rsidRPr="009A35D4" w:rsidRDefault="00EB0541" w:rsidP="00AE62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Decentralized test volume: 0.3 tests per day</w:t>
            </w:r>
          </w:p>
        </w:tc>
      </w:tr>
      <w:tr w:rsidR="00EB0541" w:rsidRPr="009A35D4" w14:paraId="440B2650" w14:textId="77777777" w:rsidTr="00EB0541">
        <w:trPr>
          <w:trHeight w:val="300"/>
        </w:trPr>
        <w:tc>
          <w:tcPr>
            <w:cnfStyle w:val="001000000000" w:firstRow="0" w:lastRow="0" w:firstColumn="1" w:lastColumn="0" w:oddVBand="0" w:evenVBand="0" w:oddHBand="0" w:evenHBand="0" w:firstRowFirstColumn="0" w:firstRowLastColumn="0" w:lastRowFirstColumn="0" w:lastRowLastColumn="0"/>
            <w:tcW w:w="1318" w:type="dxa"/>
            <w:vMerge/>
            <w:shd w:val="clear" w:color="auto" w:fill="AEAAAA" w:themeFill="background2" w:themeFillShade="BF"/>
            <w:noWrap/>
            <w:hideMark/>
          </w:tcPr>
          <w:p w14:paraId="296B9EF2" w14:textId="56B54BB9" w:rsidR="00EB0541" w:rsidRPr="009A35D4" w:rsidRDefault="00EB0541" w:rsidP="00AE6295">
            <w:pPr>
              <w:rPr>
                <w:rFonts w:ascii="Calibri" w:eastAsia="Times New Roman" w:hAnsi="Calibri" w:cs="Calibri"/>
                <w:color w:val="000000"/>
                <w:sz w:val="18"/>
                <w:szCs w:val="18"/>
              </w:rPr>
            </w:pPr>
          </w:p>
        </w:tc>
        <w:tc>
          <w:tcPr>
            <w:tcW w:w="3954" w:type="dxa"/>
            <w:gridSpan w:val="2"/>
            <w:shd w:val="clear" w:color="auto" w:fill="AEAAAA" w:themeFill="background2" w:themeFillShade="BF"/>
            <w:noWrap/>
            <w:vAlign w:val="center"/>
            <w:hideMark/>
          </w:tcPr>
          <w:p w14:paraId="20BD7FB6" w14:textId="10F3BCA3" w:rsidR="00EB0541" w:rsidRPr="009A35D4" w:rsidRDefault="00EB0541" w:rsidP="00AE62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4044" w:type="dxa"/>
            <w:gridSpan w:val="3"/>
            <w:shd w:val="clear" w:color="auto" w:fill="AEAAAA" w:themeFill="background2" w:themeFillShade="BF"/>
            <w:noWrap/>
            <w:vAlign w:val="center"/>
            <w:hideMark/>
          </w:tcPr>
          <w:p w14:paraId="20D91BC5" w14:textId="7198706F" w:rsidR="00EB0541" w:rsidRPr="009A35D4" w:rsidRDefault="00EB0541" w:rsidP="00AE62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AE6295" w:rsidRPr="009A35D4" w14:paraId="79324FEC" w14:textId="77777777" w:rsidTr="009A3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8" w:type="dxa"/>
            <w:noWrap/>
            <w:hideMark/>
          </w:tcPr>
          <w:p w14:paraId="7AC9AB6B" w14:textId="1FDD0ECA" w:rsidR="00AE6295" w:rsidRPr="009A35D4" w:rsidRDefault="00AE6295" w:rsidP="006804F9">
            <w:pPr>
              <w:rPr>
                <w:rFonts w:ascii="Calibri" w:eastAsia="Times New Roman" w:hAnsi="Calibri" w:cs="Calibri"/>
                <w:color w:val="000000"/>
                <w:sz w:val="18"/>
                <w:szCs w:val="18"/>
              </w:rPr>
            </w:pPr>
            <w:r w:rsidRPr="009A35D4">
              <w:rPr>
                <w:rFonts w:ascii="Calibri" w:eastAsia="Times New Roman" w:hAnsi="Calibri" w:cs="Calibri"/>
                <w:color w:val="000000"/>
                <w:sz w:val="18"/>
                <w:szCs w:val="18"/>
              </w:rPr>
              <w:t xml:space="preserve">   $500 </w:t>
            </w:r>
            <w:r w:rsidR="00DD3A01" w:rsidRPr="009A35D4">
              <w:rPr>
                <w:rFonts w:ascii="Calibri" w:eastAsia="Times New Roman" w:hAnsi="Calibri" w:cs="Calibri"/>
                <w:color w:val="000000"/>
                <w:sz w:val="18"/>
                <w:szCs w:val="18"/>
              </w:rPr>
              <w:t>per DALY averted</w:t>
            </w:r>
          </w:p>
        </w:tc>
        <w:tc>
          <w:tcPr>
            <w:tcW w:w="2057" w:type="dxa"/>
            <w:noWrap/>
            <w:vAlign w:val="center"/>
            <w:hideMark/>
          </w:tcPr>
          <w:p w14:paraId="25C21857" w14:textId="77777777" w:rsidR="00AE6295" w:rsidRPr="009A35D4" w:rsidRDefault="00AE6295" w:rsidP="00943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&gt;20%</w:t>
            </w:r>
          </w:p>
        </w:tc>
        <w:tc>
          <w:tcPr>
            <w:tcW w:w="1897" w:type="dxa"/>
            <w:noWrap/>
            <w:vAlign w:val="center"/>
            <w:hideMark/>
          </w:tcPr>
          <w:p w14:paraId="222C8DCF" w14:textId="77777777" w:rsidR="00AE6295" w:rsidRPr="009A35D4" w:rsidRDefault="00AE6295" w:rsidP="00943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&gt;0</w:t>
            </w:r>
          </w:p>
        </w:tc>
        <w:tc>
          <w:tcPr>
            <w:tcW w:w="2041" w:type="dxa"/>
            <w:noWrap/>
            <w:vAlign w:val="center"/>
            <w:hideMark/>
          </w:tcPr>
          <w:p w14:paraId="22490DA0" w14:textId="040CB69D" w:rsidR="00AE6295" w:rsidRPr="009A35D4" w:rsidRDefault="00C759F1" w:rsidP="00943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NA</w:t>
            </w:r>
          </w:p>
        </w:tc>
        <w:tc>
          <w:tcPr>
            <w:tcW w:w="2003" w:type="dxa"/>
            <w:gridSpan w:val="2"/>
            <w:noWrap/>
            <w:vAlign w:val="center"/>
            <w:hideMark/>
          </w:tcPr>
          <w:p w14:paraId="679C7B47" w14:textId="746C06D3" w:rsidR="00AE6295" w:rsidRPr="009A35D4" w:rsidRDefault="00C759F1" w:rsidP="009434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A35D4">
              <w:rPr>
                <w:rFonts w:ascii="Calibri" w:eastAsia="Times New Roman" w:hAnsi="Calibri" w:cs="Calibri"/>
                <w:color w:val="000000"/>
                <w:sz w:val="18"/>
                <w:szCs w:val="18"/>
              </w:rPr>
              <w:t>NA</w:t>
            </w:r>
          </w:p>
        </w:tc>
      </w:tr>
      <w:tr w:rsidR="00AE6295" w:rsidRPr="009A35D4" w14:paraId="07F56456" w14:textId="77777777" w:rsidTr="009A35D4">
        <w:trPr>
          <w:trHeight w:val="300"/>
        </w:trPr>
        <w:tc>
          <w:tcPr>
            <w:cnfStyle w:val="001000000000" w:firstRow="0" w:lastRow="0" w:firstColumn="1" w:lastColumn="0" w:oddVBand="0" w:evenVBand="0" w:oddHBand="0" w:evenHBand="0" w:firstRowFirstColumn="0" w:firstRowLastColumn="0" w:lastRowFirstColumn="0" w:lastRowLastColumn="0"/>
            <w:tcW w:w="1318" w:type="dxa"/>
            <w:noWrap/>
            <w:hideMark/>
          </w:tcPr>
          <w:p w14:paraId="1A30F79D" w14:textId="2ED4BB65" w:rsidR="00AE6295" w:rsidRPr="009A35D4" w:rsidRDefault="00AE6295" w:rsidP="006804F9">
            <w:pPr>
              <w:rPr>
                <w:rFonts w:ascii="Calibri" w:eastAsia="Times New Roman" w:hAnsi="Calibri" w:cs="Calibri"/>
                <w:color w:val="000000"/>
                <w:sz w:val="18"/>
                <w:szCs w:val="18"/>
              </w:rPr>
            </w:pPr>
            <w:r w:rsidRPr="009A35D4">
              <w:rPr>
                <w:rFonts w:ascii="Calibri" w:eastAsia="Times New Roman" w:hAnsi="Calibri" w:cs="Calibri"/>
                <w:color w:val="000000"/>
                <w:sz w:val="18"/>
                <w:szCs w:val="18"/>
              </w:rPr>
              <w:t xml:space="preserve">   $1,000 </w:t>
            </w:r>
            <w:r w:rsidR="00DD3A01" w:rsidRPr="009A35D4">
              <w:rPr>
                <w:rFonts w:ascii="Calibri" w:eastAsia="Times New Roman" w:hAnsi="Calibri" w:cs="Calibri"/>
                <w:color w:val="000000"/>
                <w:sz w:val="18"/>
                <w:szCs w:val="18"/>
              </w:rPr>
              <w:t>per DALY averted</w:t>
            </w:r>
          </w:p>
        </w:tc>
        <w:tc>
          <w:tcPr>
            <w:tcW w:w="2057" w:type="dxa"/>
            <w:noWrap/>
            <w:vAlign w:val="center"/>
            <w:hideMark/>
          </w:tcPr>
          <w:p w14:paraId="639804A5" w14:textId="77777777" w:rsidR="00AE6295" w:rsidRPr="009A35D4" w:rsidRDefault="00AE6295" w:rsidP="00943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&gt;10%</w:t>
            </w:r>
          </w:p>
        </w:tc>
        <w:tc>
          <w:tcPr>
            <w:tcW w:w="1897" w:type="dxa"/>
            <w:noWrap/>
            <w:vAlign w:val="center"/>
            <w:hideMark/>
          </w:tcPr>
          <w:p w14:paraId="59F71A23" w14:textId="77777777" w:rsidR="00AE6295" w:rsidRPr="009A35D4" w:rsidRDefault="00AE6295" w:rsidP="00943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&gt;0</w:t>
            </w:r>
          </w:p>
        </w:tc>
        <w:tc>
          <w:tcPr>
            <w:tcW w:w="2041" w:type="dxa"/>
            <w:noWrap/>
            <w:vAlign w:val="center"/>
            <w:hideMark/>
          </w:tcPr>
          <w:p w14:paraId="77B295A4" w14:textId="1393D419" w:rsidR="00AE6295" w:rsidRPr="009A35D4" w:rsidRDefault="00C759F1" w:rsidP="00943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NA</w:t>
            </w:r>
          </w:p>
        </w:tc>
        <w:tc>
          <w:tcPr>
            <w:tcW w:w="2003" w:type="dxa"/>
            <w:gridSpan w:val="2"/>
            <w:noWrap/>
            <w:vAlign w:val="center"/>
            <w:hideMark/>
          </w:tcPr>
          <w:p w14:paraId="1923A81F" w14:textId="0FBF9C13" w:rsidR="00AE6295" w:rsidRPr="009A35D4" w:rsidRDefault="00C759F1" w:rsidP="009434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A35D4">
              <w:rPr>
                <w:rFonts w:ascii="Calibri" w:eastAsia="Times New Roman" w:hAnsi="Calibri" w:cs="Calibri"/>
                <w:color w:val="000000"/>
                <w:sz w:val="18"/>
                <w:szCs w:val="18"/>
              </w:rPr>
              <w:t>NA</w:t>
            </w:r>
          </w:p>
        </w:tc>
      </w:tr>
      <w:tr w:rsidR="00AE6295" w:rsidRPr="009A35D4" w14:paraId="46C46252" w14:textId="77777777" w:rsidTr="009A3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8" w:type="dxa"/>
            <w:noWrap/>
            <w:hideMark/>
          </w:tcPr>
          <w:p w14:paraId="6C16FE1F" w14:textId="3C9DC2F4" w:rsidR="00AE6295" w:rsidRPr="009A35D4" w:rsidRDefault="00AE6295" w:rsidP="006804F9">
            <w:pPr>
              <w:rPr>
                <w:rFonts w:ascii="Calibri" w:eastAsia="Times New Roman" w:hAnsi="Calibri" w:cs="Calibri"/>
                <w:color w:val="000000"/>
                <w:sz w:val="18"/>
                <w:szCs w:val="18"/>
              </w:rPr>
            </w:pPr>
            <w:r w:rsidRPr="009A35D4">
              <w:rPr>
                <w:rFonts w:ascii="Calibri" w:eastAsia="Times New Roman" w:hAnsi="Calibri" w:cs="Calibri"/>
                <w:color w:val="000000"/>
                <w:sz w:val="18"/>
                <w:szCs w:val="18"/>
              </w:rPr>
              <w:t xml:space="preserve">   $2,000 </w:t>
            </w:r>
            <w:r w:rsidR="00DD3A01" w:rsidRPr="009A35D4">
              <w:rPr>
                <w:rFonts w:ascii="Calibri" w:eastAsia="Times New Roman" w:hAnsi="Calibri" w:cs="Calibri"/>
                <w:color w:val="000000"/>
                <w:sz w:val="18"/>
                <w:szCs w:val="18"/>
              </w:rPr>
              <w:t>per DALY averted</w:t>
            </w:r>
          </w:p>
        </w:tc>
        <w:tc>
          <w:tcPr>
            <w:tcW w:w="2057" w:type="dxa"/>
            <w:noWrap/>
            <w:vAlign w:val="center"/>
            <w:hideMark/>
          </w:tcPr>
          <w:p w14:paraId="491FE505" w14:textId="77777777" w:rsidR="00AE6295" w:rsidRPr="009A35D4" w:rsidRDefault="00AE6295" w:rsidP="00943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&gt;5%</w:t>
            </w:r>
          </w:p>
        </w:tc>
        <w:tc>
          <w:tcPr>
            <w:tcW w:w="1897" w:type="dxa"/>
            <w:noWrap/>
            <w:vAlign w:val="center"/>
            <w:hideMark/>
          </w:tcPr>
          <w:p w14:paraId="67A1D119" w14:textId="77777777" w:rsidR="00AE6295" w:rsidRPr="009A35D4" w:rsidRDefault="00AE6295" w:rsidP="00943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&gt;0</w:t>
            </w:r>
          </w:p>
        </w:tc>
        <w:tc>
          <w:tcPr>
            <w:tcW w:w="2061" w:type="dxa"/>
            <w:gridSpan w:val="2"/>
            <w:noWrap/>
            <w:vAlign w:val="center"/>
            <w:hideMark/>
          </w:tcPr>
          <w:p w14:paraId="45DF9595" w14:textId="77777777" w:rsidR="00AE6295" w:rsidRPr="009A35D4" w:rsidRDefault="00AE6295" w:rsidP="00943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&gt;20%</w:t>
            </w:r>
          </w:p>
        </w:tc>
        <w:tc>
          <w:tcPr>
            <w:tcW w:w="1983" w:type="dxa"/>
            <w:noWrap/>
            <w:vAlign w:val="center"/>
            <w:hideMark/>
          </w:tcPr>
          <w:p w14:paraId="2D7A4561" w14:textId="77777777" w:rsidR="00AE6295" w:rsidRPr="009A35D4" w:rsidRDefault="00AE6295" w:rsidP="00943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A35D4">
              <w:rPr>
                <w:rFonts w:ascii="Calibri" w:eastAsia="Times New Roman" w:hAnsi="Calibri" w:cs="Calibri"/>
                <w:color w:val="000000"/>
                <w:sz w:val="18"/>
                <w:szCs w:val="18"/>
              </w:rPr>
              <w:t>&gt;15%</w:t>
            </w:r>
          </w:p>
        </w:tc>
      </w:tr>
    </w:tbl>
    <w:p w14:paraId="76FCB396" w14:textId="0DA00DA4" w:rsidR="00AE6295" w:rsidRDefault="00AE6295" w:rsidP="00AE6295"/>
    <w:p w14:paraId="50380C31" w14:textId="5ED76842" w:rsidR="00A06D55" w:rsidRPr="00943476" w:rsidRDefault="00A06D55" w:rsidP="00AE6295">
      <w:pPr>
        <w:rPr>
          <w:b/>
          <w:bCs/>
        </w:rPr>
      </w:pPr>
      <w:r w:rsidRPr="000B6BA8">
        <w:rPr>
          <w:b/>
          <w:bCs/>
        </w:rPr>
        <w:t>Table S13</w:t>
      </w:r>
      <w:r>
        <w:t xml:space="preserve">: Incremental loss to follow-up (centralized-decentralized) at which 50% simulations are </w:t>
      </w:r>
      <w:r w:rsidR="00777917">
        <w:t>below</w:t>
      </w:r>
      <w:r>
        <w:t xml:space="preserve"> the cost effectiveness threshold</w:t>
      </w:r>
      <w:r w:rsidR="00777917">
        <w:t>, suggesting that decentralized testing is cost-effective relative to centralized testing</w:t>
      </w:r>
      <w:r>
        <w:t xml:space="preserve">. </w:t>
      </w:r>
      <w:r w:rsidR="00777917">
        <w:t>“&gt;0” suggests that decentralized testing is considered cost-effective in 50% of simulations even if there is no difference in loss to follow-up between centralized and decentralized testing. “NA” suggests that, even if centralized testing incurs an additional 20% incremental loss to follow-up, decentralized testing will not be considered cost-effective at the corresponding cost-effectiveness threshold.</w:t>
      </w:r>
    </w:p>
    <w:p w14:paraId="43B0249B" w14:textId="77777777" w:rsidR="00AE6295" w:rsidRDefault="00AE6295" w:rsidP="006C36D2"/>
    <w:p w14:paraId="247A55DC" w14:textId="0F77FE94" w:rsidR="009A3C9B" w:rsidRPr="00D93D2D" w:rsidRDefault="009A3C9B" w:rsidP="00060BF2">
      <w:pPr>
        <w:pStyle w:val="Heading2"/>
        <w:jc w:val="both"/>
        <w:rPr>
          <w:rFonts w:cstheme="minorHAnsi"/>
        </w:rPr>
      </w:pPr>
      <w:bookmarkStart w:id="19" w:name="_Toc12877771"/>
      <w:r w:rsidRPr="00D93D2D">
        <w:rPr>
          <w:rFonts w:cstheme="minorHAnsi"/>
        </w:rPr>
        <w:lastRenderedPageBreak/>
        <w:t>Sensitivity analysis to role of smear</w:t>
      </w:r>
      <w:bookmarkEnd w:id="19"/>
    </w:p>
    <w:p w14:paraId="2805745C" w14:textId="7BC53417" w:rsidR="00060BF2" w:rsidRPr="00D93D2D" w:rsidRDefault="009A3C9B" w:rsidP="00060BF2">
      <w:pPr>
        <w:jc w:val="both"/>
        <w:rPr>
          <w:rFonts w:cstheme="minorHAnsi"/>
        </w:rPr>
      </w:pPr>
      <w:r w:rsidRPr="00D93D2D">
        <w:rPr>
          <w:rFonts w:cstheme="minorHAnsi"/>
        </w:rPr>
        <w:t xml:space="preserve">Additional sensitivity analysis was performed </w:t>
      </w:r>
      <w:r w:rsidR="00435CB8" w:rsidRPr="00D93D2D">
        <w:rPr>
          <w:rFonts w:cstheme="minorHAnsi"/>
        </w:rPr>
        <w:t>under the</w:t>
      </w:r>
      <w:r w:rsidRPr="00D93D2D">
        <w:rPr>
          <w:rFonts w:cstheme="minorHAnsi"/>
        </w:rPr>
        <w:t xml:space="preserve"> assumption </w:t>
      </w:r>
      <w:r w:rsidR="00435CB8" w:rsidRPr="00D93D2D">
        <w:rPr>
          <w:rFonts w:cstheme="minorHAnsi"/>
        </w:rPr>
        <w:t>that</w:t>
      </w:r>
      <w:r w:rsidRPr="00D93D2D">
        <w:rPr>
          <w:rFonts w:cstheme="minorHAnsi"/>
        </w:rPr>
        <w:t xml:space="preserve"> Xpert </w:t>
      </w:r>
      <w:r w:rsidR="00435CB8" w:rsidRPr="00D93D2D">
        <w:rPr>
          <w:rFonts w:cstheme="minorHAnsi"/>
        </w:rPr>
        <w:t>would be implemented</w:t>
      </w:r>
      <w:r w:rsidRPr="00D93D2D">
        <w:rPr>
          <w:rFonts w:cstheme="minorHAnsi"/>
        </w:rPr>
        <w:t xml:space="preserve"> in addition to smear (as opposed to the baseline scenario in which Xpert was implemented as a replacement for smear). In these simulations, all individuals presenting to the public sector for encounter 1 received </w:t>
      </w:r>
      <w:r w:rsidR="00060BF2" w:rsidRPr="00D93D2D">
        <w:rPr>
          <w:rFonts w:cstheme="minorHAnsi"/>
        </w:rPr>
        <w:t xml:space="preserve">a smear and </w:t>
      </w:r>
      <w:r w:rsidRPr="00D93D2D">
        <w:rPr>
          <w:rFonts w:cstheme="minorHAnsi"/>
        </w:rPr>
        <w:t>Xpert</w:t>
      </w:r>
      <w:r w:rsidR="00060BF2" w:rsidRPr="00D93D2D">
        <w:rPr>
          <w:rFonts w:cstheme="minorHAnsi"/>
        </w:rPr>
        <w:t xml:space="preserve"> test. In both centralized and decentralized scenarios, the Xpert results were prioritized over smear for TB diagnosis</w:t>
      </w:r>
      <w:r w:rsidRPr="00D93D2D">
        <w:rPr>
          <w:rFonts w:cstheme="minorHAnsi"/>
        </w:rPr>
        <w:t xml:space="preserve">. </w:t>
      </w:r>
      <w:r w:rsidR="00060BF2" w:rsidRPr="00D93D2D">
        <w:rPr>
          <w:rFonts w:cstheme="minorHAnsi"/>
        </w:rPr>
        <w:t xml:space="preserve">However, we </w:t>
      </w:r>
      <w:r w:rsidRPr="00D93D2D">
        <w:rPr>
          <w:rFonts w:cstheme="minorHAnsi"/>
        </w:rPr>
        <w:t xml:space="preserve">further assumed that individuals </w:t>
      </w:r>
      <w:r w:rsidR="00435CB8" w:rsidRPr="00D93D2D">
        <w:rPr>
          <w:rFonts w:cstheme="minorHAnsi"/>
        </w:rPr>
        <w:t xml:space="preserve">with smear-positive TB would not </w:t>
      </w:r>
      <w:r w:rsidRPr="00D93D2D">
        <w:rPr>
          <w:rFonts w:cstheme="minorHAnsi"/>
        </w:rPr>
        <w:t>experienc</w:t>
      </w:r>
      <w:r w:rsidR="00435CB8" w:rsidRPr="00D93D2D">
        <w:rPr>
          <w:rFonts w:cstheme="minorHAnsi"/>
        </w:rPr>
        <w:t>e</w:t>
      </w:r>
      <w:r w:rsidRPr="00D93D2D">
        <w:rPr>
          <w:rFonts w:cstheme="minorHAnsi"/>
        </w:rPr>
        <w:t xml:space="preserve"> pre-treatment loss-to-follow-up in the centralized Xpert scenario.</w:t>
      </w:r>
      <w:r w:rsidR="00060BF2" w:rsidRPr="00D93D2D">
        <w:rPr>
          <w:rFonts w:cstheme="minorHAnsi"/>
        </w:rPr>
        <w:t xml:space="preserve"> In this way, using smear as a back-up test in addition to Xpert will allow </w:t>
      </w:r>
      <w:r w:rsidR="00435CB8" w:rsidRPr="00D93D2D">
        <w:rPr>
          <w:rFonts w:cstheme="minorHAnsi"/>
        </w:rPr>
        <w:t>for</w:t>
      </w:r>
      <w:r w:rsidR="00060BF2" w:rsidRPr="00D93D2D">
        <w:rPr>
          <w:rFonts w:cstheme="minorHAnsi"/>
        </w:rPr>
        <w:t xml:space="preserve"> immediate diagnos</w:t>
      </w:r>
      <w:r w:rsidR="00435CB8" w:rsidRPr="00D93D2D">
        <w:rPr>
          <w:rFonts w:cstheme="minorHAnsi"/>
        </w:rPr>
        <w:t>is</w:t>
      </w:r>
      <w:r w:rsidR="00060BF2" w:rsidRPr="00D93D2D">
        <w:rPr>
          <w:rFonts w:cstheme="minorHAnsi"/>
        </w:rPr>
        <w:t xml:space="preserve"> and treat</w:t>
      </w:r>
      <w:r w:rsidR="00435CB8" w:rsidRPr="00D93D2D">
        <w:rPr>
          <w:rFonts w:cstheme="minorHAnsi"/>
        </w:rPr>
        <w:t>ment of</w:t>
      </w:r>
      <w:r w:rsidR="00060BF2" w:rsidRPr="00D93D2D">
        <w:rPr>
          <w:rFonts w:cstheme="minorHAnsi"/>
        </w:rPr>
        <w:t xml:space="preserve"> an additional fraction of patients who</w:t>
      </w:r>
      <w:r w:rsidR="00435CB8" w:rsidRPr="00D93D2D">
        <w:rPr>
          <w:rFonts w:cstheme="minorHAnsi"/>
        </w:rPr>
        <w:t xml:space="preserve"> woul</w:t>
      </w:r>
      <w:r w:rsidR="00060BF2" w:rsidRPr="00D93D2D">
        <w:rPr>
          <w:rFonts w:cstheme="minorHAnsi"/>
        </w:rPr>
        <w:t xml:space="preserve">d otherwise go untreated in the centralized scenario. All results are summarized in Table </w:t>
      </w:r>
      <w:r w:rsidR="00293F6B" w:rsidRPr="00D93D2D">
        <w:rPr>
          <w:rFonts w:cstheme="minorHAnsi"/>
        </w:rPr>
        <w:t>S1</w:t>
      </w:r>
      <w:r w:rsidR="00C759F1">
        <w:rPr>
          <w:rFonts w:cstheme="minorHAnsi"/>
        </w:rPr>
        <w:t>4</w:t>
      </w:r>
      <w:r w:rsidR="00293F6B" w:rsidRPr="00D93D2D">
        <w:rPr>
          <w:rFonts w:cstheme="minorHAnsi"/>
        </w:rPr>
        <w:t xml:space="preserve"> </w:t>
      </w:r>
      <w:r w:rsidR="00060BF2" w:rsidRPr="00D93D2D">
        <w:rPr>
          <w:rFonts w:cstheme="minorHAnsi"/>
        </w:rPr>
        <w:t xml:space="preserve">and Figure </w:t>
      </w:r>
      <w:r w:rsidR="00390F9C" w:rsidRPr="00D93D2D">
        <w:rPr>
          <w:rFonts w:cstheme="minorHAnsi"/>
        </w:rPr>
        <w:t>S</w:t>
      </w:r>
      <w:r w:rsidR="00293F6B">
        <w:rPr>
          <w:rFonts w:cstheme="minorHAnsi"/>
        </w:rPr>
        <w:t>10</w:t>
      </w:r>
      <w:r w:rsidR="00060BF2" w:rsidRPr="00D93D2D">
        <w:rPr>
          <w:rFonts w:cstheme="minorHAnsi"/>
        </w:rPr>
        <w:t>.</w:t>
      </w:r>
    </w:p>
    <w:p w14:paraId="197387F9" w14:textId="22A5116A" w:rsidR="00C77224" w:rsidRPr="00D93D2D" w:rsidRDefault="00060BF2" w:rsidP="00060BF2">
      <w:pPr>
        <w:jc w:val="both"/>
        <w:rPr>
          <w:rFonts w:cstheme="minorHAnsi"/>
          <w:rtl/>
        </w:rPr>
      </w:pPr>
      <w:r w:rsidRPr="00D93D2D">
        <w:rPr>
          <w:rFonts w:cstheme="minorHAnsi"/>
        </w:rPr>
        <w:t>Using smear in addition to Xpert increased the epidemiological impact of centralized testing, as reflected by reduction in total DALYs from a median of 740,124 [IQR: 700,676  - 782,488] in baseline to 732,682 [IQR: 692,849 – 775,659] in the sensitivity analysis scenario. This resulted in a subsequent increase in</w:t>
      </w:r>
      <w:r w:rsidR="00435CB8" w:rsidRPr="00D93D2D">
        <w:rPr>
          <w:rFonts w:cstheme="minorHAnsi"/>
        </w:rPr>
        <w:t xml:space="preserve"> the incremental cost-effectiveness ratio</w:t>
      </w:r>
      <w:r w:rsidRPr="00D93D2D">
        <w:rPr>
          <w:rFonts w:cstheme="minorHAnsi"/>
        </w:rPr>
        <w:t xml:space="preserve"> across all 4 costing scenarios (comparing ICER values in Table </w:t>
      </w:r>
      <w:r w:rsidR="00C759F1" w:rsidRPr="00D93D2D">
        <w:rPr>
          <w:rFonts w:cstheme="minorHAnsi"/>
        </w:rPr>
        <w:t>S1</w:t>
      </w:r>
      <w:r w:rsidR="00C759F1">
        <w:rPr>
          <w:rFonts w:cstheme="minorHAnsi"/>
        </w:rPr>
        <w:t>4</w:t>
      </w:r>
      <w:r w:rsidR="00C759F1" w:rsidRPr="00D93D2D">
        <w:rPr>
          <w:rFonts w:cstheme="minorHAnsi"/>
        </w:rPr>
        <w:t xml:space="preserve"> </w:t>
      </w:r>
      <w:r w:rsidRPr="00D93D2D">
        <w:rPr>
          <w:rFonts w:cstheme="minorHAnsi"/>
        </w:rPr>
        <w:t>to Table 2 in the main text), suggesting a lower preference for decentralized Xpert. Considering a willingness-to-pay threshold of $1,</w:t>
      </w:r>
      <w:r w:rsidR="00390F9C" w:rsidRPr="00D93D2D">
        <w:rPr>
          <w:rFonts w:cstheme="minorHAnsi"/>
        </w:rPr>
        <w:t>00</w:t>
      </w:r>
      <w:r w:rsidR="00C81F81" w:rsidRPr="00D93D2D">
        <w:rPr>
          <w:rFonts w:cstheme="minorHAnsi"/>
        </w:rPr>
        <w:t>0</w:t>
      </w:r>
      <w:r w:rsidR="00390F9C" w:rsidRPr="00D93D2D">
        <w:rPr>
          <w:rFonts w:cstheme="minorHAnsi"/>
        </w:rPr>
        <w:t xml:space="preserve"> </w:t>
      </w:r>
      <w:r w:rsidRPr="00D93D2D">
        <w:rPr>
          <w:rFonts w:cstheme="minorHAnsi"/>
        </w:rPr>
        <w:t>per DALY averted, the probability that decentralized testing would be cost-effective relative to centralized testing was 0.</w:t>
      </w:r>
      <w:r w:rsidR="00390F9C" w:rsidRPr="00D93D2D">
        <w:rPr>
          <w:rFonts w:cstheme="minorHAnsi"/>
        </w:rPr>
        <w:t>57</w:t>
      </w:r>
      <w:r w:rsidRPr="00D93D2D">
        <w:rPr>
          <w:rFonts w:cstheme="minorHAnsi"/>
        </w:rPr>
        <w:t xml:space="preserve"> (compared to 0.98 </w:t>
      </w:r>
      <w:r w:rsidR="00C81F81" w:rsidRPr="00D93D2D">
        <w:rPr>
          <w:rFonts w:cstheme="minorHAnsi"/>
        </w:rPr>
        <w:t>in the primary analysis</w:t>
      </w:r>
      <w:r w:rsidRPr="00D93D2D">
        <w:rPr>
          <w:rFonts w:cstheme="minorHAnsi"/>
        </w:rPr>
        <w:t xml:space="preserve">) assuming moderate decentralized testing volume and no cost-sharing for centralized specimen transport (Figure </w:t>
      </w:r>
      <w:r w:rsidR="00390F9C" w:rsidRPr="00D93D2D">
        <w:rPr>
          <w:rFonts w:cstheme="minorHAnsi"/>
        </w:rPr>
        <w:t>S</w:t>
      </w:r>
      <w:r w:rsidR="00293F6B">
        <w:rPr>
          <w:rFonts w:cstheme="minorHAnsi"/>
        </w:rPr>
        <w:t>10</w:t>
      </w:r>
      <w:r w:rsidRPr="00D93D2D">
        <w:rPr>
          <w:rFonts w:cstheme="minorHAnsi"/>
        </w:rPr>
        <w:t>-solid blue line), and 0.</w:t>
      </w:r>
      <w:r w:rsidR="00390F9C" w:rsidRPr="00D93D2D">
        <w:rPr>
          <w:rFonts w:cstheme="minorHAnsi"/>
        </w:rPr>
        <w:t>07</w:t>
      </w:r>
      <w:r w:rsidRPr="00D93D2D">
        <w:rPr>
          <w:rFonts w:cstheme="minorHAnsi"/>
        </w:rPr>
        <w:t xml:space="preserve"> (compare</w:t>
      </w:r>
      <w:r w:rsidR="00C81F81" w:rsidRPr="00D93D2D">
        <w:rPr>
          <w:rFonts w:cstheme="minorHAnsi"/>
        </w:rPr>
        <w:t>d</w:t>
      </w:r>
      <w:r w:rsidRPr="00D93D2D">
        <w:rPr>
          <w:rFonts w:cstheme="minorHAnsi"/>
        </w:rPr>
        <w:t xml:space="preserve"> to 0.</w:t>
      </w:r>
      <w:r w:rsidR="00390F9C" w:rsidRPr="00D93D2D">
        <w:rPr>
          <w:rFonts w:cstheme="minorHAnsi"/>
        </w:rPr>
        <w:t>66</w:t>
      </w:r>
      <w:r w:rsidRPr="00D93D2D">
        <w:rPr>
          <w:rFonts w:cstheme="minorHAnsi"/>
        </w:rPr>
        <w:t xml:space="preserve">) assuming moderate decentralized volume and 95% cost-sharing (Figure </w:t>
      </w:r>
      <w:r w:rsidR="00390F9C" w:rsidRPr="00D93D2D">
        <w:rPr>
          <w:rFonts w:cstheme="minorHAnsi"/>
        </w:rPr>
        <w:t>S</w:t>
      </w:r>
      <w:r w:rsidR="00293F6B">
        <w:rPr>
          <w:rFonts w:cstheme="minorHAnsi"/>
        </w:rPr>
        <w:t>10</w:t>
      </w:r>
      <w:r w:rsidRPr="00D93D2D">
        <w:rPr>
          <w:rFonts w:cstheme="minorHAnsi"/>
        </w:rPr>
        <w:t>-solid red line)</w:t>
      </w:r>
      <w:r w:rsidR="00C77224" w:rsidRPr="00D93D2D">
        <w:rPr>
          <w:rFonts w:cstheme="minorHAnsi"/>
        </w:rPr>
        <w:t>.</w:t>
      </w:r>
    </w:p>
    <w:p w14:paraId="4EE779E6" w14:textId="06AB0D78" w:rsidR="00C77224" w:rsidRPr="00D93D2D" w:rsidRDefault="00A81093" w:rsidP="00C77224">
      <w:pPr>
        <w:jc w:val="both"/>
        <w:rPr>
          <w:rFonts w:cstheme="minorHAnsi"/>
          <w:bCs/>
        </w:rPr>
      </w:pPr>
      <w:r w:rsidRPr="00D93D2D">
        <w:rPr>
          <w:rFonts w:cstheme="minorHAnsi"/>
          <w:bCs/>
          <w:noProof/>
        </w:rPr>
        <w:drawing>
          <wp:inline distT="0" distB="0" distL="0" distR="0" wp14:anchorId="6B307375" wp14:editId="36783937">
            <wp:extent cx="5942404" cy="2774669"/>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r-baseline.jpeg"/>
                    <pic:cNvPicPr/>
                  </pic:nvPicPr>
                  <pic:blipFill rotWithShape="1">
                    <a:blip r:embed="rId20" cstate="print">
                      <a:extLst>
                        <a:ext uri="{28A0092B-C50C-407E-A947-70E740481C1C}">
                          <a14:useLocalDpi xmlns:a14="http://schemas.microsoft.com/office/drawing/2010/main" val="0"/>
                        </a:ext>
                      </a:extLst>
                    </a:blip>
                    <a:srcRect t="16101" b="6078"/>
                    <a:stretch/>
                  </pic:blipFill>
                  <pic:spPr bwMode="auto">
                    <a:xfrm>
                      <a:off x="0" y="0"/>
                      <a:ext cx="5943600" cy="2775228"/>
                    </a:xfrm>
                    <a:prstGeom prst="rect">
                      <a:avLst/>
                    </a:prstGeom>
                    <a:ln>
                      <a:noFill/>
                    </a:ln>
                    <a:extLst>
                      <a:ext uri="{53640926-AAD7-44D8-BBD7-CCE9431645EC}">
                        <a14:shadowObscured xmlns:a14="http://schemas.microsoft.com/office/drawing/2010/main"/>
                      </a:ext>
                    </a:extLst>
                  </pic:spPr>
                </pic:pic>
              </a:graphicData>
            </a:graphic>
          </wp:inline>
        </w:drawing>
      </w:r>
    </w:p>
    <w:p w14:paraId="73C818FA" w14:textId="3199D1E5" w:rsidR="00C77224" w:rsidRPr="00D93D2D" w:rsidRDefault="00C77224" w:rsidP="00060BF2">
      <w:pPr>
        <w:jc w:val="both"/>
        <w:rPr>
          <w:rFonts w:cstheme="minorHAnsi"/>
        </w:rPr>
        <w:sectPr w:rsidR="00C77224" w:rsidRPr="00D93D2D" w:rsidSect="009A3C9B">
          <w:footnotePr>
            <w:numFmt w:val="chicago"/>
            <w:numStart w:val="2"/>
          </w:footnotePr>
          <w:pgSz w:w="12240" w:h="15840"/>
          <w:pgMar w:top="1440" w:right="1440" w:bottom="1440" w:left="1440" w:header="720" w:footer="720" w:gutter="0"/>
          <w:cols w:space="425"/>
          <w:docGrid w:linePitch="360"/>
        </w:sectPr>
      </w:pPr>
      <w:r w:rsidRPr="00D93D2D">
        <w:rPr>
          <w:rFonts w:cstheme="minorHAnsi"/>
          <w:b/>
        </w:rPr>
        <w:t xml:space="preserve">Figure </w:t>
      </w:r>
      <w:r w:rsidR="00A81093" w:rsidRPr="00D93D2D">
        <w:rPr>
          <w:rFonts w:cstheme="minorHAnsi"/>
          <w:b/>
        </w:rPr>
        <w:t>S</w:t>
      </w:r>
      <w:r w:rsidR="00293F6B">
        <w:rPr>
          <w:rFonts w:cstheme="minorHAnsi"/>
          <w:b/>
        </w:rPr>
        <w:t>10</w:t>
      </w:r>
      <w:r w:rsidRPr="00D93D2D">
        <w:rPr>
          <w:rFonts w:cstheme="minorHAnsi"/>
          <w:b/>
        </w:rPr>
        <w:t xml:space="preserve">. Cost-Effectiveness acceptability curves comparing the centralized and decentralized Xpert cost scenarios when smear is used </w:t>
      </w:r>
      <w:r w:rsidR="00C81F81" w:rsidRPr="00D93D2D">
        <w:rPr>
          <w:rFonts w:cstheme="minorHAnsi"/>
          <w:b/>
        </w:rPr>
        <w:t>in addition to</w:t>
      </w:r>
      <w:r w:rsidRPr="00D93D2D">
        <w:rPr>
          <w:rFonts w:cstheme="minorHAnsi"/>
          <w:b/>
        </w:rPr>
        <w:t xml:space="preserve"> Xpert. </w:t>
      </w:r>
      <w:r w:rsidRPr="00D93D2D">
        <w:rPr>
          <w:rFonts w:cstheme="minorHAnsi"/>
        </w:rPr>
        <w:t xml:space="preserve">The x-axis shows the cost per DALY averted via decentralized Xpert compared to centralized testing and the y-axis shows the proportion of stochastic simulations falling below </w:t>
      </w:r>
      <w:r w:rsidR="00390F9C" w:rsidRPr="00D93D2D">
        <w:rPr>
          <w:rFonts w:cstheme="minorHAnsi"/>
        </w:rPr>
        <w:t>alternative</w:t>
      </w:r>
      <w:r w:rsidRPr="00D93D2D">
        <w:rPr>
          <w:rFonts w:cstheme="minorHAnsi"/>
        </w:rPr>
        <w:t xml:space="preserve"> cost-effectiveness thresholds </w:t>
      </w:r>
      <w:r w:rsidR="00390F9C" w:rsidRPr="00D93D2D">
        <w:rPr>
          <w:rFonts w:cstheme="minorHAnsi"/>
        </w:rPr>
        <w:t>(</w:t>
      </w:r>
      <w:r w:rsidRPr="00D93D2D">
        <w:rPr>
          <w:rFonts w:cstheme="minorHAnsi"/>
        </w:rPr>
        <w:t>dotted black line</w:t>
      </w:r>
      <w:r w:rsidR="00390F9C" w:rsidRPr="00D93D2D">
        <w:rPr>
          <w:rFonts w:cstheme="minorHAnsi"/>
        </w:rPr>
        <w:t>s</w:t>
      </w:r>
      <w:r w:rsidRPr="00D93D2D">
        <w:rPr>
          <w:rFonts w:cstheme="minorHAnsi"/>
        </w:rPr>
        <w:t xml:space="preserve">). Cost-effectiveness values are computed for the four unit-cost comparisons when centralized specimen transport is utilized at no vs. 95% cost sharing and testing volume ranges from 0.3 to 3 per day in the decentralized scenario.  </w:t>
      </w:r>
    </w:p>
    <w:p w14:paraId="1D8024D7" w14:textId="0254C921" w:rsidR="009A3C9B" w:rsidRPr="00D93D2D" w:rsidRDefault="009A3C9B" w:rsidP="00060BF2">
      <w:pPr>
        <w:pStyle w:val="Caption"/>
        <w:keepNext/>
        <w:rPr>
          <w:rFonts w:asciiTheme="minorHAnsi" w:hAnsiTheme="minorHAnsi" w:cstheme="minorHAnsi"/>
          <w:b w:val="0"/>
          <w:bCs w:val="0"/>
        </w:rPr>
      </w:pPr>
    </w:p>
    <w:tbl>
      <w:tblPr>
        <w:tblW w:w="13000" w:type="dxa"/>
        <w:tblLook w:val="04A0" w:firstRow="1" w:lastRow="0" w:firstColumn="1" w:lastColumn="0" w:noHBand="0" w:noVBand="1"/>
      </w:tblPr>
      <w:tblGrid>
        <w:gridCol w:w="1300"/>
        <w:gridCol w:w="1300"/>
        <w:gridCol w:w="810"/>
        <w:gridCol w:w="1790"/>
        <w:gridCol w:w="370"/>
        <w:gridCol w:w="2230"/>
        <w:gridCol w:w="560"/>
        <w:gridCol w:w="2040"/>
        <w:gridCol w:w="390"/>
        <w:gridCol w:w="2210"/>
      </w:tblGrid>
      <w:tr w:rsidR="009A3C9B" w:rsidRPr="00D93D2D" w14:paraId="12F5967D" w14:textId="77777777" w:rsidTr="009A3C9B">
        <w:trPr>
          <w:trHeight w:val="288"/>
        </w:trPr>
        <w:tc>
          <w:tcPr>
            <w:tcW w:w="1300" w:type="dxa"/>
            <w:tcBorders>
              <w:top w:val="single" w:sz="8" w:space="0" w:color="000000" w:themeColor="text1"/>
              <w:left w:val="single" w:sz="8" w:space="0" w:color="000000" w:themeColor="text1"/>
              <w:bottom w:val="single" w:sz="8" w:space="0" w:color="BFBFBF"/>
              <w:right w:val="single" w:sz="8" w:space="0" w:color="BFBFBF"/>
            </w:tcBorders>
            <w:shd w:val="clear" w:color="000000" w:fill="E7E6E6"/>
            <w:vAlign w:val="center"/>
            <w:hideMark/>
          </w:tcPr>
          <w:p w14:paraId="5C102293" w14:textId="77777777" w:rsidR="009A3C9B" w:rsidRPr="00D93D2D" w:rsidRDefault="009A3C9B" w:rsidP="00060BF2">
            <w:pPr>
              <w:spacing w:after="0" w:line="240" w:lineRule="auto"/>
              <w:jc w:val="both"/>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 </w:t>
            </w:r>
          </w:p>
        </w:tc>
        <w:tc>
          <w:tcPr>
            <w:tcW w:w="3900" w:type="dxa"/>
            <w:gridSpan w:val="3"/>
            <w:tcBorders>
              <w:top w:val="single" w:sz="8" w:space="0" w:color="000000" w:themeColor="text1"/>
              <w:left w:val="nil"/>
              <w:bottom w:val="single" w:sz="8" w:space="0" w:color="BFBFBF"/>
              <w:right w:val="single" w:sz="8" w:space="0" w:color="BFBFBF"/>
            </w:tcBorders>
            <w:shd w:val="clear" w:color="000000" w:fill="E7E6E6"/>
            <w:vAlign w:val="center"/>
            <w:hideMark/>
          </w:tcPr>
          <w:p w14:paraId="720B3E16" w14:textId="77777777" w:rsidR="009A3C9B" w:rsidRPr="00D93D2D" w:rsidRDefault="009A3C9B" w:rsidP="00223893">
            <w:pPr>
              <w:spacing w:after="0" w:line="240" w:lineRule="auto"/>
              <w:jc w:val="center"/>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Centralized Xpert with 95% cost-sharing for specimen transport</w:t>
            </w:r>
          </w:p>
        </w:tc>
        <w:tc>
          <w:tcPr>
            <w:tcW w:w="2600" w:type="dxa"/>
            <w:gridSpan w:val="2"/>
            <w:tcBorders>
              <w:top w:val="single" w:sz="8" w:space="0" w:color="000000" w:themeColor="text1"/>
              <w:left w:val="nil"/>
              <w:bottom w:val="single" w:sz="8" w:space="0" w:color="BFBFBF"/>
              <w:right w:val="single" w:sz="8" w:space="0" w:color="BFBFBF"/>
            </w:tcBorders>
            <w:shd w:val="clear" w:color="000000" w:fill="E7E6E6"/>
            <w:vAlign w:val="center"/>
            <w:hideMark/>
          </w:tcPr>
          <w:p w14:paraId="3459C648" w14:textId="77777777" w:rsidR="009A3C9B" w:rsidRPr="00D93D2D" w:rsidRDefault="009A3C9B" w:rsidP="00223893">
            <w:pPr>
              <w:spacing w:after="0" w:line="240" w:lineRule="auto"/>
              <w:jc w:val="center"/>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Centralized Xpert with no cost-sharing for specimen transport</w:t>
            </w:r>
          </w:p>
        </w:tc>
        <w:tc>
          <w:tcPr>
            <w:tcW w:w="2600" w:type="dxa"/>
            <w:gridSpan w:val="2"/>
            <w:tcBorders>
              <w:top w:val="single" w:sz="8" w:space="0" w:color="000000" w:themeColor="text1"/>
              <w:left w:val="nil"/>
              <w:bottom w:val="single" w:sz="8" w:space="0" w:color="BFBFBF"/>
              <w:right w:val="single" w:sz="8" w:space="0" w:color="BFBFBF"/>
            </w:tcBorders>
            <w:shd w:val="clear" w:color="000000" w:fill="E7E6E6"/>
            <w:vAlign w:val="center"/>
            <w:hideMark/>
          </w:tcPr>
          <w:p w14:paraId="73188E65" w14:textId="77777777" w:rsidR="009A3C9B" w:rsidRPr="00D93D2D" w:rsidRDefault="009A3C9B" w:rsidP="00223893">
            <w:pPr>
              <w:spacing w:after="0" w:line="240" w:lineRule="auto"/>
              <w:jc w:val="center"/>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Decentralized Xpert with test volume at 3 per day</w:t>
            </w:r>
          </w:p>
        </w:tc>
        <w:tc>
          <w:tcPr>
            <w:tcW w:w="2600" w:type="dxa"/>
            <w:gridSpan w:val="2"/>
            <w:tcBorders>
              <w:top w:val="single" w:sz="8" w:space="0" w:color="000000" w:themeColor="text1"/>
              <w:left w:val="nil"/>
              <w:bottom w:val="single" w:sz="8" w:space="0" w:color="BFBFBF"/>
              <w:right w:val="single" w:sz="8" w:space="0" w:color="000000" w:themeColor="text1"/>
            </w:tcBorders>
            <w:shd w:val="clear" w:color="000000" w:fill="E7E6E6"/>
            <w:vAlign w:val="center"/>
            <w:hideMark/>
          </w:tcPr>
          <w:p w14:paraId="101BBB85" w14:textId="77777777" w:rsidR="009A3C9B" w:rsidRPr="00D93D2D" w:rsidRDefault="009A3C9B" w:rsidP="00223893">
            <w:pPr>
              <w:spacing w:after="0" w:line="240" w:lineRule="auto"/>
              <w:jc w:val="center"/>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Decentralized Xpert with test volume at 0.3 per day</w:t>
            </w:r>
          </w:p>
        </w:tc>
      </w:tr>
      <w:tr w:rsidR="009A3C9B" w:rsidRPr="00D93D2D" w14:paraId="165F7804" w14:textId="77777777" w:rsidTr="009A3C9B">
        <w:trPr>
          <w:trHeight w:val="288"/>
        </w:trPr>
        <w:tc>
          <w:tcPr>
            <w:tcW w:w="1300" w:type="dxa"/>
            <w:vMerge w:val="restart"/>
            <w:tcBorders>
              <w:top w:val="nil"/>
              <w:left w:val="single" w:sz="8" w:space="0" w:color="000000" w:themeColor="text1"/>
              <w:bottom w:val="single" w:sz="8" w:space="0" w:color="BFBFBF"/>
              <w:right w:val="single" w:sz="8" w:space="0" w:color="BFBFBF"/>
            </w:tcBorders>
            <w:shd w:val="clear" w:color="000000" w:fill="E7E6E6"/>
            <w:vAlign w:val="center"/>
            <w:hideMark/>
          </w:tcPr>
          <w:p w14:paraId="729B0396" w14:textId="77777777" w:rsidR="009A3C9B" w:rsidRPr="00D93D2D" w:rsidRDefault="009A3C9B" w:rsidP="00060BF2">
            <w:pPr>
              <w:spacing w:after="0" w:line="240" w:lineRule="auto"/>
              <w:jc w:val="both"/>
              <w:rPr>
                <w:rFonts w:eastAsia="Times New Roman" w:cstheme="minorHAnsi"/>
                <w:b/>
                <w:bCs/>
                <w:color w:val="000000"/>
                <w:sz w:val="18"/>
                <w:szCs w:val="18"/>
                <w:lang w:eastAsia="en-US"/>
              </w:rPr>
            </w:pPr>
            <w:r w:rsidRPr="00D93D2D">
              <w:rPr>
                <w:rFonts w:eastAsia="Times New Roman" w:cstheme="minorHAnsi"/>
                <w:b/>
                <w:bCs/>
                <w:color w:val="000000" w:themeColor="text1"/>
                <w:sz w:val="18"/>
                <w:szCs w:val="18"/>
                <w:lang w:eastAsia="en-US"/>
              </w:rPr>
              <w:t>Total Costs**</w:t>
            </w:r>
          </w:p>
        </w:tc>
        <w:tc>
          <w:tcPr>
            <w:tcW w:w="3900" w:type="dxa"/>
            <w:gridSpan w:val="3"/>
            <w:tcBorders>
              <w:top w:val="single" w:sz="8" w:space="0" w:color="BFBFBF"/>
              <w:left w:val="nil"/>
              <w:bottom w:val="nil"/>
              <w:right w:val="single" w:sz="8" w:space="0" w:color="BFBFBF"/>
            </w:tcBorders>
            <w:shd w:val="clear" w:color="auto" w:fill="auto"/>
            <w:vAlign w:val="center"/>
            <w:hideMark/>
          </w:tcPr>
          <w:p w14:paraId="3FE58AF4" w14:textId="7A0390C8"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$187</w:t>
            </w:r>
          </w:p>
        </w:tc>
        <w:tc>
          <w:tcPr>
            <w:tcW w:w="2600" w:type="dxa"/>
            <w:gridSpan w:val="2"/>
            <w:tcBorders>
              <w:top w:val="single" w:sz="8" w:space="0" w:color="BFBFBF"/>
              <w:left w:val="nil"/>
              <w:bottom w:val="nil"/>
              <w:right w:val="single" w:sz="8" w:space="0" w:color="BFBFBF"/>
            </w:tcBorders>
            <w:shd w:val="clear" w:color="auto" w:fill="auto"/>
            <w:vAlign w:val="center"/>
            <w:hideMark/>
          </w:tcPr>
          <w:p w14:paraId="6410770C" w14:textId="75D6518C"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$19</w:t>
            </w:r>
            <w:r w:rsidR="005A6E42" w:rsidRPr="00D93D2D">
              <w:rPr>
                <w:rFonts w:eastAsia="Times New Roman" w:cstheme="minorHAnsi"/>
                <w:color w:val="000000" w:themeColor="text1"/>
                <w:sz w:val="18"/>
                <w:szCs w:val="18"/>
                <w:lang w:eastAsia="en-US"/>
              </w:rPr>
              <w:t>5</w:t>
            </w:r>
          </w:p>
        </w:tc>
        <w:tc>
          <w:tcPr>
            <w:tcW w:w="2600" w:type="dxa"/>
            <w:gridSpan w:val="2"/>
            <w:tcBorders>
              <w:top w:val="single" w:sz="8" w:space="0" w:color="BFBFBF"/>
              <w:left w:val="nil"/>
              <w:bottom w:val="nil"/>
              <w:right w:val="single" w:sz="8" w:space="0" w:color="BFBFBF"/>
            </w:tcBorders>
            <w:shd w:val="clear" w:color="auto" w:fill="auto"/>
            <w:vAlign w:val="center"/>
            <w:hideMark/>
          </w:tcPr>
          <w:p w14:paraId="66B40157" w14:textId="3A0362AB"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$19</w:t>
            </w:r>
            <w:r w:rsidR="005A6E42" w:rsidRPr="00D93D2D">
              <w:rPr>
                <w:rFonts w:eastAsia="Times New Roman" w:cstheme="minorHAnsi"/>
                <w:color w:val="000000" w:themeColor="text1"/>
                <w:sz w:val="18"/>
                <w:szCs w:val="18"/>
                <w:lang w:eastAsia="en-US"/>
              </w:rPr>
              <w:t>6</w:t>
            </w:r>
          </w:p>
        </w:tc>
        <w:tc>
          <w:tcPr>
            <w:tcW w:w="2600" w:type="dxa"/>
            <w:gridSpan w:val="2"/>
            <w:tcBorders>
              <w:top w:val="single" w:sz="8" w:space="0" w:color="BFBFBF"/>
              <w:left w:val="nil"/>
              <w:bottom w:val="nil"/>
              <w:right w:val="single" w:sz="8" w:space="0" w:color="000000" w:themeColor="text1"/>
            </w:tcBorders>
            <w:shd w:val="clear" w:color="auto" w:fill="auto"/>
            <w:vAlign w:val="center"/>
            <w:hideMark/>
          </w:tcPr>
          <w:p w14:paraId="22A45BB8" w14:textId="2EED08DF"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$217</w:t>
            </w:r>
          </w:p>
        </w:tc>
      </w:tr>
      <w:tr w:rsidR="009A3C9B" w:rsidRPr="00D93D2D" w14:paraId="04DCEEA9" w14:textId="77777777" w:rsidTr="009A3C9B">
        <w:trPr>
          <w:trHeight w:val="288"/>
        </w:trPr>
        <w:tc>
          <w:tcPr>
            <w:tcW w:w="1300" w:type="dxa"/>
            <w:vMerge/>
            <w:tcBorders>
              <w:top w:val="nil"/>
              <w:left w:val="single" w:sz="8" w:space="0" w:color="000000" w:themeColor="text1"/>
              <w:bottom w:val="single" w:sz="8" w:space="0" w:color="BFBFBF"/>
              <w:right w:val="single" w:sz="8" w:space="0" w:color="BFBFBF"/>
            </w:tcBorders>
            <w:vAlign w:val="center"/>
            <w:hideMark/>
          </w:tcPr>
          <w:p w14:paraId="678BE095" w14:textId="77777777" w:rsidR="009A3C9B" w:rsidRPr="00D93D2D" w:rsidRDefault="009A3C9B" w:rsidP="00060BF2">
            <w:pPr>
              <w:spacing w:after="0" w:line="240" w:lineRule="auto"/>
              <w:jc w:val="both"/>
              <w:rPr>
                <w:rFonts w:eastAsia="Times New Roman" w:cstheme="minorHAnsi"/>
                <w:b/>
                <w:bCs/>
                <w:color w:val="000000"/>
                <w:sz w:val="18"/>
                <w:szCs w:val="18"/>
                <w:lang w:eastAsia="en-US"/>
              </w:rPr>
            </w:pPr>
          </w:p>
        </w:tc>
        <w:tc>
          <w:tcPr>
            <w:tcW w:w="3900" w:type="dxa"/>
            <w:gridSpan w:val="3"/>
            <w:tcBorders>
              <w:top w:val="nil"/>
              <w:left w:val="nil"/>
              <w:bottom w:val="single" w:sz="8" w:space="0" w:color="BFBFBF"/>
              <w:right w:val="single" w:sz="8" w:space="0" w:color="BFBFBF"/>
            </w:tcBorders>
            <w:shd w:val="clear" w:color="auto" w:fill="auto"/>
            <w:vAlign w:val="center"/>
            <w:hideMark/>
          </w:tcPr>
          <w:p w14:paraId="7C3397A1" w14:textId="278A9F35"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[$156 – $221]</w:t>
            </w:r>
          </w:p>
        </w:tc>
        <w:tc>
          <w:tcPr>
            <w:tcW w:w="2600" w:type="dxa"/>
            <w:gridSpan w:val="2"/>
            <w:tcBorders>
              <w:top w:val="nil"/>
              <w:left w:val="nil"/>
              <w:bottom w:val="single" w:sz="8" w:space="0" w:color="BFBFBF"/>
              <w:right w:val="single" w:sz="8" w:space="0" w:color="BFBFBF"/>
            </w:tcBorders>
            <w:shd w:val="clear" w:color="auto" w:fill="auto"/>
            <w:vAlign w:val="center"/>
            <w:hideMark/>
          </w:tcPr>
          <w:p w14:paraId="624D0415" w14:textId="07AD11ED"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[$163 – $229]</w:t>
            </w:r>
          </w:p>
        </w:tc>
        <w:tc>
          <w:tcPr>
            <w:tcW w:w="2600" w:type="dxa"/>
            <w:gridSpan w:val="2"/>
            <w:tcBorders>
              <w:top w:val="nil"/>
              <w:left w:val="nil"/>
              <w:bottom w:val="single" w:sz="8" w:space="0" w:color="BFBFBF"/>
              <w:right w:val="single" w:sz="8" w:space="0" w:color="BFBFBF"/>
            </w:tcBorders>
            <w:shd w:val="clear" w:color="auto" w:fill="auto"/>
            <w:vAlign w:val="center"/>
            <w:hideMark/>
          </w:tcPr>
          <w:p w14:paraId="3FA27890" w14:textId="2000C469"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[$164 – $230]</w:t>
            </w:r>
          </w:p>
        </w:tc>
        <w:tc>
          <w:tcPr>
            <w:tcW w:w="2600" w:type="dxa"/>
            <w:gridSpan w:val="2"/>
            <w:tcBorders>
              <w:top w:val="nil"/>
              <w:left w:val="nil"/>
              <w:bottom w:val="single" w:sz="8" w:space="0" w:color="BFBFBF"/>
              <w:right w:val="single" w:sz="8" w:space="0" w:color="000000" w:themeColor="text1"/>
            </w:tcBorders>
            <w:shd w:val="clear" w:color="auto" w:fill="auto"/>
            <w:vAlign w:val="center"/>
            <w:hideMark/>
          </w:tcPr>
          <w:p w14:paraId="56F80B78" w14:textId="43EE94F3"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[$18</w:t>
            </w:r>
            <w:r w:rsidR="005A6E42" w:rsidRPr="00D93D2D">
              <w:rPr>
                <w:rFonts w:eastAsia="Times New Roman" w:cstheme="minorHAnsi"/>
                <w:color w:val="000000" w:themeColor="text1"/>
                <w:sz w:val="18"/>
                <w:szCs w:val="18"/>
                <w:lang w:eastAsia="en-US"/>
              </w:rPr>
              <w:t>5</w:t>
            </w:r>
            <w:r w:rsidRPr="00D93D2D">
              <w:rPr>
                <w:rFonts w:eastAsia="Times New Roman" w:cstheme="minorHAnsi"/>
                <w:color w:val="000000" w:themeColor="text1"/>
                <w:sz w:val="18"/>
                <w:szCs w:val="18"/>
                <w:lang w:eastAsia="en-US"/>
              </w:rPr>
              <w:t xml:space="preserve"> – $253]</w:t>
            </w:r>
          </w:p>
        </w:tc>
      </w:tr>
      <w:tr w:rsidR="009A3C9B" w:rsidRPr="00D93D2D" w14:paraId="2F5CD978" w14:textId="77777777" w:rsidTr="009A3C9B">
        <w:trPr>
          <w:trHeight w:val="288"/>
        </w:trPr>
        <w:tc>
          <w:tcPr>
            <w:tcW w:w="1300" w:type="dxa"/>
            <w:vMerge w:val="restart"/>
            <w:tcBorders>
              <w:top w:val="nil"/>
              <w:left w:val="single" w:sz="8" w:space="0" w:color="000000" w:themeColor="text1"/>
              <w:bottom w:val="single" w:sz="8" w:space="0" w:color="404040"/>
              <w:right w:val="single" w:sz="8" w:space="0" w:color="BFBFBF"/>
            </w:tcBorders>
            <w:shd w:val="clear" w:color="000000" w:fill="E7E6E6"/>
            <w:vAlign w:val="center"/>
            <w:hideMark/>
          </w:tcPr>
          <w:p w14:paraId="2ABC8ABC" w14:textId="77777777" w:rsidR="009A3C9B" w:rsidRPr="00D93D2D" w:rsidRDefault="009A3C9B" w:rsidP="00060BF2">
            <w:pPr>
              <w:spacing w:after="0" w:line="240" w:lineRule="auto"/>
              <w:jc w:val="both"/>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Total DALYs</w:t>
            </w:r>
          </w:p>
        </w:tc>
        <w:tc>
          <w:tcPr>
            <w:tcW w:w="6500" w:type="dxa"/>
            <w:gridSpan w:val="5"/>
            <w:tcBorders>
              <w:top w:val="single" w:sz="8" w:space="0" w:color="BFBFBF"/>
              <w:left w:val="nil"/>
              <w:bottom w:val="nil"/>
              <w:right w:val="single" w:sz="8" w:space="0" w:color="BFBFBF"/>
            </w:tcBorders>
            <w:shd w:val="clear" w:color="auto" w:fill="auto"/>
            <w:vAlign w:val="center"/>
            <w:hideMark/>
          </w:tcPr>
          <w:p w14:paraId="1E2310C3" w14:textId="77777777"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732,682</w:t>
            </w:r>
          </w:p>
        </w:tc>
        <w:tc>
          <w:tcPr>
            <w:tcW w:w="5200" w:type="dxa"/>
            <w:gridSpan w:val="4"/>
            <w:tcBorders>
              <w:top w:val="single" w:sz="8" w:space="0" w:color="BFBFBF"/>
              <w:left w:val="nil"/>
              <w:bottom w:val="nil"/>
              <w:right w:val="single" w:sz="8" w:space="0" w:color="000000" w:themeColor="text1"/>
            </w:tcBorders>
            <w:shd w:val="clear" w:color="auto" w:fill="auto"/>
            <w:vAlign w:val="center"/>
            <w:hideMark/>
          </w:tcPr>
          <w:p w14:paraId="4246C0BD" w14:textId="17DC9C57"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730</w:t>
            </w:r>
            <w:r w:rsidR="00060BF2" w:rsidRPr="00D93D2D">
              <w:rPr>
                <w:rFonts w:eastAsia="Times New Roman" w:cstheme="minorHAnsi"/>
                <w:color w:val="000000" w:themeColor="text1"/>
                <w:sz w:val="18"/>
                <w:szCs w:val="18"/>
                <w:lang w:eastAsia="en-US"/>
              </w:rPr>
              <w:t>,</w:t>
            </w:r>
            <w:r w:rsidRPr="00D93D2D">
              <w:rPr>
                <w:rFonts w:eastAsia="Times New Roman" w:cstheme="minorHAnsi"/>
                <w:color w:val="000000" w:themeColor="text1"/>
                <w:sz w:val="18"/>
                <w:szCs w:val="18"/>
                <w:lang w:eastAsia="en-US"/>
              </w:rPr>
              <w:t>838</w:t>
            </w:r>
          </w:p>
        </w:tc>
      </w:tr>
      <w:tr w:rsidR="009A3C9B" w:rsidRPr="00D93D2D" w14:paraId="6AC33378" w14:textId="77777777" w:rsidTr="009A3C9B">
        <w:trPr>
          <w:trHeight w:val="288"/>
        </w:trPr>
        <w:tc>
          <w:tcPr>
            <w:tcW w:w="1300" w:type="dxa"/>
            <w:vMerge/>
            <w:tcBorders>
              <w:top w:val="nil"/>
              <w:left w:val="single" w:sz="8" w:space="0" w:color="000000" w:themeColor="text1"/>
              <w:bottom w:val="single" w:sz="8" w:space="0" w:color="404040"/>
              <w:right w:val="single" w:sz="8" w:space="0" w:color="BFBFBF"/>
            </w:tcBorders>
            <w:vAlign w:val="center"/>
            <w:hideMark/>
          </w:tcPr>
          <w:p w14:paraId="180F9D06" w14:textId="77777777" w:rsidR="009A3C9B" w:rsidRPr="00D93D2D" w:rsidRDefault="009A3C9B" w:rsidP="00060BF2">
            <w:pPr>
              <w:spacing w:after="0" w:line="240" w:lineRule="auto"/>
              <w:jc w:val="both"/>
              <w:rPr>
                <w:rFonts w:eastAsia="Times New Roman" w:cstheme="minorHAnsi"/>
                <w:b/>
                <w:bCs/>
                <w:color w:val="000000"/>
                <w:sz w:val="18"/>
                <w:szCs w:val="18"/>
                <w:lang w:eastAsia="en-US"/>
              </w:rPr>
            </w:pPr>
          </w:p>
        </w:tc>
        <w:tc>
          <w:tcPr>
            <w:tcW w:w="6500" w:type="dxa"/>
            <w:gridSpan w:val="5"/>
            <w:tcBorders>
              <w:top w:val="nil"/>
              <w:left w:val="nil"/>
              <w:bottom w:val="single" w:sz="8" w:space="0" w:color="404040"/>
              <w:right w:val="single" w:sz="8" w:space="0" w:color="BFBFBF"/>
            </w:tcBorders>
            <w:shd w:val="clear" w:color="auto" w:fill="auto"/>
            <w:vAlign w:val="center"/>
            <w:hideMark/>
          </w:tcPr>
          <w:p w14:paraId="2A07AD26" w14:textId="22E3F87D"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[692</w:t>
            </w:r>
            <w:r w:rsidR="00060BF2" w:rsidRPr="00D93D2D">
              <w:rPr>
                <w:rFonts w:eastAsia="Times New Roman" w:cstheme="minorHAnsi"/>
                <w:color w:val="000000" w:themeColor="text1"/>
                <w:sz w:val="18"/>
                <w:szCs w:val="18"/>
                <w:lang w:eastAsia="en-US"/>
              </w:rPr>
              <w:t>,</w:t>
            </w:r>
            <w:r w:rsidRPr="00D93D2D">
              <w:rPr>
                <w:rFonts w:eastAsia="Times New Roman" w:cstheme="minorHAnsi"/>
                <w:color w:val="000000" w:themeColor="text1"/>
                <w:sz w:val="18"/>
                <w:szCs w:val="18"/>
                <w:lang w:eastAsia="en-US"/>
              </w:rPr>
              <w:t>849 – 775</w:t>
            </w:r>
            <w:r w:rsidR="00060BF2" w:rsidRPr="00D93D2D">
              <w:rPr>
                <w:rFonts w:eastAsia="Times New Roman" w:cstheme="minorHAnsi"/>
                <w:color w:val="000000" w:themeColor="text1"/>
                <w:sz w:val="18"/>
                <w:szCs w:val="18"/>
                <w:lang w:eastAsia="en-US"/>
              </w:rPr>
              <w:t>,</w:t>
            </w:r>
            <w:r w:rsidRPr="00D93D2D">
              <w:rPr>
                <w:rFonts w:eastAsia="Times New Roman" w:cstheme="minorHAnsi"/>
                <w:color w:val="000000" w:themeColor="text1"/>
                <w:sz w:val="18"/>
                <w:szCs w:val="18"/>
                <w:lang w:eastAsia="en-US"/>
              </w:rPr>
              <w:t>659]</w:t>
            </w:r>
          </w:p>
        </w:tc>
        <w:tc>
          <w:tcPr>
            <w:tcW w:w="5200" w:type="dxa"/>
            <w:gridSpan w:val="4"/>
            <w:tcBorders>
              <w:top w:val="nil"/>
              <w:left w:val="nil"/>
              <w:bottom w:val="single" w:sz="8" w:space="0" w:color="404040"/>
              <w:right w:val="single" w:sz="8" w:space="0" w:color="000000" w:themeColor="text1"/>
            </w:tcBorders>
            <w:shd w:val="clear" w:color="auto" w:fill="auto"/>
            <w:vAlign w:val="center"/>
            <w:hideMark/>
          </w:tcPr>
          <w:p w14:paraId="038A469A" w14:textId="447E2070"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[692</w:t>
            </w:r>
            <w:r w:rsidR="00060BF2" w:rsidRPr="00D93D2D">
              <w:rPr>
                <w:rFonts w:eastAsia="Times New Roman" w:cstheme="minorHAnsi"/>
                <w:color w:val="000000" w:themeColor="text1"/>
                <w:sz w:val="18"/>
                <w:szCs w:val="18"/>
                <w:lang w:eastAsia="en-US"/>
              </w:rPr>
              <w:t>,</w:t>
            </w:r>
            <w:r w:rsidRPr="00D93D2D">
              <w:rPr>
                <w:rFonts w:eastAsia="Times New Roman" w:cstheme="minorHAnsi"/>
                <w:color w:val="000000" w:themeColor="text1"/>
                <w:sz w:val="18"/>
                <w:szCs w:val="18"/>
                <w:lang w:eastAsia="en-US"/>
              </w:rPr>
              <w:t>027 – 773</w:t>
            </w:r>
            <w:r w:rsidR="00060BF2" w:rsidRPr="00D93D2D">
              <w:rPr>
                <w:rFonts w:eastAsia="Times New Roman" w:cstheme="minorHAnsi"/>
                <w:color w:val="000000" w:themeColor="text1"/>
                <w:sz w:val="18"/>
                <w:szCs w:val="18"/>
                <w:lang w:eastAsia="en-US"/>
              </w:rPr>
              <w:t>,</w:t>
            </w:r>
            <w:r w:rsidRPr="00D93D2D">
              <w:rPr>
                <w:rFonts w:eastAsia="Times New Roman" w:cstheme="minorHAnsi"/>
                <w:color w:val="000000" w:themeColor="text1"/>
                <w:sz w:val="18"/>
                <w:szCs w:val="18"/>
                <w:lang w:eastAsia="en-US"/>
              </w:rPr>
              <w:t>548]</w:t>
            </w:r>
          </w:p>
        </w:tc>
      </w:tr>
      <w:tr w:rsidR="009A3C9B" w:rsidRPr="00D93D2D" w14:paraId="0BF77984" w14:textId="77777777" w:rsidTr="009A3C9B">
        <w:trPr>
          <w:trHeight w:val="288"/>
        </w:trPr>
        <w:tc>
          <w:tcPr>
            <w:tcW w:w="13000" w:type="dxa"/>
            <w:gridSpan w:val="10"/>
            <w:tcBorders>
              <w:top w:val="single" w:sz="8" w:space="0" w:color="404040"/>
              <w:left w:val="single" w:sz="8" w:space="0" w:color="000000" w:themeColor="text1"/>
              <w:bottom w:val="single" w:sz="8" w:space="0" w:color="D9D9D9"/>
              <w:right w:val="single" w:sz="8" w:space="0" w:color="000000" w:themeColor="text1"/>
            </w:tcBorders>
            <w:shd w:val="clear" w:color="000000" w:fill="E7E6E6"/>
            <w:vAlign w:val="center"/>
            <w:hideMark/>
          </w:tcPr>
          <w:p w14:paraId="5D9A8544" w14:textId="77777777" w:rsidR="009A3C9B" w:rsidRPr="00D93D2D" w:rsidRDefault="009A3C9B" w:rsidP="00060BF2">
            <w:pPr>
              <w:spacing w:after="0" w:line="240" w:lineRule="auto"/>
              <w:jc w:val="both"/>
              <w:rPr>
                <w:rFonts w:eastAsia="Times New Roman" w:cstheme="minorHAnsi"/>
                <w:b/>
                <w:bCs/>
                <w:color w:val="000000"/>
                <w:sz w:val="18"/>
                <w:szCs w:val="18"/>
                <w:lang w:eastAsia="en-US"/>
              </w:rPr>
            </w:pPr>
            <w:r w:rsidRPr="00D93D2D">
              <w:rPr>
                <w:rFonts w:eastAsia="Times New Roman" w:cstheme="minorHAnsi"/>
                <w:b/>
                <w:bCs/>
                <w:color w:val="000000" w:themeColor="text1"/>
                <w:sz w:val="18"/>
                <w:szCs w:val="18"/>
                <w:lang w:eastAsia="en-US"/>
              </w:rPr>
              <w:t>Comparing Centralized  vs. Decentralized Xpert</w:t>
            </w:r>
          </w:p>
        </w:tc>
      </w:tr>
      <w:tr w:rsidR="009A3C9B" w:rsidRPr="00D93D2D" w14:paraId="69BF2FF0" w14:textId="77777777" w:rsidTr="009A3C9B">
        <w:trPr>
          <w:trHeight w:val="288"/>
        </w:trPr>
        <w:tc>
          <w:tcPr>
            <w:tcW w:w="2600" w:type="dxa"/>
            <w:gridSpan w:val="2"/>
            <w:tcBorders>
              <w:top w:val="single" w:sz="8" w:space="0" w:color="D9D9D9"/>
              <w:left w:val="single" w:sz="8" w:space="0" w:color="000000" w:themeColor="text1"/>
              <w:bottom w:val="single" w:sz="8" w:space="0" w:color="BFBFBF"/>
              <w:right w:val="single" w:sz="8" w:space="0" w:color="BFBFBF"/>
            </w:tcBorders>
            <w:shd w:val="clear" w:color="000000" w:fill="E7E6E6"/>
            <w:vAlign w:val="center"/>
            <w:hideMark/>
          </w:tcPr>
          <w:p w14:paraId="2FFD8170" w14:textId="77777777" w:rsidR="009A3C9B" w:rsidRPr="00D93D2D" w:rsidRDefault="009A3C9B" w:rsidP="00060BF2">
            <w:pPr>
              <w:spacing w:after="0" w:line="240" w:lineRule="auto"/>
              <w:jc w:val="both"/>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Centralized Xpert</w:t>
            </w:r>
          </w:p>
        </w:tc>
        <w:tc>
          <w:tcPr>
            <w:tcW w:w="810" w:type="dxa"/>
            <w:tcBorders>
              <w:top w:val="nil"/>
              <w:left w:val="nil"/>
              <w:bottom w:val="single" w:sz="8" w:space="0" w:color="BFBFBF"/>
              <w:right w:val="single" w:sz="8" w:space="0" w:color="BFBFBF"/>
            </w:tcBorders>
            <w:shd w:val="clear" w:color="000000" w:fill="E7E6E6"/>
            <w:vAlign w:val="center"/>
            <w:hideMark/>
          </w:tcPr>
          <w:p w14:paraId="2B5B8047" w14:textId="77777777" w:rsidR="009A3C9B" w:rsidRPr="00D93D2D" w:rsidRDefault="009A3C9B" w:rsidP="00060BF2">
            <w:pPr>
              <w:spacing w:after="0" w:line="240" w:lineRule="auto"/>
              <w:jc w:val="both"/>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vs.</w:t>
            </w:r>
          </w:p>
        </w:tc>
        <w:tc>
          <w:tcPr>
            <w:tcW w:w="2160" w:type="dxa"/>
            <w:gridSpan w:val="2"/>
            <w:tcBorders>
              <w:top w:val="single" w:sz="8" w:space="0" w:color="D9D9D9"/>
              <w:left w:val="nil"/>
              <w:bottom w:val="single" w:sz="8" w:space="0" w:color="BFBFBF"/>
              <w:right w:val="single" w:sz="8" w:space="0" w:color="BFBFBF"/>
            </w:tcBorders>
            <w:shd w:val="clear" w:color="000000" w:fill="E7E6E6"/>
            <w:vAlign w:val="center"/>
            <w:hideMark/>
          </w:tcPr>
          <w:p w14:paraId="7054EE6B" w14:textId="77777777" w:rsidR="009A3C9B" w:rsidRPr="00D93D2D" w:rsidRDefault="009A3C9B" w:rsidP="00060BF2">
            <w:pPr>
              <w:spacing w:after="0" w:line="240" w:lineRule="auto"/>
              <w:jc w:val="both"/>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Decentralized Xpert</w:t>
            </w:r>
          </w:p>
        </w:tc>
        <w:tc>
          <w:tcPr>
            <w:tcW w:w="2790" w:type="dxa"/>
            <w:gridSpan w:val="2"/>
            <w:tcBorders>
              <w:top w:val="single" w:sz="8" w:space="0" w:color="D9D9D9"/>
              <w:left w:val="nil"/>
              <w:bottom w:val="single" w:sz="8" w:space="0" w:color="BFBFBF"/>
              <w:right w:val="single" w:sz="8" w:space="0" w:color="BFBFBF"/>
            </w:tcBorders>
            <w:shd w:val="clear" w:color="000000" w:fill="E7E6E6"/>
            <w:vAlign w:val="center"/>
            <w:hideMark/>
          </w:tcPr>
          <w:p w14:paraId="054B7BC8" w14:textId="77777777" w:rsidR="009A3C9B" w:rsidRPr="00D93D2D" w:rsidRDefault="009A3C9B" w:rsidP="00223893">
            <w:pPr>
              <w:spacing w:after="0" w:line="240" w:lineRule="auto"/>
              <w:jc w:val="center"/>
              <w:rPr>
                <w:rFonts w:eastAsia="Times New Roman" w:cstheme="minorHAnsi"/>
                <w:b/>
                <w:bCs/>
                <w:color w:val="000000"/>
                <w:sz w:val="18"/>
                <w:szCs w:val="18"/>
                <w:lang w:eastAsia="en-US"/>
              </w:rPr>
            </w:pPr>
            <w:r w:rsidRPr="00D93D2D">
              <w:rPr>
                <w:rFonts w:eastAsia="Times New Roman" w:cstheme="minorHAnsi"/>
                <w:b/>
                <w:bCs/>
                <w:color w:val="000000"/>
                <w:sz w:val="18"/>
                <w:szCs w:val="18"/>
                <w:lang w:eastAsia="en-US"/>
              </w:rPr>
              <w:t>Difference in costs**</w:t>
            </w:r>
          </w:p>
        </w:tc>
        <w:tc>
          <w:tcPr>
            <w:tcW w:w="2430" w:type="dxa"/>
            <w:gridSpan w:val="2"/>
            <w:tcBorders>
              <w:top w:val="single" w:sz="8" w:space="0" w:color="D9D9D9"/>
              <w:left w:val="nil"/>
              <w:bottom w:val="single" w:sz="8" w:space="0" w:color="BFBFBF"/>
              <w:right w:val="single" w:sz="8" w:space="0" w:color="BFBFBF"/>
            </w:tcBorders>
            <w:shd w:val="clear" w:color="000000" w:fill="E7E6E6"/>
            <w:vAlign w:val="center"/>
            <w:hideMark/>
          </w:tcPr>
          <w:p w14:paraId="3BD85357" w14:textId="77777777" w:rsidR="009A3C9B" w:rsidRPr="00D93D2D" w:rsidRDefault="009A3C9B" w:rsidP="00223893">
            <w:pPr>
              <w:spacing w:after="0" w:line="240" w:lineRule="auto"/>
              <w:jc w:val="center"/>
              <w:rPr>
                <w:rFonts w:eastAsia="Times New Roman" w:cstheme="minorHAnsi"/>
                <w:b/>
                <w:bCs/>
                <w:color w:val="000000"/>
                <w:sz w:val="18"/>
                <w:szCs w:val="18"/>
                <w:lang w:eastAsia="en-US"/>
              </w:rPr>
            </w:pPr>
            <w:r w:rsidRPr="00D93D2D">
              <w:rPr>
                <w:rFonts w:eastAsia="Times New Roman" w:cstheme="minorHAnsi"/>
                <w:b/>
                <w:bCs/>
                <w:color w:val="000000" w:themeColor="text1"/>
                <w:sz w:val="18"/>
                <w:szCs w:val="18"/>
                <w:lang w:eastAsia="en-US"/>
              </w:rPr>
              <w:t>Difference in DALYs</w:t>
            </w:r>
          </w:p>
        </w:tc>
        <w:tc>
          <w:tcPr>
            <w:tcW w:w="2210" w:type="dxa"/>
            <w:tcBorders>
              <w:top w:val="nil"/>
              <w:left w:val="nil"/>
              <w:bottom w:val="single" w:sz="8" w:space="0" w:color="D0CECE" w:themeColor="background2" w:themeShade="E6"/>
              <w:right w:val="single" w:sz="8" w:space="0" w:color="000000" w:themeColor="text1"/>
            </w:tcBorders>
            <w:shd w:val="clear" w:color="000000" w:fill="E7E6E6"/>
            <w:vAlign w:val="center"/>
            <w:hideMark/>
          </w:tcPr>
          <w:p w14:paraId="75020678" w14:textId="77777777" w:rsidR="009A3C9B" w:rsidRPr="00D93D2D" w:rsidRDefault="009A3C9B" w:rsidP="00223893">
            <w:pPr>
              <w:spacing w:after="0" w:line="240" w:lineRule="auto"/>
              <w:jc w:val="center"/>
              <w:rPr>
                <w:rFonts w:eastAsia="Times New Roman" w:cstheme="minorHAnsi"/>
                <w:b/>
                <w:bCs/>
                <w:color w:val="000000"/>
                <w:sz w:val="18"/>
                <w:szCs w:val="18"/>
                <w:lang w:eastAsia="en-US"/>
              </w:rPr>
            </w:pPr>
            <w:r w:rsidRPr="00D93D2D">
              <w:rPr>
                <w:rFonts w:eastAsia="Times New Roman" w:cstheme="minorHAnsi"/>
                <w:b/>
                <w:bCs/>
                <w:color w:val="000000" w:themeColor="text1"/>
                <w:sz w:val="18"/>
                <w:szCs w:val="18"/>
                <w:lang w:eastAsia="en-US"/>
              </w:rPr>
              <w:t>Cost per DALY averted</w:t>
            </w:r>
          </w:p>
        </w:tc>
      </w:tr>
      <w:tr w:rsidR="009A3C9B" w:rsidRPr="00D93D2D" w14:paraId="1FEB0332" w14:textId="77777777" w:rsidTr="009A3C9B">
        <w:trPr>
          <w:trHeight w:val="288"/>
        </w:trPr>
        <w:tc>
          <w:tcPr>
            <w:tcW w:w="2600" w:type="dxa"/>
            <w:gridSpan w:val="2"/>
            <w:vMerge w:val="restart"/>
            <w:tcBorders>
              <w:top w:val="single" w:sz="8" w:space="0" w:color="BFBFBF"/>
              <w:left w:val="single" w:sz="8" w:space="0" w:color="000000" w:themeColor="text1"/>
              <w:bottom w:val="single" w:sz="8" w:space="0" w:color="BFBFBF"/>
              <w:right w:val="single" w:sz="8" w:space="0" w:color="BFBFBF"/>
            </w:tcBorders>
            <w:shd w:val="clear" w:color="000000" w:fill="E7E6E6"/>
            <w:vAlign w:val="center"/>
            <w:hideMark/>
          </w:tcPr>
          <w:p w14:paraId="669EFE40"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95% cost-sharing for specimen transport</w:t>
            </w:r>
          </w:p>
        </w:tc>
        <w:tc>
          <w:tcPr>
            <w:tcW w:w="810" w:type="dxa"/>
            <w:vMerge w:val="restart"/>
            <w:tcBorders>
              <w:top w:val="nil"/>
              <w:left w:val="single" w:sz="8" w:space="0" w:color="BFBFBF"/>
              <w:bottom w:val="single" w:sz="8" w:space="0" w:color="BFBFBF"/>
              <w:right w:val="single" w:sz="8" w:space="0" w:color="BFBFBF"/>
            </w:tcBorders>
            <w:shd w:val="clear" w:color="000000" w:fill="E7E6E6"/>
            <w:vAlign w:val="center"/>
            <w:hideMark/>
          </w:tcPr>
          <w:p w14:paraId="7C8CC4F3"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vs.</w:t>
            </w:r>
          </w:p>
        </w:tc>
        <w:tc>
          <w:tcPr>
            <w:tcW w:w="2160" w:type="dxa"/>
            <w:gridSpan w:val="2"/>
            <w:vMerge w:val="restart"/>
            <w:tcBorders>
              <w:top w:val="single" w:sz="8" w:space="0" w:color="BFBFBF"/>
              <w:left w:val="single" w:sz="8" w:space="0" w:color="BFBFBF"/>
              <w:bottom w:val="single" w:sz="8" w:space="0" w:color="BFBFBF"/>
              <w:right w:val="single" w:sz="8" w:space="0" w:color="BFBFBF"/>
            </w:tcBorders>
            <w:shd w:val="clear" w:color="000000" w:fill="E7E6E6"/>
            <w:vAlign w:val="center"/>
            <w:hideMark/>
          </w:tcPr>
          <w:p w14:paraId="3F6C871A"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Test volume at 3 per day</w:t>
            </w:r>
          </w:p>
        </w:tc>
        <w:tc>
          <w:tcPr>
            <w:tcW w:w="2790" w:type="dxa"/>
            <w:gridSpan w:val="2"/>
            <w:tcBorders>
              <w:top w:val="single" w:sz="8" w:space="0" w:color="BFBFBF"/>
              <w:left w:val="nil"/>
              <w:bottom w:val="nil"/>
              <w:right w:val="single" w:sz="8" w:space="0" w:color="BFBFBF"/>
            </w:tcBorders>
            <w:shd w:val="clear" w:color="auto" w:fill="auto"/>
            <w:vAlign w:val="center"/>
            <w:hideMark/>
          </w:tcPr>
          <w:p w14:paraId="4187CEC8" w14:textId="0B58ED90"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$8</w:t>
            </w:r>
            <w:r w:rsidR="005A6E42" w:rsidRPr="00D93D2D">
              <w:rPr>
                <w:rFonts w:eastAsia="Times New Roman" w:cstheme="minorHAnsi"/>
                <w:color w:val="000000" w:themeColor="text1"/>
                <w:sz w:val="18"/>
                <w:szCs w:val="18"/>
                <w:lang w:eastAsia="en-US"/>
              </w:rPr>
              <w:t>.0</w:t>
            </w:r>
          </w:p>
        </w:tc>
        <w:tc>
          <w:tcPr>
            <w:tcW w:w="2430" w:type="dxa"/>
            <w:gridSpan w:val="2"/>
            <w:vMerge w:val="restart"/>
            <w:tcBorders>
              <w:top w:val="single" w:sz="8" w:space="0" w:color="BFBFBF"/>
              <w:left w:val="nil"/>
              <w:right w:val="single" w:sz="8" w:space="0" w:color="D0CECE" w:themeColor="background2" w:themeShade="E6"/>
            </w:tcBorders>
            <w:shd w:val="clear" w:color="auto" w:fill="auto"/>
            <w:vAlign w:val="center"/>
            <w:hideMark/>
          </w:tcPr>
          <w:p w14:paraId="734AB79D" w14:textId="77777777"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1,735</w:t>
            </w:r>
          </w:p>
          <w:p w14:paraId="12149C6F" w14:textId="68C70E5E"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[-1,235 – 4,615]</w:t>
            </w:r>
          </w:p>
        </w:tc>
        <w:tc>
          <w:tcPr>
            <w:tcW w:w="2210" w:type="dxa"/>
            <w:tcBorders>
              <w:top w:val="single" w:sz="8" w:space="0" w:color="D0CECE" w:themeColor="background2" w:themeShade="E6"/>
              <w:left w:val="single" w:sz="8" w:space="0" w:color="D0CECE" w:themeColor="background2" w:themeShade="E6"/>
              <w:bottom w:val="nil"/>
              <w:right w:val="single" w:sz="8" w:space="0" w:color="000000" w:themeColor="text1"/>
            </w:tcBorders>
            <w:shd w:val="clear" w:color="auto" w:fill="auto"/>
            <w:vAlign w:val="center"/>
            <w:hideMark/>
          </w:tcPr>
          <w:p w14:paraId="3BC216A1" w14:textId="4C112ED4" w:rsidR="009A3C9B" w:rsidRPr="00D93D2D" w:rsidRDefault="009A3C9B" w:rsidP="0021355E">
            <w:pPr>
              <w:spacing w:after="0" w:line="240" w:lineRule="auto"/>
              <w:jc w:val="center"/>
              <w:rPr>
                <w:rFonts w:eastAsia="Times New Roman" w:cstheme="minorHAnsi"/>
                <w:color w:val="000000" w:themeColor="text1"/>
                <w:sz w:val="18"/>
                <w:szCs w:val="18"/>
                <w:lang w:eastAsia="en-US"/>
              </w:rPr>
            </w:pPr>
            <w:r w:rsidRPr="00D93D2D">
              <w:rPr>
                <w:rFonts w:eastAsia="Times New Roman" w:cstheme="minorHAnsi"/>
                <w:color w:val="000000" w:themeColor="text1"/>
                <w:sz w:val="18"/>
                <w:szCs w:val="18"/>
                <w:lang w:eastAsia="en-US"/>
              </w:rPr>
              <w:t>$4,915</w:t>
            </w:r>
          </w:p>
        </w:tc>
      </w:tr>
      <w:tr w:rsidR="009A3C9B" w:rsidRPr="00D93D2D" w14:paraId="202BE272" w14:textId="77777777" w:rsidTr="009A3C9B">
        <w:trPr>
          <w:trHeight w:val="288"/>
        </w:trPr>
        <w:tc>
          <w:tcPr>
            <w:tcW w:w="2600" w:type="dxa"/>
            <w:gridSpan w:val="2"/>
            <w:vMerge/>
            <w:tcBorders>
              <w:top w:val="single" w:sz="8" w:space="0" w:color="BFBFBF"/>
              <w:left w:val="single" w:sz="8" w:space="0" w:color="000000" w:themeColor="text1"/>
              <w:bottom w:val="single" w:sz="8" w:space="0" w:color="BFBFBF"/>
              <w:right w:val="single" w:sz="8" w:space="0" w:color="BFBFBF"/>
            </w:tcBorders>
            <w:vAlign w:val="center"/>
            <w:hideMark/>
          </w:tcPr>
          <w:p w14:paraId="15E64D70"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810" w:type="dxa"/>
            <w:vMerge/>
            <w:tcBorders>
              <w:top w:val="nil"/>
              <w:left w:val="single" w:sz="8" w:space="0" w:color="BFBFBF"/>
              <w:bottom w:val="single" w:sz="8" w:space="0" w:color="BFBFBF"/>
              <w:right w:val="single" w:sz="8" w:space="0" w:color="BFBFBF"/>
            </w:tcBorders>
            <w:vAlign w:val="center"/>
            <w:hideMark/>
          </w:tcPr>
          <w:p w14:paraId="3F3584F9"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2160" w:type="dxa"/>
            <w:gridSpan w:val="2"/>
            <w:vMerge/>
            <w:tcBorders>
              <w:top w:val="single" w:sz="8" w:space="0" w:color="BFBFBF"/>
              <w:left w:val="single" w:sz="8" w:space="0" w:color="BFBFBF"/>
              <w:bottom w:val="single" w:sz="8" w:space="0" w:color="BFBFBF"/>
              <w:right w:val="single" w:sz="8" w:space="0" w:color="BFBFBF"/>
            </w:tcBorders>
            <w:vAlign w:val="center"/>
            <w:hideMark/>
          </w:tcPr>
          <w:p w14:paraId="033B22A5"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2790" w:type="dxa"/>
            <w:gridSpan w:val="2"/>
            <w:tcBorders>
              <w:top w:val="nil"/>
              <w:left w:val="nil"/>
              <w:bottom w:val="nil"/>
              <w:right w:val="single" w:sz="8" w:space="0" w:color="BFBFBF"/>
            </w:tcBorders>
            <w:shd w:val="clear" w:color="auto" w:fill="auto"/>
            <w:vAlign w:val="center"/>
            <w:hideMark/>
          </w:tcPr>
          <w:p w14:paraId="0EACD3C9" w14:textId="23D19FAC"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w:t>
            </w:r>
            <w:r w:rsidR="005A6E42" w:rsidRPr="00D93D2D">
              <w:rPr>
                <w:rFonts w:eastAsia="Times New Roman" w:cstheme="minorHAnsi"/>
                <w:color w:val="000000" w:themeColor="text1"/>
                <w:sz w:val="18"/>
                <w:szCs w:val="18"/>
                <w:lang w:eastAsia="en-US"/>
              </w:rPr>
              <w:t>7.7</w:t>
            </w:r>
            <w:r w:rsidRPr="00D93D2D">
              <w:rPr>
                <w:rFonts w:eastAsia="Times New Roman" w:cstheme="minorHAnsi"/>
                <w:color w:val="000000" w:themeColor="text1"/>
                <w:sz w:val="18"/>
                <w:szCs w:val="18"/>
                <w:lang w:eastAsia="en-US"/>
              </w:rPr>
              <w:t xml:space="preserve"> – $9</w:t>
            </w:r>
            <w:r w:rsidR="005A6E42" w:rsidRPr="00D93D2D">
              <w:rPr>
                <w:rFonts w:eastAsia="Times New Roman" w:cstheme="minorHAnsi"/>
                <w:color w:val="000000" w:themeColor="text1"/>
                <w:sz w:val="18"/>
                <w:szCs w:val="18"/>
                <w:lang w:eastAsia="en-US"/>
              </w:rPr>
              <w:t>.3</w:t>
            </w:r>
            <w:r w:rsidRPr="00D93D2D">
              <w:rPr>
                <w:rFonts w:eastAsia="Times New Roman" w:cstheme="minorHAnsi"/>
                <w:color w:val="000000" w:themeColor="text1"/>
                <w:sz w:val="18"/>
                <w:szCs w:val="18"/>
                <w:lang w:eastAsia="en-US"/>
              </w:rPr>
              <w:t>]</w:t>
            </w:r>
          </w:p>
        </w:tc>
        <w:tc>
          <w:tcPr>
            <w:tcW w:w="2430" w:type="dxa"/>
            <w:gridSpan w:val="2"/>
            <w:vMerge/>
            <w:tcBorders>
              <w:left w:val="nil"/>
              <w:right w:val="single" w:sz="8" w:space="0" w:color="D0CECE" w:themeColor="background2" w:themeShade="E6"/>
            </w:tcBorders>
            <w:shd w:val="clear" w:color="auto" w:fill="auto"/>
            <w:vAlign w:val="center"/>
            <w:hideMark/>
          </w:tcPr>
          <w:p w14:paraId="17457036" w14:textId="649CED5B" w:rsidR="009A3C9B" w:rsidRPr="00D93D2D" w:rsidRDefault="009A3C9B" w:rsidP="0021355E">
            <w:pPr>
              <w:spacing w:after="0" w:line="240" w:lineRule="auto"/>
              <w:jc w:val="center"/>
              <w:rPr>
                <w:rFonts w:eastAsia="Times New Roman" w:cstheme="minorHAnsi"/>
                <w:color w:val="000000"/>
                <w:sz w:val="18"/>
                <w:szCs w:val="18"/>
                <w:lang w:eastAsia="en-US"/>
              </w:rPr>
            </w:pPr>
          </w:p>
        </w:tc>
        <w:tc>
          <w:tcPr>
            <w:tcW w:w="2210" w:type="dxa"/>
            <w:tcBorders>
              <w:top w:val="nil"/>
              <w:left w:val="single" w:sz="8" w:space="0" w:color="D0CECE" w:themeColor="background2" w:themeShade="E6"/>
              <w:bottom w:val="single" w:sz="8" w:space="0" w:color="D0CECE" w:themeColor="background2" w:themeShade="E6"/>
              <w:right w:val="single" w:sz="8" w:space="0" w:color="000000" w:themeColor="text1"/>
            </w:tcBorders>
            <w:shd w:val="clear" w:color="auto" w:fill="auto"/>
            <w:vAlign w:val="center"/>
            <w:hideMark/>
          </w:tcPr>
          <w:p w14:paraId="5DEE75D9" w14:textId="79C1B73F" w:rsidR="009A3C9B" w:rsidRPr="00D93D2D" w:rsidRDefault="009A3C9B" w:rsidP="0021355E">
            <w:pPr>
              <w:spacing w:after="0" w:line="240" w:lineRule="auto"/>
              <w:jc w:val="center"/>
              <w:rPr>
                <w:rFonts w:eastAsia="Times New Roman" w:cstheme="minorHAnsi"/>
                <w:color w:val="000000" w:themeColor="text1"/>
                <w:sz w:val="18"/>
                <w:szCs w:val="18"/>
                <w:lang w:eastAsia="en-US"/>
              </w:rPr>
            </w:pPr>
            <w:r w:rsidRPr="00D93D2D">
              <w:rPr>
                <w:rFonts w:eastAsia="Times New Roman" w:cstheme="minorHAnsi"/>
                <w:color w:val="000000" w:themeColor="text1"/>
                <w:sz w:val="18"/>
                <w:szCs w:val="18"/>
                <w:lang w:eastAsia="en-US"/>
              </w:rPr>
              <w:t>[1,812 – Inf*]</w:t>
            </w:r>
          </w:p>
        </w:tc>
      </w:tr>
      <w:tr w:rsidR="009A3C9B" w:rsidRPr="00D93D2D" w14:paraId="42D6788A" w14:textId="77777777" w:rsidTr="009A3C9B">
        <w:trPr>
          <w:trHeight w:val="288"/>
        </w:trPr>
        <w:tc>
          <w:tcPr>
            <w:tcW w:w="2600" w:type="dxa"/>
            <w:gridSpan w:val="2"/>
            <w:vMerge w:val="restart"/>
            <w:tcBorders>
              <w:top w:val="single" w:sz="8" w:space="0" w:color="BFBFBF"/>
              <w:left w:val="single" w:sz="8" w:space="0" w:color="000000" w:themeColor="text1"/>
              <w:bottom w:val="single" w:sz="8" w:space="0" w:color="BFBFBF"/>
              <w:right w:val="single" w:sz="8" w:space="0" w:color="BFBFBF"/>
            </w:tcBorders>
            <w:shd w:val="clear" w:color="000000" w:fill="E7E6E6"/>
            <w:vAlign w:val="center"/>
            <w:hideMark/>
          </w:tcPr>
          <w:p w14:paraId="4E9AF65F"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No cost-sharing for specimen transport</w:t>
            </w:r>
          </w:p>
        </w:tc>
        <w:tc>
          <w:tcPr>
            <w:tcW w:w="810" w:type="dxa"/>
            <w:vMerge w:val="restart"/>
            <w:tcBorders>
              <w:top w:val="nil"/>
              <w:left w:val="single" w:sz="8" w:space="0" w:color="BFBFBF"/>
              <w:bottom w:val="single" w:sz="8" w:space="0" w:color="BFBFBF"/>
              <w:right w:val="single" w:sz="8" w:space="0" w:color="BFBFBF"/>
            </w:tcBorders>
            <w:shd w:val="clear" w:color="000000" w:fill="E7E6E6"/>
            <w:vAlign w:val="center"/>
            <w:hideMark/>
          </w:tcPr>
          <w:p w14:paraId="29EA74E0"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vs.</w:t>
            </w:r>
          </w:p>
        </w:tc>
        <w:tc>
          <w:tcPr>
            <w:tcW w:w="2160" w:type="dxa"/>
            <w:gridSpan w:val="2"/>
            <w:vMerge w:val="restart"/>
            <w:tcBorders>
              <w:top w:val="single" w:sz="8" w:space="0" w:color="BFBFBF"/>
              <w:left w:val="single" w:sz="8" w:space="0" w:color="BFBFBF"/>
              <w:bottom w:val="single" w:sz="8" w:space="0" w:color="BFBFBF"/>
              <w:right w:val="single" w:sz="8" w:space="0" w:color="BFBFBF"/>
            </w:tcBorders>
            <w:shd w:val="clear" w:color="000000" w:fill="E7E6E6"/>
            <w:vAlign w:val="center"/>
            <w:hideMark/>
          </w:tcPr>
          <w:p w14:paraId="22929177"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Test volume at 3 per day</w:t>
            </w:r>
          </w:p>
        </w:tc>
        <w:tc>
          <w:tcPr>
            <w:tcW w:w="2790" w:type="dxa"/>
            <w:gridSpan w:val="2"/>
            <w:tcBorders>
              <w:top w:val="single" w:sz="8" w:space="0" w:color="BFBFBF"/>
              <w:left w:val="nil"/>
              <w:bottom w:val="nil"/>
              <w:right w:val="single" w:sz="8" w:space="0" w:color="BFBFBF"/>
            </w:tcBorders>
            <w:shd w:val="clear" w:color="auto" w:fill="auto"/>
            <w:vAlign w:val="center"/>
            <w:hideMark/>
          </w:tcPr>
          <w:p w14:paraId="6BE33EC5" w14:textId="3BE74EB8"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w:t>
            </w:r>
            <w:r w:rsidR="005A6E42" w:rsidRPr="00D93D2D">
              <w:rPr>
                <w:rFonts w:eastAsia="Times New Roman" w:cstheme="minorHAnsi"/>
                <w:color w:val="000000" w:themeColor="text1"/>
                <w:sz w:val="18"/>
                <w:szCs w:val="18"/>
                <w:lang w:eastAsia="en-US"/>
              </w:rPr>
              <w:t>1.0</w:t>
            </w:r>
          </w:p>
        </w:tc>
        <w:tc>
          <w:tcPr>
            <w:tcW w:w="2430" w:type="dxa"/>
            <w:gridSpan w:val="2"/>
            <w:vMerge/>
            <w:tcBorders>
              <w:left w:val="nil"/>
              <w:right w:val="single" w:sz="8" w:space="0" w:color="D0CECE" w:themeColor="background2" w:themeShade="E6"/>
            </w:tcBorders>
            <w:shd w:val="clear" w:color="auto" w:fill="auto"/>
            <w:vAlign w:val="center"/>
            <w:hideMark/>
          </w:tcPr>
          <w:p w14:paraId="07EC02C8" w14:textId="2549B13F" w:rsidR="009A3C9B" w:rsidRPr="00D93D2D" w:rsidRDefault="009A3C9B" w:rsidP="0021355E">
            <w:pPr>
              <w:spacing w:after="0" w:line="240" w:lineRule="auto"/>
              <w:jc w:val="center"/>
              <w:rPr>
                <w:rFonts w:eastAsia="Times New Roman" w:cstheme="minorHAnsi"/>
                <w:color w:val="000000"/>
                <w:sz w:val="18"/>
                <w:szCs w:val="18"/>
                <w:lang w:eastAsia="en-US"/>
              </w:rPr>
            </w:pPr>
          </w:p>
        </w:tc>
        <w:tc>
          <w:tcPr>
            <w:tcW w:w="2210" w:type="dxa"/>
            <w:tcBorders>
              <w:top w:val="single" w:sz="8" w:space="0" w:color="D0CECE" w:themeColor="background2" w:themeShade="E6"/>
              <w:left w:val="single" w:sz="8" w:space="0" w:color="D0CECE" w:themeColor="background2" w:themeShade="E6"/>
              <w:bottom w:val="nil"/>
              <w:right w:val="single" w:sz="8" w:space="0" w:color="000000" w:themeColor="text1"/>
            </w:tcBorders>
            <w:shd w:val="clear" w:color="auto" w:fill="auto"/>
            <w:vAlign w:val="center"/>
            <w:hideMark/>
          </w:tcPr>
          <w:p w14:paraId="043365D6" w14:textId="4A3E45CB" w:rsidR="009A3C9B" w:rsidRPr="00D93D2D" w:rsidRDefault="009A3C9B" w:rsidP="0021355E">
            <w:pPr>
              <w:spacing w:after="0" w:line="240" w:lineRule="auto"/>
              <w:jc w:val="center"/>
              <w:rPr>
                <w:rFonts w:eastAsia="Times New Roman" w:cstheme="minorHAnsi"/>
                <w:color w:val="000000" w:themeColor="text1"/>
                <w:sz w:val="18"/>
                <w:szCs w:val="18"/>
                <w:lang w:eastAsia="en-US"/>
              </w:rPr>
            </w:pPr>
            <w:r w:rsidRPr="00D93D2D">
              <w:rPr>
                <w:rFonts w:eastAsia="Times New Roman" w:cstheme="minorHAnsi"/>
                <w:color w:val="000000" w:themeColor="text1"/>
                <w:sz w:val="18"/>
                <w:szCs w:val="18"/>
                <w:lang w:eastAsia="en-US"/>
              </w:rPr>
              <w:t>$589</w:t>
            </w:r>
          </w:p>
        </w:tc>
      </w:tr>
      <w:tr w:rsidR="009A3C9B" w:rsidRPr="00D93D2D" w14:paraId="2EEBF87D" w14:textId="77777777" w:rsidTr="009A3C9B">
        <w:trPr>
          <w:trHeight w:val="288"/>
        </w:trPr>
        <w:tc>
          <w:tcPr>
            <w:tcW w:w="2600" w:type="dxa"/>
            <w:gridSpan w:val="2"/>
            <w:vMerge/>
            <w:tcBorders>
              <w:top w:val="single" w:sz="8" w:space="0" w:color="BFBFBF"/>
              <w:left w:val="single" w:sz="8" w:space="0" w:color="000000" w:themeColor="text1"/>
              <w:bottom w:val="single" w:sz="8" w:space="0" w:color="BFBFBF"/>
              <w:right w:val="single" w:sz="8" w:space="0" w:color="BFBFBF"/>
            </w:tcBorders>
            <w:vAlign w:val="center"/>
            <w:hideMark/>
          </w:tcPr>
          <w:p w14:paraId="38DB3002"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810" w:type="dxa"/>
            <w:vMerge/>
            <w:tcBorders>
              <w:top w:val="nil"/>
              <w:left w:val="single" w:sz="8" w:space="0" w:color="BFBFBF"/>
              <w:bottom w:val="single" w:sz="8" w:space="0" w:color="BFBFBF"/>
              <w:right w:val="single" w:sz="8" w:space="0" w:color="BFBFBF"/>
            </w:tcBorders>
            <w:vAlign w:val="center"/>
            <w:hideMark/>
          </w:tcPr>
          <w:p w14:paraId="4BCD8974"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2160" w:type="dxa"/>
            <w:gridSpan w:val="2"/>
            <w:vMerge/>
            <w:tcBorders>
              <w:top w:val="single" w:sz="8" w:space="0" w:color="BFBFBF"/>
              <w:left w:val="single" w:sz="8" w:space="0" w:color="BFBFBF"/>
              <w:bottom w:val="single" w:sz="8" w:space="0" w:color="BFBFBF"/>
              <w:right w:val="single" w:sz="8" w:space="0" w:color="BFBFBF"/>
            </w:tcBorders>
            <w:vAlign w:val="center"/>
            <w:hideMark/>
          </w:tcPr>
          <w:p w14:paraId="271F00FB"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2790" w:type="dxa"/>
            <w:gridSpan w:val="2"/>
            <w:tcBorders>
              <w:top w:val="nil"/>
              <w:left w:val="nil"/>
              <w:bottom w:val="nil"/>
              <w:right w:val="single" w:sz="8" w:space="0" w:color="BFBFBF"/>
            </w:tcBorders>
            <w:shd w:val="clear" w:color="auto" w:fill="auto"/>
            <w:vAlign w:val="center"/>
            <w:hideMark/>
          </w:tcPr>
          <w:p w14:paraId="6B756EDA" w14:textId="5E4B700F"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w:t>
            </w:r>
            <w:r w:rsidR="005A6E42" w:rsidRPr="00D93D2D">
              <w:rPr>
                <w:rFonts w:eastAsia="Times New Roman" w:cstheme="minorHAnsi"/>
                <w:color w:val="000000" w:themeColor="text1"/>
                <w:sz w:val="18"/>
                <w:szCs w:val="18"/>
                <w:lang w:eastAsia="en-US"/>
              </w:rPr>
              <w:t>0.41</w:t>
            </w:r>
            <w:r w:rsidRPr="00D93D2D">
              <w:rPr>
                <w:rFonts w:eastAsia="Times New Roman" w:cstheme="minorHAnsi"/>
                <w:color w:val="000000" w:themeColor="text1"/>
                <w:sz w:val="18"/>
                <w:szCs w:val="18"/>
                <w:lang w:eastAsia="en-US"/>
              </w:rPr>
              <w:t xml:space="preserve"> – $</w:t>
            </w:r>
            <w:r w:rsidR="005A6E42" w:rsidRPr="00D93D2D">
              <w:rPr>
                <w:rFonts w:eastAsia="Times New Roman" w:cstheme="minorHAnsi"/>
                <w:color w:val="000000" w:themeColor="text1"/>
                <w:sz w:val="18"/>
                <w:szCs w:val="18"/>
                <w:lang w:eastAsia="en-US"/>
              </w:rPr>
              <w:t>1.7</w:t>
            </w:r>
            <w:r w:rsidRPr="00D93D2D">
              <w:rPr>
                <w:rFonts w:eastAsia="Times New Roman" w:cstheme="minorHAnsi"/>
                <w:color w:val="000000" w:themeColor="text1"/>
                <w:sz w:val="18"/>
                <w:szCs w:val="18"/>
                <w:lang w:eastAsia="en-US"/>
              </w:rPr>
              <w:t>]</w:t>
            </w:r>
          </w:p>
        </w:tc>
        <w:tc>
          <w:tcPr>
            <w:tcW w:w="2430" w:type="dxa"/>
            <w:gridSpan w:val="2"/>
            <w:vMerge/>
            <w:tcBorders>
              <w:left w:val="nil"/>
              <w:right w:val="single" w:sz="8" w:space="0" w:color="D0CECE" w:themeColor="background2" w:themeShade="E6"/>
            </w:tcBorders>
            <w:shd w:val="clear" w:color="auto" w:fill="auto"/>
            <w:vAlign w:val="center"/>
            <w:hideMark/>
          </w:tcPr>
          <w:p w14:paraId="132AA0F3" w14:textId="342B13B5" w:rsidR="009A3C9B" w:rsidRPr="00D93D2D" w:rsidRDefault="009A3C9B" w:rsidP="0021355E">
            <w:pPr>
              <w:spacing w:after="0" w:line="240" w:lineRule="auto"/>
              <w:jc w:val="center"/>
              <w:rPr>
                <w:rFonts w:eastAsia="Times New Roman" w:cstheme="minorHAnsi"/>
                <w:color w:val="000000"/>
                <w:sz w:val="24"/>
                <w:szCs w:val="24"/>
                <w:lang w:eastAsia="en-US"/>
              </w:rPr>
            </w:pPr>
          </w:p>
        </w:tc>
        <w:tc>
          <w:tcPr>
            <w:tcW w:w="2210" w:type="dxa"/>
            <w:tcBorders>
              <w:top w:val="nil"/>
              <w:left w:val="single" w:sz="8" w:space="0" w:color="D0CECE" w:themeColor="background2" w:themeShade="E6"/>
              <w:bottom w:val="single" w:sz="8" w:space="0" w:color="D0CECE" w:themeColor="background2" w:themeShade="E6"/>
              <w:right w:val="single" w:sz="8" w:space="0" w:color="000000" w:themeColor="text1"/>
            </w:tcBorders>
            <w:shd w:val="clear" w:color="auto" w:fill="auto"/>
            <w:vAlign w:val="center"/>
            <w:hideMark/>
          </w:tcPr>
          <w:p w14:paraId="656D5893" w14:textId="77777777" w:rsidR="009A3C9B" w:rsidRPr="00D93D2D" w:rsidRDefault="009A3C9B" w:rsidP="0021355E">
            <w:pPr>
              <w:spacing w:after="0" w:line="240" w:lineRule="auto"/>
              <w:jc w:val="center"/>
              <w:rPr>
                <w:rFonts w:eastAsia="Times New Roman" w:cstheme="minorHAnsi"/>
                <w:color w:val="000000" w:themeColor="text1"/>
                <w:sz w:val="18"/>
                <w:szCs w:val="18"/>
                <w:lang w:eastAsia="en-US"/>
              </w:rPr>
            </w:pPr>
            <w:r w:rsidRPr="00D93D2D">
              <w:rPr>
                <w:rFonts w:eastAsia="Times New Roman" w:cstheme="minorHAnsi"/>
                <w:color w:val="000000" w:themeColor="text1"/>
                <w:sz w:val="18"/>
                <w:szCs w:val="18"/>
                <w:lang w:eastAsia="en-US"/>
              </w:rPr>
              <w:t>[135 – Inf*]</w:t>
            </w:r>
          </w:p>
        </w:tc>
      </w:tr>
      <w:tr w:rsidR="009A3C9B" w:rsidRPr="00D93D2D" w14:paraId="4CDBCE6D" w14:textId="77777777" w:rsidTr="009A3C9B">
        <w:trPr>
          <w:trHeight w:val="288"/>
        </w:trPr>
        <w:tc>
          <w:tcPr>
            <w:tcW w:w="2600" w:type="dxa"/>
            <w:gridSpan w:val="2"/>
            <w:vMerge w:val="restart"/>
            <w:tcBorders>
              <w:top w:val="single" w:sz="8" w:space="0" w:color="BFBFBF"/>
              <w:left w:val="single" w:sz="8" w:space="0" w:color="000000" w:themeColor="text1"/>
              <w:bottom w:val="single" w:sz="8" w:space="0" w:color="BFBFBF"/>
              <w:right w:val="single" w:sz="8" w:space="0" w:color="BFBFBF"/>
            </w:tcBorders>
            <w:shd w:val="clear" w:color="000000" w:fill="E7E6E6"/>
            <w:vAlign w:val="center"/>
            <w:hideMark/>
          </w:tcPr>
          <w:p w14:paraId="2DA89B45"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95% cost-sharing for specimen transport</w:t>
            </w:r>
          </w:p>
        </w:tc>
        <w:tc>
          <w:tcPr>
            <w:tcW w:w="810" w:type="dxa"/>
            <w:vMerge w:val="restart"/>
            <w:tcBorders>
              <w:top w:val="nil"/>
              <w:left w:val="single" w:sz="8" w:space="0" w:color="BFBFBF"/>
              <w:bottom w:val="single" w:sz="8" w:space="0" w:color="BFBFBF"/>
              <w:right w:val="single" w:sz="8" w:space="0" w:color="BFBFBF"/>
            </w:tcBorders>
            <w:shd w:val="clear" w:color="000000" w:fill="E7E6E6"/>
            <w:vAlign w:val="center"/>
            <w:hideMark/>
          </w:tcPr>
          <w:p w14:paraId="385960F6"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vs.</w:t>
            </w:r>
          </w:p>
        </w:tc>
        <w:tc>
          <w:tcPr>
            <w:tcW w:w="2160" w:type="dxa"/>
            <w:gridSpan w:val="2"/>
            <w:vMerge w:val="restart"/>
            <w:tcBorders>
              <w:top w:val="single" w:sz="8" w:space="0" w:color="BFBFBF"/>
              <w:left w:val="single" w:sz="8" w:space="0" w:color="BFBFBF"/>
              <w:bottom w:val="single" w:sz="8" w:space="0" w:color="BFBFBF"/>
              <w:right w:val="single" w:sz="8" w:space="0" w:color="BFBFBF"/>
            </w:tcBorders>
            <w:shd w:val="clear" w:color="000000" w:fill="E7E6E6"/>
            <w:vAlign w:val="center"/>
            <w:hideMark/>
          </w:tcPr>
          <w:p w14:paraId="57E98E5D"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Test volume at 0.3 per day</w:t>
            </w:r>
          </w:p>
        </w:tc>
        <w:tc>
          <w:tcPr>
            <w:tcW w:w="2790" w:type="dxa"/>
            <w:gridSpan w:val="2"/>
            <w:tcBorders>
              <w:top w:val="single" w:sz="8" w:space="0" w:color="BFBFBF"/>
              <w:left w:val="nil"/>
              <w:bottom w:val="nil"/>
              <w:right w:val="single" w:sz="8" w:space="0" w:color="BFBFBF"/>
            </w:tcBorders>
            <w:shd w:val="clear" w:color="auto" w:fill="auto"/>
            <w:vAlign w:val="center"/>
            <w:hideMark/>
          </w:tcPr>
          <w:p w14:paraId="36076D30" w14:textId="0F16DD86"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w:t>
            </w:r>
            <w:r w:rsidR="005A6E42" w:rsidRPr="00D93D2D">
              <w:rPr>
                <w:rFonts w:eastAsia="Times New Roman" w:cstheme="minorHAnsi"/>
                <w:color w:val="000000" w:themeColor="text1"/>
                <w:sz w:val="18"/>
                <w:szCs w:val="18"/>
                <w:lang w:eastAsia="en-US"/>
              </w:rPr>
              <w:t>30</w:t>
            </w:r>
          </w:p>
        </w:tc>
        <w:tc>
          <w:tcPr>
            <w:tcW w:w="2430" w:type="dxa"/>
            <w:gridSpan w:val="2"/>
            <w:vMerge/>
            <w:tcBorders>
              <w:left w:val="nil"/>
              <w:right w:val="single" w:sz="8" w:space="0" w:color="D0CECE" w:themeColor="background2" w:themeShade="E6"/>
            </w:tcBorders>
            <w:shd w:val="clear" w:color="auto" w:fill="auto"/>
            <w:vAlign w:val="center"/>
            <w:hideMark/>
          </w:tcPr>
          <w:p w14:paraId="55F49763" w14:textId="63FB171A" w:rsidR="009A3C9B" w:rsidRPr="00D93D2D" w:rsidRDefault="009A3C9B" w:rsidP="0021355E">
            <w:pPr>
              <w:spacing w:after="0" w:line="240" w:lineRule="auto"/>
              <w:jc w:val="center"/>
              <w:rPr>
                <w:rFonts w:eastAsia="Times New Roman" w:cstheme="minorHAnsi"/>
                <w:color w:val="000000"/>
                <w:sz w:val="24"/>
                <w:szCs w:val="24"/>
                <w:lang w:eastAsia="en-US"/>
              </w:rPr>
            </w:pPr>
          </w:p>
        </w:tc>
        <w:tc>
          <w:tcPr>
            <w:tcW w:w="2210" w:type="dxa"/>
            <w:tcBorders>
              <w:top w:val="single" w:sz="8" w:space="0" w:color="D0CECE" w:themeColor="background2" w:themeShade="E6"/>
              <w:left w:val="single" w:sz="8" w:space="0" w:color="D0CECE" w:themeColor="background2" w:themeShade="E6"/>
              <w:bottom w:val="nil"/>
              <w:right w:val="single" w:sz="8" w:space="0" w:color="000000" w:themeColor="text1"/>
            </w:tcBorders>
            <w:shd w:val="clear" w:color="auto" w:fill="auto"/>
            <w:vAlign w:val="center"/>
            <w:hideMark/>
          </w:tcPr>
          <w:p w14:paraId="23609FB6" w14:textId="52086139" w:rsidR="009A3C9B" w:rsidRPr="00D93D2D" w:rsidRDefault="009A3C9B" w:rsidP="0021355E">
            <w:pPr>
              <w:spacing w:after="0" w:line="240" w:lineRule="auto"/>
              <w:jc w:val="center"/>
              <w:rPr>
                <w:rFonts w:eastAsia="Times New Roman" w:cstheme="minorHAnsi"/>
                <w:color w:val="000000" w:themeColor="text1"/>
                <w:sz w:val="18"/>
                <w:szCs w:val="18"/>
                <w:lang w:eastAsia="en-US"/>
              </w:rPr>
            </w:pPr>
            <w:r w:rsidRPr="00D93D2D">
              <w:rPr>
                <w:rFonts w:eastAsia="Times New Roman" w:cstheme="minorHAnsi"/>
                <w:color w:val="000000" w:themeColor="text1"/>
                <w:sz w:val="18"/>
                <w:szCs w:val="18"/>
                <w:lang w:eastAsia="en-US"/>
              </w:rPr>
              <w:t>$17,348</w:t>
            </w:r>
          </w:p>
        </w:tc>
      </w:tr>
      <w:tr w:rsidR="009A3C9B" w:rsidRPr="00D93D2D" w14:paraId="63BC51A5" w14:textId="77777777" w:rsidTr="009A3C9B">
        <w:trPr>
          <w:trHeight w:val="288"/>
        </w:trPr>
        <w:tc>
          <w:tcPr>
            <w:tcW w:w="2600" w:type="dxa"/>
            <w:gridSpan w:val="2"/>
            <w:vMerge/>
            <w:tcBorders>
              <w:top w:val="single" w:sz="8" w:space="0" w:color="BFBFBF"/>
              <w:left w:val="single" w:sz="8" w:space="0" w:color="000000" w:themeColor="text1"/>
              <w:bottom w:val="single" w:sz="8" w:space="0" w:color="BFBFBF"/>
              <w:right w:val="single" w:sz="8" w:space="0" w:color="BFBFBF"/>
            </w:tcBorders>
            <w:vAlign w:val="center"/>
            <w:hideMark/>
          </w:tcPr>
          <w:p w14:paraId="278B061D"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810" w:type="dxa"/>
            <w:vMerge/>
            <w:tcBorders>
              <w:top w:val="nil"/>
              <w:left w:val="single" w:sz="8" w:space="0" w:color="BFBFBF"/>
              <w:bottom w:val="single" w:sz="8" w:space="0" w:color="BFBFBF"/>
              <w:right w:val="single" w:sz="8" w:space="0" w:color="BFBFBF"/>
            </w:tcBorders>
            <w:vAlign w:val="center"/>
            <w:hideMark/>
          </w:tcPr>
          <w:p w14:paraId="1B764A33"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2160" w:type="dxa"/>
            <w:gridSpan w:val="2"/>
            <w:vMerge/>
            <w:tcBorders>
              <w:top w:val="single" w:sz="8" w:space="0" w:color="BFBFBF"/>
              <w:left w:val="single" w:sz="8" w:space="0" w:color="BFBFBF"/>
              <w:bottom w:val="single" w:sz="8" w:space="0" w:color="BFBFBF"/>
              <w:right w:val="single" w:sz="8" w:space="0" w:color="BFBFBF"/>
            </w:tcBorders>
            <w:vAlign w:val="center"/>
            <w:hideMark/>
          </w:tcPr>
          <w:p w14:paraId="24093AD4"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2790" w:type="dxa"/>
            <w:gridSpan w:val="2"/>
            <w:tcBorders>
              <w:top w:val="nil"/>
              <w:left w:val="nil"/>
              <w:bottom w:val="nil"/>
              <w:right w:val="single" w:sz="8" w:space="0" w:color="BFBFBF"/>
            </w:tcBorders>
            <w:shd w:val="clear" w:color="auto" w:fill="auto"/>
            <w:vAlign w:val="center"/>
            <w:hideMark/>
          </w:tcPr>
          <w:p w14:paraId="1122A89E" w14:textId="58D16FAF"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w:t>
            </w:r>
            <w:r w:rsidR="005A6E42" w:rsidRPr="00D93D2D">
              <w:rPr>
                <w:rFonts w:eastAsia="Times New Roman" w:cstheme="minorHAnsi"/>
                <w:color w:val="000000" w:themeColor="text1"/>
                <w:sz w:val="18"/>
                <w:szCs w:val="18"/>
                <w:lang w:eastAsia="en-US"/>
              </w:rPr>
              <w:t>29</w:t>
            </w:r>
            <w:r w:rsidRPr="00D93D2D">
              <w:rPr>
                <w:rFonts w:eastAsia="Times New Roman" w:cstheme="minorHAnsi"/>
                <w:color w:val="000000" w:themeColor="text1"/>
                <w:sz w:val="18"/>
                <w:szCs w:val="18"/>
                <w:lang w:eastAsia="en-US"/>
              </w:rPr>
              <w:t xml:space="preserve"> – $</w:t>
            </w:r>
            <w:r w:rsidR="005A6E42" w:rsidRPr="00D93D2D">
              <w:rPr>
                <w:rFonts w:eastAsia="Times New Roman" w:cstheme="minorHAnsi"/>
                <w:color w:val="000000" w:themeColor="text1"/>
                <w:sz w:val="18"/>
                <w:szCs w:val="18"/>
                <w:lang w:eastAsia="en-US"/>
              </w:rPr>
              <w:t>32</w:t>
            </w:r>
            <w:r w:rsidRPr="00D93D2D">
              <w:rPr>
                <w:rFonts w:eastAsia="Times New Roman" w:cstheme="minorHAnsi"/>
                <w:color w:val="000000" w:themeColor="text1"/>
                <w:sz w:val="18"/>
                <w:szCs w:val="18"/>
                <w:lang w:eastAsia="en-US"/>
              </w:rPr>
              <w:t>]</w:t>
            </w:r>
          </w:p>
        </w:tc>
        <w:tc>
          <w:tcPr>
            <w:tcW w:w="2430" w:type="dxa"/>
            <w:gridSpan w:val="2"/>
            <w:vMerge/>
            <w:tcBorders>
              <w:left w:val="nil"/>
              <w:right w:val="single" w:sz="8" w:space="0" w:color="D0CECE" w:themeColor="background2" w:themeShade="E6"/>
            </w:tcBorders>
            <w:shd w:val="clear" w:color="auto" w:fill="auto"/>
            <w:vAlign w:val="center"/>
            <w:hideMark/>
          </w:tcPr>
          <w:p w14:paraId="79AB6174" w14:textId="08D57C87" w:rsidR="009A3C9B" w:rsidRPr="00D93D2D" w:rsidRDefault="009A3C9B" w:rsidP="0021355E">
            <w:pPr>
              <w:spacing w:after="0" w:line="240" w:lineRule="auto"/>
              <w:jc w:val="center"/>
              <w:rPr>
                <w:rFonts w:eastAsia="Times New Roman" w:cstheme="minorHAnsi"/>
                <w:color w:val="000000"/>
                <w:sz w:val="24"/>
                <w:szCs w:val="24"/>
                <w:lang w:eastAsia="en-US"/>
              </w:rPr>
            </w:pPr>
          </w:p>
        </w:tc>
        <w:tc>
          <w:tcPr>
            <w:tcW w:w="2210" w:type="dxa"/>
            <w:tcBorders>
              <w:top w:val="nil"/>
              <w:left w:val="single" w:sz="8" w:space="0" w:color="D0CECE" w:themeColor="background2" w:themeShade="E6"/>
              <w:bottom w:val="single" w:sz="8" w:space="0" w:color="D0CECE" w:themeColor="background2" w:themeShade="E6"/>
              <w:right w:val="single" w:sz="8" w:space="0" w:color="000000" w:themeColor="text1"/>
            </w:tcBorders>
            <w:shd w:val="clear" w:color="auto" w:fill="auto"/>
            <w:vAlign w:val="center"/>
            <w:hideMark/>
          </w:tcPr>
          <w:p w14:paraId="3EC697DA" w14:textId="423058B9" w:rsidR="009A3C9B" w:rsidRPr="00D93D2D" w:rsidRDefault="009A3C9B" w:rsidP="0021355E">
            <w:pPr>
              <w:spacing w:after="0" w:line="240" w:lineRule="auto"/>
              <w:jc w:val="center"/>
              <w:rPr>
                <w:rFonts w:eastAsia="Times New Roman" w:cstheme="minorHAnsi"/>
                <w:color w:val="000000" w:themeColor="text1"/>
                <w:sz w:val="18"/>
                <w:szCs w:val="18"/>
                <w:lang w:eastAsia="en-US"/>
              </w:rPr>
            </w:pPr>
            <w:r w:rsidRPr="00D93D2D">
              <w:rPr>
                <w:rFonts w:eastAsia="Times New Roman" w:cstheme="minorHAnsi"/>
                <w:color w:val="000000" w:themeColor="text1"/>
                <w:sz w:val="18"/>
                <w:szCs w:val="18"/>
                <w:lang w:eastAsia="en-US"/>
              </w:rPr>
              <w:t>[6,629 – Inf*]</w:t>
            </w:r>
          </w:p>
        </w:tc>
      </w:tr>
      <w:tr w:rsidR="009A3C9B" w:rsidRPr="00D93D2D" w14:paraId="53C523E8" w14:textId="77777777" w:rsidTr="009A3C9B">
        <w:trPr>
          <w:trHeight w:val="288"/>
        </w:trPr>
        <w:tc>
          <w:tcPr>
            <w:tcW w:w="2600" w:type="dxa"/>
            <w:gridSpan w:val="2"/>
            <w:vMerge w:val="restart"/>
            <w:tcBorders>
              <w:top w:val="single" w:sz="8" w:space="0" w:color="BFBFBF"/>
              <w:left w:val="single" w:sz="8" w:space="0" w:color="000000" w:themeColor="text1"/>
              <w:bottom w:val="single" w:sz="8" w:space="0" w:color="000000"/>
              <w:right w:val="single" w:sz="8" w:space="0" w:color="BFBFBF"/>
            </w:tcBorders>
            <w:shd w:val="clear" w:color="000000" w:fill="E7E6E6"/>
            <w:vAlign w:val="center"/>
            <w:hideMark/>
          </w:tcPr>
          <w:p w14:paraId="4A9523C6"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No cost-sharing for specimen transport</w:t>
            </w:r>
          </w:p>
        </w:tc>
        <w:tc>
          <w:tcPr>
            <w:tcW w:w="810" w:type="dxa"/>
            <w:vMerge w:val="restart"/>
            <w:tcBorders>
              <w:top w:val="nil"/>
              <w:left w:val="single" w:sz="8" w:space="0" w:color="BFBFBF"/>
              <w:bottom w:val="single" w:sz="8" w:space="0" w:color="000000"/>
              <w:right w:val="single" w:sz="8" w:space="0" w:color="BFBFBF"/>
            </w:tcBorders>
            <w:shd w:val="clear" w:color="000000" w:fill="E7E6E6"/>
            <w:vAlign w:val="center"/>
            <w:hideMark/>
          </w:tcPr>
          <w:p w14:paraId="568A2DEF"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vs.</w:t>
            </w:r>
          </w:p>
        </w:tc>
        <w:tc>
          <w:tcPr>
            <w:tcW w:w="2160" w:type="dxa"/>
            <w:gridSpan w:val="2"/>
            <w:vMerge w:val="restart"/>
            <w:tcBorders>
              <w:top w:val="single" w:sz="8" w:space="0" w:color="BFBFBF"/>
              <w:left w:val="single" w:sz="8" w:space="0" w:color="BFBFBF"/>
              <w:bottom w:val="single" w:sz="8" w:space="0" w:color="000000"/>
              <w:right w:val="single" w:sz="8" w:space="0" w:color="BFBFBF"/>
            </w:tcBorders>
            <w:shd w:val="clear" w:color="000000" w:fill="E7E6E6"/>
            <w:vAlign w:val="center"/>
            <w:hideMark/>
          </w:tcPr>
          <w:p w14:paraId="0E10FCD9" w14:textId="77777777" w:rsidR="009A3C9B" w:rsidRPr="00D93D2D" w:rsidRDefault="009A3C9B" w:rsidP="00060BF2">
            <w:pPr>
              <w:spacing w:after="0" w:line="240" w:lineRule="auto"/>
              <w:jc w:val="both"/>
              <w:rPr>
                <w:rFonts w:eastAsia="Times New Roman" w:cstheme="minorHAnsi"/>
                <w:color w:val="000000"/>
                <w:sz w:val="18"/>
                <w:szCs w:val="18"/>
                <w:lang w:eastAsia="en-US"/>
              </w:rPr>
            </w:pPr>
            <w:r w:rsidRPr="00D93D2D">
              <w:rPr>
                <w:rFonts w:eastAsia="Times New Roman" w:cstheme="minorHAnsi"/>
                <w:color w:val="000000"/>
                <w:sz w:val="18"/>
                <w:szCs w:val="18"/>
                <w:lang w:eastAsia="en-US"/>
              </w:rPr>
              <w:t>Test volume at 0.3 per day</w:t>
            </w:r>
          </w:p>
        </w:tc>
        <w:tc>
          <w:tcPr>
            <w:tcW w:w="2790" w:type="dxa"/>
            <w:gridSpan w:val="2"/>
            <w:tcBorders>
              <w:top w:val="single" w:sz="8" w:space="0" w:color="BFBFBF"/>
              <w:left w:val="nil"/>
              <w:bottom w:val="nil"/>
              <w:right w:val="single" w:sz="8" w:space="0" w:color="BFBFBF"/>
            </w:tcBorders>
            <w:shd w:val="clear" w:color="auto" w:fill="auto"/>
            <w:vAlign w:val="center"/>
            <w:hideMark/>
          </w:tcPr>
          <w:p w14:paraId="3CC0CE33" w14:textId="75803444"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w:t>
            </w:r>
            <w:r w:rsidR="005A6E42" w:rsidRPr="00D93D2D">
              <w:rPr>
                <w:rFonts w:eastAsia="Times New Roman" w:cstheme="minorHAnsi"/>
                <w:color w:val="000000" w:themeColor="text1"/>
                <w:sz w:val="18"/>
                <w:szCs w:val="18"/>
                <w:lang w:eastAsia="en-US"/>
              </w:rPr>
              <w:t>23</w:t>
            </w:r>
          </w:p>
        </w:tc>
        <w:tc>
          <w:tcPr>
            <w:tcW w:w="2430" w:type="dxa"/>
            <w:gridSpan w:val="2"/>
            <w:vMerge/>
            <w:tcBorders>
              <w:left w:val="nil"/>
              <w:right w:val="single" w:sz="8" w:space="0" w:color="D0CECE" w:themeColor="background2" w:themeShade="E6"/>
            </w:tcBorders>
            <w:shd w:val="clear" w:color="auto" w:fill="auto"/>
            <w:vAlign w:val="center"/>
            <w:hideMark/>
          </w:tcPr>
          <w:p w14:paraId="4BB34B4D" w14:textId="511DB008" w:rsidR="009A3C9B" w:rsidRPr="00D93D2D" w:rsidRDefault="009A3C9B" w:rsidP="0021355E">
            <w:pPr>
              <w:spacing w:after="0" w:line="240" w:lineRule="auto"/>
              <w:jc w:val="center"/>
              <w:rPr>
                <w:rFonts w:eastAsia="Times New Roman" w:cstheme="minorHAnsi"/>
                <w:color w:val="000000"/>
                <w:sz w:val="24"/>
                <w:szCs w:val="24"/>
                <w:lang w:eastAsia="en-US"/>
              </w:rPr>
            </w:pPr>
          </w:p>
        </w:tc>
        <w:tc>
          <w:tcPr>
            <w:tcW w:w="2210" w:type="dxa"/>
            <w:tcBorders>
              <w:top w:val="single" w:sz="8" w:space="0" w:color="D0CECE" w:themeColor="background2" w:themeShade="E6"/>
              <w:left w:val="single" w:sz="8" w:space="0" w:color="D0CECE" w:themeColor="background2" w:themeShade="E6"/>
              <w:bottom w:val="nil"/>
              <w:right w:val="single" w:sz="8" w:space="0" w:color="000000" w:themeColor="text1"/>
            </w:tcBorders>
            <w:shd w:val="clear" w:color="auto" w:fill="auto"/>
            <w:vAlign w:val="center"/>
            <w:hideMark/>
          </w:tcPr>
          <w:p w14:paraId="385C9B78" w14:textId="2686B7CD" w:rsidR="009A3C9B" w:rsidRPr="00D93D2D" w:rsidRDefault="009A3C9B" w:rsidP="0021355E">
            <w:pPr>
              <w:spacing w:after="0" w:line="240" w:lineRule="auto"/>
              <w:jc w:val="center"/>
              <w:rPr>
                <w:rFonts w:eastAsia="Times New Roman" w:cstheme="minorHAnsi"/>
                <w:color w:val="000000" w:themeColor="text1"/>
                <w:sz w:val="18"/>
                <w:szCs w:val="18"/>
                <w:lang w:eastAsia="en-US"/>
              </w:rPr>
            </w:pPr>
            <w:r w:rsidRPr="00D93D2D">
              <w:rPr>
                <w:rFonts w:eastAsia="Times New Roman" w:cstheme="minorHAnsi"/>
                <w:color w:val="000000" w:themeColor="text1"/>
                <w:sz w:val="18"/>
                <w:szCs w:val="18"/>
                <w:lang w:eastAsia="en-US"/>
              </w:rPr>
              <w:t>$13,033</w:t>
            </w:r>
          </w:p>
        </w:tc>
      </w:tr>
      <w:tr w:rsidR="009A3C9B" w:rsidRPr="00D93D2D" w14:paraId="03B90142" w14:textId="77777777" w:rsidTr="009A3C9B">
        <w:trPr>
          <w:trHeight w:val="288"/>
        </w:trPr>
        <w:tc>
          <w:tcPr>
            <w:tcW w:w="2600" w:type="dxa"/>
            <w:gridSpan w:val="2"/>
            <w:vMerge/>
            <w:tcBorders>
              <w:top w:val="single" w:sz="8" w:space="0" w:color="BFBFBF"/>
              <w:left w:val="single" w:sz="8" w:space="0" w:color="000000" w:themeColor="text1"/>
              <w:bottom w:val="single" w:sz="8" w:space="0" w:color="000000" w:themeColor="text1"/>
              <w:right w:val="single" w:sz="8" w:space="0" w:color="BFBFBF"/>
            </w:tcBorders>
            <w:vAlign w:val="center"/>
            <w:hideMark/>
          </w:tcPr>
          <w:p w14:paraId="4CFF68E7"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810" w:type="dxa"/>
            <w:vMerge/>
            <w:tcBorders>
              <w:top w:val="nil"/>
              <w:left w:val="single" w:sz="8" w:space="0" w:color="BFBFBF"/>
              <w:bottom w:val="single" w:sz="8" w:space="0" w:color="000000" w:themeColor="text1"/>
              <w:right w:val="single" w:sz="8" w:space="0" w:color="BFBFBF"/>
            </w:tcBorders>
            <w:vAlign w:val="center"/>
            <w:hideMark/>
          </w:tcPr>
          <w:p w14:paraId="7D6835CA"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2160" w:type="dxa"/>
            <w:gridSpan w:val="2"/>
            <w:vMerge/>
            <w:tcBorders>
              <w:top w:val="single" w:sz="8" w:space="0" w:color="BFBFBF"/>
              <w:left w:val="single" w:sz="8" w:space="0" w:color="BFBFBF"/>
              <w:bottom w:val="single" w:sz="8" w:space="0" w:color="000000" w:themeColor="text1"/>
              <w:right w:val="single" w:sz="8" w:space="0" w:color="BFBFBF"/>
            </w:tcBorders>
            <w:vAlign w:val="center"/>
            <w:hideMark/>
          </w:tcPr>
          <w:p w14:paraId="21E4785A" w14:textId="77777777" w:rsidR="009A3C9B" w:rsidRPr="00D93D2D" w:rsidRDefault="009A3C9B" w:rsidP="00060BF2">
            <w:pPr>
              <w:spacing w:after="0" w:line="240" w:lineRule="auto"/>
              <w:jc w:val="both"/>
              <w:rPr>
                <w:rFonts w:eastAsia="Times New Roman" w:cstheme="minorHAnsi"/>
                <w:color w:val="000000"/>
                <w:sz w:val="18"/>
                <w:szCs w:val="18"/>
                <w:lang w:eastAsia="en-US"/>
              </w:rPr>
            </w:pPr>
          </w:p>
        </w:tc>
        <w:tc>
          <w:tcPr>
            <w:tcW w:w="2790" w:type="dxa"/>
            <w:gridSpan w:val="2"/>
            <w:tcBorders>
              <w:top w:val="nil"/>
              <w:left w:val="nil"/>
              <w:bottom w:val="single" w:sz="8" w:space="0" w:color="000000" w:themeColor="text1"/>
              <w:right w:val="single" w:sz="8" w:space="0" w:color="BFBFBF"/>
            </w:tcBorders>
            <w:shd w:val="clear" w:color="auto" w:fill="auto"/>
            <w:vAlign w:val="center"/>
            <w:hideMark/>
          </w:tcPr>
          <w:p w14:paraId="54E9D2CF" w14:textId="2F0682FE" w:rsidR="009A3C9B" w:rsidRPr="00D93D2D" w:rsidRDefault="009A3C9B" w:rsidP="0021355E">
            <w:pPr>
              <w:spacing w:after="0" w:line="240" w:lineRule="auto"/>
              <w:jc w:val="center"/>
              <w:rPr>
                <w:rFonts w:eastAsia="Times New Roman" w:cstheme="minorHAnsi"/>
                <w:color w:val="000000"/>
                <w:sz w:val="18"/>
                <w:szCs w:val="18"/>
                <w:lang w:eastAsia="en-US"/>
              </w:rPr>
            </w:pPr>
            <w:r w:rsidRPr="00D93D2D">
              <w:rPr>
                <w:rFonts w:eastAsia="Times New Roman" w:cstheme="minorHAnsi"/>
                <w:color w:val="000000" w:themeColor="text1"/>
                <w:sz w:val="18"/>
                <w:szCs w:val="18"/>
                <w:lang w:eastAsia="en-US"/>
              </w:rPr>
              <w:t>[$2</w:t>
            </w:r>
            <w:r w:rsidR="005A6E42" w:rsidRPr="00D93D2D">
              <w:rPr>
                <w:rFonts w:eastAsia="Times New Roman" w:cstheme="minorHAnsi"/>
                <w:color w:val="000000" w:themeColor="text1"/>
                <w:sz w:val="18"/>
                <w:szCs w:val="18"/>
                <w:lang w:eastAsia="en-US"/>
              </w:rPr>
              <w:t>2</w:t>
            </w:r>
            <w:r w:rsidRPr="00D93D2D">
              <w:rPr>
                <w:rFonts w:eastAsia="Times New Roman" w:cstheme="minorHAnsi"/>
                <w:color w:val="000000" w:themeColor="text1"/>
                <w:sz w:val="18"/>
                <w:szCs w:val="18"/>
                <w:lang w:eastAsia="en-US"/>
              </w:rPr>
              <w:t xml:space="preserve"> – $24]</w:t>
            </w:r>
          </w:p>
        </w:tc>
        <w:tc>
          <w:tcPr>
            <w:tcW w:w="2430" w:type="dxa"/>
            <w:gridSpan w:val="2"/>
            <w:vMerge/>
            <w:tcBorders>
              <w:left w:val="nil"/>
              <w:bottom w:val="single" w:sz="8" w:space="0" w:color="000000" w:themeColor="text1"/>
              <w:right w:val="single" w:sz="8" w:space="0" w:color="D0CECE" w:themeColor="background2" w:themeShade="E6"/>
            </w:tcBorders>
            <w:shd w:val="clear" w:color="auto" w:fill="auto"/>
            <w:vAlign w:val="center"/>
            <w:hideMark/>
          </w:tcPr>
          <w:p w14:paraId="29493F4B" w14:textId="35F9E944" w:rsidR="009A3C9B" w:rsidRPr="00D93D2D" w:rsidRDefault="009A3C9B" w:rsidP="0021355E">
            <w:pPr>
              <w:spacing w:after="0" w:line="240" w:lineRule="auto"/>
              <w:jc w:val="center"/>
              <w:rPr>
                <w:rFonts w:eastAsia="Times New Roman" w:cstheme="minorHAnsi"/>
                <w:color w:val="000000"/>
                <w:sz w:val="24"/>
                <w:szCs w:val="24"/>
                <w:lang w:eastAsia="en-US"/>
              </w:rPr>
            </w:pPr>
          </w:p>
        </w:tc>
        <w:tc>
          <w:tcPr>
            <w:tcW w:w="2210" w:type="dxa"/>
            <w:tcBorders>
              <w:top w:val="nil"/>
              <w:left w:val="single" w:sz="8" w:space="0" w:color="D0CECE" w:themeColor="background2" w:themeShade="E6"/>
              <w:bottom w:val="single" w:sz="8" w:space="0" w:color="000000" w:themeColor="text1"/>
              <w:right w:val="single" w:sz="8" w:space="0" w:color="000000" w:themeColor="text1"/>
            </w:tcBorders>
            <w:shd w:val="clear" w:color="auto" w:fill="auto"/>
            <w:vAlign w:val="center"/>
            <w:hideMark/>
          </w:tcPr>
          <w:p w14:paraId="7A0DEFE4" w14:textId="76374A75" w:rsidR="009A3C9B" w:rsidRPr="00D93D2D" w:rsidRDefault="009A3C9B" w:rsidP="0021355E">
            <w:pPr>
              <w:spacing w:after="0" w:line="240" w:lineRule="auto"/>
              <w:jc w:val="center"/>
              <w:rPr>
                <w:rFonts w:eastAsia="Times New Roman" w:cstheme="minorHAnsi"/>
                <w:color w:val="000000" w:themeColor="text1"/>
                <w:sz w:val="18"/>
                <w:szCs w:val="18"/>
                <w:lang w:eastAsia="en-US"/>
              </w:rPr>
            </w:pPr>
            <w:r w:rsidRPr="00D93D2D">
              <w:rPr>
                <w:rFonts w:eastAsia="Times New Roman" w:cstheme="minorHAnsi"/>
                <w:color w:val="000000" w:themeColor="text1"/>
                <w:sz w:val="18"/>
                <w:szCs w:val="18"/>
                <w:lang w:eastAsia="en-US"/>
              </w:rPr>
              <w:t>[4,946 – Inf*]</w:t>
            </w:r>
          </w:p>
        </w:tc>
      </w:tr>
    </w:tbl>
    <w:p w14:paraId="4892FDD5" w14:textId="77777777" w:rsidR="00A06D55" w:rsidRDefault="00A06D55" w:rsidP="00060BF2">
      <w:pPr>
        <w:jc w:val="both"/>
        <w:rPr>
          <w:rFonts w:cstheme="minorHAnsi"/>
        </w:rPr>
      </w:pPr>
    </w:p>
    <w:p w14:paraId="78A97C62" w14:textId="6E7CE611" w:rsidR="00A06D55" w:rsidRPr="00D93D2D" w:rsidRDefault="00A06D55" w:rsidP="00060BF2">
      <w:pPr>
        <w:jc w:val="both"/>
        <w:rPr>
          <w:rFonts w:cstheme="minorHAnsi"/>
          <w:b/>
        </w:rPr>
      </w:pPr>
      <w:r w:rsidRPr="00943476">
        <w:rPr>
          <w:rFonts w:cstheme="minorHAnsi"/>
          <w:b/>
          <w:bCs/>
        </w:rPr>
        <w:t xml:space="preserve">Table </w:t>
      </w:r>
      <w:r w:rsidRPr="00943476">
        <w:rPr>
          <w:rFonts w:cstheme="minorHAnsi"/>
          <w:b/>
          <w:bCs/>
          <w:noProof/>
        </w:rPr>
        <w:t>S14</w:t>
      </w:r>
      <w:r w:rsidRPr="00943476">
        <w:rPr>
          <w:rFonts w:cstheme="minorHAnsi"/>
          <w:b/>
          <w:bCs/>
        </w:rPr>
        <w:t xml:space="preserve">: Incremental Cost-Effectiveness of Decentralized Versus Centralized Xpert Testing when Xpert is implemented in addition to the smear. </w:t>
      </w:r>
      <w:r w:rsidRPr="00943476">
        <w:rPr>
          <w:rFonts w:cstheme="minorHAnsi"/>
        </w:rPr>
        <w:t>A total of four cost sets were compared in the cost-effectiveness analysis. All values are expressed as median with inter-quartile ranges in the brackets, cumulative and discounted over a ten-year analysis frame.</w:t>
      </w:r>
    </w:p>
    <w:p w14:paraId="0349ED89" w14:textId="3618E44C" w:rsidR="009A3C9B" w:rsidRPr="00D93D2D" w:rsidRDefault="009A3C9B" w:rsidP="00060BF2">
      <w:pPr>
        <w:jc w:val="both"/>
        <w:rPr>
          <w:rFonts w:cstheme="minorHAnsi"/>
          <w:bCs/>
        </w:rPr>
      </w:pPr>
      <w:r w:rsidRPr="00D93D2D">
        <w:rPr>
          <w:rFonts w:cstheme="minorHAnsi"/>
          <w:bCs/>
        </w:rPr>
        <w:t>* In these simulations, decentralized Xpert was less effective than centralized testing</w:t>
      </w:r>
    </w:p>
    <w:p w14:paraId="73FAF9EB" w14:textId="5153F129" w:rsidR="005A6E42" w:rsidRPr="00D93D2D" w:rsidRDefault="005A6E42" w:rsidP="00060BF2">
      <w:pPr>
        <w:jc w:val="both"/>
        <w:rPr>
          <w:rFonts w:cstheme="minorHAnsi"/>
          <w:bCs/>
        </w:rPr>
      </w:pPr>
      <w:r w:rsidRPr="00D93D2D">
        <w:rPr>
          <w:rFonts w:cstheme="minorHAnsi"/>
          <w:bCs/>
        </w:rPr>
        <w:t>** Cost estimates are expressed in units of million dollars</w:t>
      </w:r>
    </w:p>
    <w:p w14:paraId="462A5EE3" w14:textId="77777777" w:rsidR="009A3C9B" w:rsidRPr="00D93D2D" w:rsidRDefault="009A3C9B" w:rsidP="00060BF2">
      <w:pPr>
        <w:jc w:val="both"/>
        <w:rPr>
          <w:rFonts w:cstheme="minorHAnsi"/>
          <w:bCs/>
        </w:rPr>
      </w:pPr>
    </w:p>
    <w:p w14:paraId="6E5308D0" w14:textId="77777777" w:rsidR="009A3C9B" w:rsidRPr="00D93D2D" w:rsidRDefault="009A3C9B" w:rsidP="00060BF2">
      <w:pPr>
        <w:jc w:val="both"/>
        <w:rPr>
          <w:rFonts w:cstheme="minorHAnsi"/>
          <w:bCs/>
        </w:rPr>
        <w:sectPr w:rsidR="009A3C9B" w:rsidRPr="00D93D2D" w:rsidSect="009A3C9B">
          <w:footnotePr>
            <w:numFmt w:val="chicago"/>
            <w:numStart w:val="2"/>
          </w:footnotePr>
          <w:pgSz w:w="15840" w:h="12240" w:orient="landscape"/>
          <w:pgMar w:top="1440" w:right="1440" w:bottom="1440" w:left="1440" w:header="720" w:footer="720" w:gutter="0"/>
          <w:cols w:space="425"/>
          <w:docGrid w:linePitch="360"/>
        </w:sectPr>
      </w:pPr>
    </w:p>
    <w:p w14:paraId="0D6D7AD2" w14:textId="1A525BD3" w:rsidR="00E6460D" w:rsidRPr="00D93D2D" w:rsidRDefault="00E23A59" w:rsidP="00060BF2">
      <w:pPr>
        <w:tabs>
          <w:tab w:val="left" w:pos="2430"/>
        </w:tabs>
        <w:jc w:val="both"/>
        <w:rPr>
          <w:rFonts w:cstheme="minorHAnsi"/>
          <w:b/>
        </w:rPr>
      </w:pPr>
      <w:r w:rsidRPr="00D93D2D">
        <w:rPr>
          <w:rFonts w:cstheme="minorHAnsi"/>
          <w:b/>
        </w:rPr>
        <w:lastRenderedPageBreak/>
        <w:t xml:space="preserve">References </w:t>
      </w:r>
    </w:p>
    <w:p w14:paraId="4FB6E80B" w14:textId="11C6380E" w:rsidR="009A35D4" w:rsidRPr="009A35D4" w:rsidRDefault="00E6460D" w:rsidP="009A35D4">
      <w:pPr>
        <w:widowControl w:val="0"/>
        <w:autoSpaceDE w:val="0"/>
        <w:autoSpaceDN w:val="0"/>
        <w:adjustRightInd w:val="0"/>
        <w:spacing w:line="240" w:lineRule="auto"/>
        <w:ind w:left="640" w:hanging="640"/>
        <w:rPr>
          <w:rFonts w:ascii="Calibri" w:hAnsi="Calibri" w:cs="Calibri"/>
          <w:noProof/>
          <w:szCs w:val="24"/>
        </w:rPr>
      </w:pPr>
      <w:r w:rsidRPr="00D93D2D">
        <w:rPr>
          <w:rFonts w:cstheme="minorHAnsi"/>
        </w:rPr>
        <w:fldChar w:fldCharType="begin" w:fldLock="1"/>
      </w:r>
      <w:r w:rsidRPr="00D93D2D">
        <w:rPr>
          <w:rFonts w:cstheme="minorHAnsi"/>
        </w:rPr>
        <w:instrText xml:space="preserve">ADDIN Mendeley Bibliography CSL_BIBLIOGRAPHY </w:instrText>
      </w:r>
      <w:r w:rsidRPr="00D93D2D">
        <w:rPr>
          <w:rFonts w:cstheme="minorHAnsi"/>
        </w:rPr>
        <w:fldChar w:fldCharType="separate"/>
      </w:r>
      <w:r w:rsidR="009A35D4" w:rsidRPr="009A35D4">
        <w:rPr>
          <w:rFonts w:ascii="Calibri" w:hAnsi="Calibri" w:cs="Calibri"/>
          <w:noProof/>
          <w:szCs w:val="24"/>
        </w:rPr>
        <w:t xml:space="preserve">1. </w:t>
      </w:r>
      <w:r w:rsidR="009A35D4" w:rsidRPr="009A35D4">
        <w:rPr>
          <w:rFonts w:ascii="Calibri" w:hAnsi="Calibri" w:cs="Calibri"/>
          <w:noProof/>
          <w:szCs w:val="24"/>
        </w:rPr>
        <w:tab/>
        <w:t>Sohn H, Puri L, Anh N, Nguyen T, Hoog AH Van, Nguyen VAT, Nliwasa M, Nabeta P (2019) Cost and affordability analysis of TB-LAMP and Xpert MTB / RIF assays as routine diagnostic tests in peripheral laboratories in Malawi and Vietnam. J Glob Heal Sci 1:1–11</w:t>
      </w:r>
    </w:p>
    <w:p w14:paraId="36F0C30A"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2. </w:t>
      </w:r>
      <w:r w:rsidRPr="009A35D4">
        <w:rPr>
          <w:rFonts w:ascii="Calibri" w:hAnsi="Calibri" w:cs="Calibri"/>
          <w:noProof/>
          <w:szCs w:val="24"/>
        </w:rPr>
        <w:tab/>
        <w:t>Vassall A, van Kampen S, Sohn H, et al (2011) Rapid diagnosis of tuberculosis with the Xpert MTB/RIF assay in high burden countries: A cost-effectiveness analysis. PLoS Med 8:e1001120</w:t>
      </w:r>
    </w:p>
    <w:p w14:paraId="4D7736B1"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3. </w:t>
      </w:r>
      <w:r w:rsidRPr="009A35D4">
        <w:rPr>
          <w:rFonts w:ascii="Calibri" w:hAnsi="Calibri" w:cs="Calibri"/>
          <w:noProof/>
          <w:szCs w:val="24"/>
        </w:rPr>
        <w:tab/>
        <w:t>Sarin S, Huddart S, Raizada N, et al (2019) Cost and operational impact of promoting upfront GeneXpert MTB/RIF test referrals for presumptive pediatric tuberculosis patients in India. PLoS One 14:e0214675</w:t>
      </w:r>
    </w:p>
    <w:p w14:paraId="7179F8E4"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4. </w:t>
      </w:r>
      <w:r w:rsidRPr="009A35D4">
        <w:rPr>
          <w:rFonts w:ascii="Calibri" w:hAnsi="Calibri" w:cs="Calibri"/>
          <w:noProof/>
          <w:szCs w:val="24"/>
        </w:rPr>
        <w:tab/>
        <w:t>Cepheid | GeneXpert Omni. http://www.cepheid.com/us/genexpert-omni. Accessed 12 Feb 2018</w:t>
      </w:r>
    </w:p>
    <w:p w14:paraId="6F4E45CD"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5. </w:t>
      </w:r>
      <w:r w:rsidRPr="009A35D4">
        <w:rPr>
          <w:rFonts w:ascii="Calibri" w:hAnsi="Calibri" w:cs="Calibri"/>
          <w:noProof/>
          <w:szCs w:val="24"/>
        </w:rPr>
        <w:tab/>
        <w:t>Foundation for Innovative New Diagnsotics Negotiated Prices for Diagnostic Products in LMICs. https://www.finddx.org/find-negotiated-product-pricing/. Accessed 14 Nov 2018</w:t>
      </w:r>
    </w:p>
    <w:p w14:paraId="28D8B6CB"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6. </w:t>
      </w:r>
      <w:r w:rsidRPr="009A35D4">
        <w:rPr>
          <w:rFonts w:ascii="Calibri" w:hAnsi="Calibri" w:cs="Calibri"/>
          <w:noProof/>
          <w:szCs w:val="24"/>
        </w:rPr>
        <w:tab/>
        <w:t xml:space="preserve">Central TB Division (2015) TB India 2015, annual status report. </w:t>
      </w:r>
    </w:p>
    <w:p w14:paraId="1CE96430"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7. </w:t>
      </w:r>
      <w:r w:rsidRPr="009A35D4">
        <w:rPr>
          <w:rFonts w:ascii="Calibri" w:hAnsi="Calibri" w:cs="Calibri"/>
          <w:noProof/>
          <w:szCs w:val="24"/>
        </w:rPr>
        <w:tab/>
        <w:t xml:space="preserve">RNTCP (2017) NATIONAL STRATEGIC PLAN FOR TUBERCULOSIS ELIMINATION. </w:t>
      </w:r>
    </w:p>
    <w:p w14:paraId="40B54221"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8. </w:t>
      </w:r>
      <w:r w:rsidRPr="009A35D4">
        <w:rPr>
          <w:rFonts w:ascii="Calibri" w:hAnsi="Calibri" w:cs="Calibri"/>
          <w:noProof/>
          <w:szCs w:val="24"/>
        </w:rPr>
        <w:tab/>
        <w:t xml:space="preserve">Sohn H, Vyas A, Puri L, Gupta S, Qin ZZ, Codlin A, Creswell J Costs and Operation Management of Community Outreach Program for Tuberculosis in Tribal Populations in India. Public Heal. Action (Submitted Rev. </w:t>
      </w:r>
    </w:p>
    <w:p w14:paraId="04B6CAC7"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9. </w:t>
      </w:r>
      <w:r w:rsidRPr="009A35D4">
        <w:rPr>
          <w:rFonts w:ascii="Calibri" w:hAnsi="Calibri" w:cs="Calibri"/>
          <w:noProof/>
          <w:szCs w:val="24"/>
        </w:rPr>
        <w:tab/>
        <w:t>Kasaie P, Sohn H, Kendall E, Gomez GB, Vassall A, Pai M, Dowdy DW (2017) Exploring the epidemiological impact of universal access to rapid tuberculosis diagnosis using agent-based simulation. In: 2017 Winter Simul. Conf. pp 1097–1108</w:t>
      </w:r>
    </w:p>
    <w:p w14:paraId="738DDF26"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10. </w:t>
      </w:r>
      <w:r w:rsidRPr="009A35D4">
        <w:rPr>
          <w:rFonts w:ascii="Calibri" w:hAnsi="Calibri" w:cs="Calibri"/>
          <w:noProof/>
          <w:szCs w:val="24"/>
        </w:rPr>
        <w:tab/>
        <w:t>Salje H, Andrews JR, Deo S, Satyanarayana S, Sun AY, Pai M, Dowdy DW (2014) The Importance of Implementation Strategy in Scaling Up Xpert MTB/RIF for Diagnosis of Tuberculosis in the Indian Health-Care System: A Transmission Model. PLoS Med 11:e1001674</w:t>
      </w:r>
    </w:p>
    <w:p w14:paraId="24B6B11D"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11. </w:t>
      </w:r>
      <w:r w:rsidRPr="009A35D4">
        <w:rPr>
          <w:rFonts w:ascii="Calibri" w:hAnsi="Calibri" w:cs="Calibri"/>
          <w:noProof/>
          <w:szCs w:val="24"/>
        </w:rPr>
        <w:tab/>
        <w:t>Kapoor SK, Raman AV, Sachdeva KS, Satyanarayana S (2012) How did the TB patients reach DOTS services in Delhi? a study of patient treatment seeking behavior. PLoS One 7:1–6</w:t>
      </w:r>
    </w:p>
    <w:p w14:paraId="0FB56634"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12. </w:t>
      </w:r>
      <w:r w:rsidRPr="009A35D4">
        <w:rPr>
          <w:rFonts w:ascii="Calibri" w:hAnsi="Calibri" w:cs="Calibri"/>
          <w:noProof/>
          <w:szCs w:val="24"/>
        </w:rPr>
        <w:tab/>
        <w:t>Mistry N, Rangan S, Dholakia Y, Lobo E, Shah S (2016) Durations and Delays in Care Seeking , Diagnosis and Treatment Initiation in Uncomplicated Pulmonary Tuberculosis Patients in Mumbai , India. 1–17</w:t>
      </w:r>
    </w:p>
    <w:p w14:paraId="3D1E8300"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13. </w:t>
      </w:r>
      <w:r w:rsidRPr="009A35D4">
        <w:rPr>
          <w:rFonts w:ascii="Calibri" w:hAnsi="Calibri" w:cs="Calibri"/>
          <w:noProof/>
          <w:szCs w:val="24"/>
        </w:rPr>
        <w:tab/>
        <w:t xml:space="preserve">World Health Organization (2018) Global Tuberculosis Report 2018. </w:t>
      </w:r>
    </w:p>
    <w:p w14:paraId="569473FC"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14. </w:t>
      </w:r>
      <w:r w:rsidRPr="009A35D4">
        <w:rPr>
          <w:rFonts w:ascii="Calibri" w:hAnsi="Calibri" w:cs="Calibri"/>
          <w:noProof/>
          <w:szCs w:val="24"/>
        </w:rPr>
        <w:tab/>
        <w:t>E. VYNNYCKY, M. FINE PE (1997) The natural history of tuberculosis: the implications of age-dependent risks of disease and the role of reinfection. Epidemiol Infect 119:183–201</w:t>
      </w:r>
    </w:p>
    <w:p w14:paraId="18327459"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15. </w:t>
      </w:r>
      <w:r w:rsidRPr="009A35D4">
        <w:rPr>
          <w:rFonts w:ascii="Calibri" w:hAnsi="Calibri" w:cs="Calibri"/>
          <w:noProof/>
          <w:szCs w:val="24"/>
        </w:rPr>
        <w:tab/>
        <w:t>Marais BJ, Gie RP, Schaaf HS, Hesseling AC, Obihara CC, Nelson LJ, Enarson DA (2004) The clinical epidemiology of childhood pulmonary tuberculosis : a critical review of literature from the pre-chemotherapy era. 8:278–285</w:t>
      </w:r>
    </w:p>
    <w:p w14:paraId="62A64017"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16. </w:t>
      </w:r>
      <w:r w:rsidRPr="009A35D4">
        <w:rPr>
          <w:rFonts w:ascii="Calibri" w:hAnsi="Calibri" w:cs="Calibri"/>
          <w:noProof/>
          <w:szCs w:val="24"/>
        </w:rPr>
        <w:tab/>
        <w:t>Horsburgh  Jr. CR (2004) Priorities for the treatment of latent tuberculosis infection in the United States.[see comment]. N Engl J Med 350:2060–2067</w:t>
      </w:r>
    </w:p>
    <w:p w14:paraId="1EF59051"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17. </w:t>
      </w:r>
      <w:r w:rsidRPr="009A35D4">
        <w:rPr>
          <w:rFonts w:ascii="Calibri" w:hAnsi="Calibri" w:cs="Calibri"/>
          <w:noProof/>
          <w:szCs w:val="24"/>
        </w:rPr>
        <w:tab/>
        <w:t xml:space="preserve">Tiemersma EW, van der Werf MJ, Borgdorff MW, Williams BG, Nagelkerke NJD (2011) Natural history of tuberculosis: Duration and fatality of untreated pulmonary tuberculosis in HIV negative </w:t>
      </w:r>
      <w:r w:rsidRPr="009A35D4">
        <w:rPr>
          <w:rFonts w:ascii="Calibri" w:hAnsi="Calibri" w:cs="Calibri"/>
          <w:noProof/>
          <w:szCs w:val="24"/>
        </w:rPr>
        <w:lastRenderedPageBreak/>
        <w:t>patients: A systematic review. PLoS One. doi: 10.1371/journal.pone.0017601</w:t>
      </w:r>
    </w:p>
    <w:p w14:paraId="4DAE44B9"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18. </w:t>
      </w:r>
      <w:r w:rsidRPr="009A35D4">
        <w:rPr>
          <w:rFonts w:ascii="Calibri" w:hAnsi="Calibri" w:cs="Calibri"/>
          <w:noProof/>
          <w:szCs w:val="24"/>
        </w:rPr>
        <w:tab/>
        <w:t>Marx FM, Dunbar R, Enarson D a, Williams BG, Warren RM, van der Spuy GD, van Helden PD, Beyers N (2014) The temporal dynamics of relapse and reinfection tuberculosis after successful treatment: a retrospective cohort study. Clin Infect Dis 58:1676–83</w:t>
      </w:r>
    </w:p>
    <w:p w14:paraId="318F4A1F"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19. </w:t>
      </w:r>
      <w:r w:rsidRPr="009A35D4">
        <w:rPr>
          <w:rFonts w:ascii="Calibri" w:hAnsi="Calibri" w:cs="Calibri"/>
          <w:noProof/>
          <w:szCs w:val="24"/>
        </w:rPr>
        <w:tab/>
        <w:t>Lienhardt C, Paydar A, Menzies D, Benedetti A, Martin I, Pai M, Burman W, Vernon A, Royce S (2009) Effect of Duration and Intermittency of Rifampin on Tuberculosis Treatment Outcomes: A Systematic Review and Meta-Analysis. PLoS Med 6:e1000146</w:t>
      </w:r>
    </w:p>
    <w:p w14:paraId="611B43BA"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20. </w:t>
      </w:r>
      <w:r w:rsidRPr="009A35D4">
        <w:rPr>
          <w:rFonts w:ascii="Calibri" w:hAnsi="Calibri" w:cs="Calibri"/>
          <w:noProof/>
          <w:szCs w:val="24"/>
        </w:rPr>
        <w:tab/>
        <w:t>Palmero DJ, Ambroggi M, Brea A, et al (2004) Treatment and follow-up of HIV-negative multidrug-resistant tuberculosis patients in an infectious diseases reference hospital, Buenos Aires, Argentina. Int J Tuberc Lung Dis 8:778–784</w:t>
      </w:r>
    </w:p>
    <w:p w14:paraId="6E0226CF"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21. </w:t>
      </w:r>
      <w:r w:rsidRPr="009A35D4">
        <w:rPr>
          <w:rFonts w:ascii="Calibri" w:hAnsi="Calibri" w:cs="Calibri"/>
          <w:noProof/>
          <w:szCs w:val="24"/>
        </w:rPr>
        <w:tab/>
        <w:t xml:space="preserve">Organization WH (2016) Global Tuberculosis Report 2016. </w:t>
      </w:r>
    </w:p>
    <w:p w14:paraId="6397D725"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22. </w:t>
      </w:r>
      <w:r w:rsidRPr="009A35D4">
        <w:rPr>
          <w:rFonts w:ascii="Calibri" w:hAnsi="Calibri" w:cs="Calibri"/>
          <w:noProof/>
          <w:szCs w:val="24"/>
        </w:rPr>
        <w:tab/>
        <w:t>Macpherson P, Houben MGJ, Glynn JR, Corbett L, Kranzer K (2014) Systematic Systematic reviews reviews Pre-treatment loss to follow-up in tuberculosis patients in low- and lower-middle-income countries and high-burden countries : a systematic review and meta-analysis. Bull World Health Organ 126–138</w:t>
      </w:r>
    </w:p>
    <w:p w14:paraId="5325A1B3"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23. </w:t>
      </w:r>
      <w:r w:rsidRPr="009A35D4">
        <w:rPr>
          <w:rFonts w:ascii="Calibri" w:hAnsi="Calibri" w:cs="Calibri"/>
          <w:noProof/>
          <w:szCs w:val="24"/>
        </w:rPr>
        <w:tab/>
        <w:t xml:space="preserve">Organization WH (2017) Global Health Observatory Data Repository. http://apps.who.int/gho/data/?theme=main&amp;vid=60740. </w:t>
      </w:r>
    </w:p>
    <w:p w14:paraId="65B92226"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24. </w:t>
      </w:r>
      <w:r w:rsidRPr="009A35D4">
        <w:rPr>
          <w:rFonts w:ascii="Calibri" w:hAnsi="Calibri" w:cs="Calibri"/>
          <w:noProof/>
          <w:szCs w:val="24"/>
        </w:rPr>
        <w:tab/>
        <w:t>Steingart KR, Schiller I, Horne DJ, Pai M, Boehme CC, Dendukuri N (2014) Xpert ® MTB / RIF assay for pulmonary tuberculosis and rifampicin resistance in adults ( Review ) Xpert ® MTB / RIF assay for pulmonary tuberculosis and rifampicin resistance in adults. Cochrane Libr. doi: 10.1002/14651858.CD009593.pub3.Copyright</w:t>
      </w:r>
    </w:p>
    <w:p w14:paraId="0A5FE8A5"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szCs w:val="24"/>
        </w:rPr>
      </w:pPr>
      <w:r w:rsidRPr="009A35D4">
        <w:rPr>
          <w:rFonts w:ascii="Calibri" w:hAnsi="Calibri" w:cs="Calibri"/>
          <w:noProof/>
          <w:szCs w:val="24"/>
        </w:rPr>
        <w:t xml:space="preserve">25. </w:t>
      </w:r>
      <w:r w:rsidRPr="009A35D4">
        <w:rPr>
          <w:rFonts w:ascii="Calibri" w:hAnsi="Calibri" w:cs="Calibri"/>
          <w:noProof/>
          <w:szCs w:val="24"/>
        </w:rPr>
        <w:tab/>
        <w:t>Andrews JR, Noubary F, Walensky RP, Cerda R, Losina E, Horsburgh CR (2012) Risk of progression to active tuberculosis following reinfection with Mycobacterium tuberculosis. Clin Infect Dis 54:784–791</w:t>
      </w:r>
    </w:p>
    <w:p w14:paraId="1C6CB771" w14:textId="77777777" w:rsidR="009A35D4" w:rsidRPr="009A35D4" w:rsidRDefault="009A35D4" w:rsidP="009A35D4">
      <w:pPr>
        <w:widowControl w:val="0"/>
        <w:autoSpaceDE w:val="0"/>
        <w:autoSpaceDN w:val="0"/>
        <w:adjustRightInd w:val="0"/>
        <w:spacing w:line="240" w:lineRule="auto"/>
        <w:ind w:left="640" w:hanging="640"/>
        <w:rPr>
          <w:rFonts w:ascii="Calibri" w:hAnsi="Calibri" w:cs="Calibri"/>
          <w:noProof/>
        </w:rPr>
      </w:pPr>
      <w:r w:rsidRPr="009A35D4">
        <w:rPr>
          <w:rFonts w:ascii="Calibri" w:hAnsi="Calibri" w:cs="Calibri"/>
          <w:noProof/>
          <w:szCs w:val="24"/>
        </w:rPr>
        <w:t xml:space="preserve">26. </w:t>
      </w:r>
      <w:r w:rsidRPr="009A35D4">
        <w:rPr>
          <w:rFonts w:ascii="Calibri" w:hAnsi="Calibri" w:cs="Calibri"/>
          <w:noProof/>
          <w:szCs w:val="24"/>
        </w:rPr>
        <w:tab/>
        <w:t>Sutherland I, Švandová E, Radhakrishna S (1982) The development of clinical tuberculosis following infection with tubercle bacilli. Tubercle 63:255–268</w:t>
      </w:r>
    </w:p>
    <w:p w14:paraId="5EA53019" w14:textId="77777777" w:rsidR="004754A5" w:rsidRPr="00D93D2D" w:rsidRDefault="00E6460D" w:rsidP="00060BF2">
      <w:pPr>
        <w:tabs>
          <w:tab w:val="left" w:pos="2430"/>
        </w:tabs>
        <w:jc w:val="both"/>
        <w:rPr>
          <w:rFonts w:cstheme="minorHAnsi"/>
        </w:rPr>
      </w:pPr>
      <w:r w:rsidRPr="00D93D2D">
        <w:rPr>
          <w:rFonts w:cstheme="minorHAnsi"/>
        </w:rPr>
        <w:fldChar w:fldCharType="end"/>
      </w:r>
    </w:p>
    <w:sectPr w:rsidR="004754A5" w:rsidRPr="00D93D2D" w:rsidSect="002135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0669C" w14:textId="77777777" w:rsidR="003259E8" w:rsidRDefault="003259E8" w:rsidP="00BA14B4">
      <w:pPr>
        <w:spacing w:after="0" w:line="240" w:lineRule="auto"/>
      </w:pPr>
      <w:r>
        <w:separator/>
      </w:r>
    </w:p>
  </w:endnote>
  <w:endnote w:type="continuationSeparator" w:id="0">
    <w:p w14:paraId="4191422C" w14:textId="77777777" w:rsidR="003259E8" w:rsidRDefault="003259E8" w:rsidP="00BA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830157"/>
      <w:docPartObj>
        <w:docPartGallery w:val="Page Numbers (Bottom of Page)"/>
        <w:docPartUnique/>
      </w:docPartObj>
    </w:sdtPr>
    <w:sdtEndPr>
      <w:rPr>
        <w:noProof/>
      </w:rPr>
    </w:sdtEndPr>
    <w:sdtContent>
      <w:p w14:paraId="2B59E9BE" w14:textId="361FBE1D" w:rsidR="00EB0541" w:rsidRDefault="00EB0541">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368F64A" w14:textId="77777777" w:rsidR="00EB0541" w:rsidRDefault="00EB0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256815"/>
      <w:docPartObj>
        <w:docPartGallery w:val="Page Numbers (Bottom of Page)"/>
        <w:docPartUnique/>
      </w:docPartObj>
    </w:sdtPr>
    <w:sdtEndPr>
      <w:rPr>
        <w:noProof/>
      </w:rPr>
    </w:sdtEndPr>
    <w:sdtContent>
      <w:p w14:paraId="6E6FAEB5" w14:textId="3D21D741" w:rsidR="00EB0541" w:rsidRDefault="00EB0541">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51FE5B39" w14:textId="77777777" w:rsidR="00EB0541" w:rsidRDefault="00EB0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C4132" w14:textId="77777777" w:rsidR="003259E8" w:rsidRDefault="003259E8" w:rsidP="00BA14B4">
      <w:pPr>
        <w:spacing w:after="0" w:line="240" w:lineRule="auto"/>
      </w:pPr>
      <w:r>
        <w:separator/>
      </w:r>
    </w:p>
  </w:footnote>
  <w:footnote w:type="continuationSeparator" w:id="0">
    <w:p w14:paraId="1823140D" w14:textId="77777777" w:rsidR="003259E8" w:rsidRDefault="003259E8" w:rsidP="00BA14B4">
      <w:pPr>
        <w:spacing w:after="0" w:line="240" w:lineRule="auto"/>
      </w:pPr>
      <w:r>
        <w:continuationSeparator/>
      </w:r>
    </w:p>
  </w:footnote>
  <w:footnote w:id="1">
    <w:p w14:paraId="48D6969C" w14:textId="77777777" w:rsidR="00EB0541" w:rsidRPr="00B614B1" w:rsidRDefault="00EB0541">
      <w:pPr>
        <w:pStyle w:val="FootnoteText"/>
        <w:rPr>
          <w:rFonts w:ascii="Calibri" w:hAnsi="Calibri" w:cs="Calibri"/>
          <w:sz w:val="16"/>
        </w:rPr>
      </w:pPr>
      <w:r w:rsidRPr="00B614B1">
        <w:rPr>
          <w:rStyle w:val="FootnoteReference"/>
          <w:rFonts w:ascii="Calibri" w:hAnsi="Calibri" w:cs="Calibri"/>
          <w:sz w:val="16"/>
        </w:rPr>
        <w:footnoteRef/>
      </w:r>
      <w:r w:rsidRPr="00B614B1">
        <w:rPr>
          <w:rFonts w:ascii="Calibri" w:hAnsi="Calibri" w:cs="Calibri"/>
          <w:sz w:val="16"/>
        </w:rPr>
        <w:t xml:space="preserve"> Costs estimated based on figures provided by Dr. Dean Sher at SmartSpotQ in South Africa, a company that provides EQA to public and private TB laboratories using Xpert tests in South African and other countries (including India). For GX4 and Omni, costs were assessed based on three EQA panel testing for a set of 4 individual GeneXpert modules (1 GX4 = 4 modules; 1 Omni = 1 module).</w:t>
      </w:r>
    </w:p>
  </w:footnote>
  <w:footnote w:id="2">
    <w:p w14:paraId="163A0679" w14:textId="77777777" w:rsidR="00EB0541" w:rsidRPr="00B614B1" w:rsidRDefault="00EB0541" w:rsidP="001F5A78">
      <w:pPr>
        <w:pStyle w:val="FootnoteText"/>
        <w:rPr>
          <w:rFonts w:ascii="Calibri" w:hAnsi="Calibri" w:cs="Calibri"/>
        </w:rPr>
      </w:pPr>
      <w:r w:rsidRPr="00B614B1">
        <w:rPr>
          <w:rStyle w:val="FootnoteReference"/>
          <w:rFonts w:ascii="Calibri" w:hAnsi="Calibri" w:cs="Calibri"/>
          <w:sz w:val="16"/>
        </w:rPr>
        <w:footnoteRef/>
      </w:r>
      <w:r w:rsidRPr="00B614B1">
        <w:rPr>
          <w:rFonts w:ascii="Calibri" w:hAnsi="Calibri" w:cs="Calibri"/>
          <w:sz w:val="16"/>
        </w:rPr>
        <w:t xml:space="preserve"> Percent indicates exclusivity of sample transport network for TB. Lower value represents high cost sharing of sample transport with other clinical samples whereas 100% indicates exclusive TB sample transport network for TB.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9508D"/>
    <w:multiLevelType w:val="hybridMultilevel"/>
    <w:tmpl w:val="5288B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81580"/>
    <w:multiLevelType w:val="hybridMultilevel"/>
    <w:tmpl w:val="994C7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095F64"/>
    <w:multiLevelType w:val="multilevel"/>
    <w:tmpl w:val="94A0271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2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4D44719"/>
    <w:multiLevelType w:val="multilevel"/>
    <w:tmpl w:val="91F04A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AB82801"/>
    <w:multiLevelType w:val="hybridMultilevel"/>
    <w:tmpl w:val="3FD085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F06550"/>
    <w:multiLevelType w:val="hybridMultilevel"/>
    <w:tmpl w:val="05420D68"/>
    <w:lvl w:ilvl="0" w:tplc="15DC1D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FB676E2"/>
    <w:multiLevelType w:val="multilevel"/>
    <w:tmpl w:val="3E64EFE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2FF7B13"/>
    <w:multiLevelType w:val="multilevel"/>
    <w:tmpl w:val="A43C2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7B13A8"/>
    <w:multiLevelType w:val="multilevel"/>
    <w:tmpl w:val="3E64EFE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7F702AD"/>
    <w:multiLevelType w:val="hybridMultilevel"/>
    <w:tmpl w:val="9F0C03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lvlOverride w:ilvl="0">
      <w:startOverride w:val="1"/>
    </w:lvlOverride>
  </w:num>
  <w:num w:numId="3">
    <w:abstractNumId w:val="7"/>
    <w:lvlOverride w:ilvl="0"/>
    <w:lvlOverride w:ilvl="1">
      <w:startOverride w:val="1"/>
    </w:lvlOverride>
  </w:num>
  <w:num w:numId="4">
    <w:abstractNumId w:val="7"/>
    <w:lvlOverride w:ilvl="0"/>
    <w:lvlOverride w:ilvl="1"/>
    <w:lvlOverride w:ilvl="2">
      <w:startOverride w:val="1"/>
    </w:lvlOverride>
  </w:num>
  <w:num w:numId="5">
    <w:abstractNumId w:val="7"/>
    <w:lvlOverride w:ilvl="0"/>
    <w:lvlOverride w:ilvl="1"/>
    <w:lvlOverride w:ilvl="2">
      <w:startOverride w:val="1"/>
    </w:lvlOverride>
  </w:num>
  <w:num w:numId="6">
    <w:abstractNumId w:val="4"/>
  </w:num>
  <w:num w:numId="7">
    <w:abstractNumId w:val="3"/>
  </w:num>
  <w:num w:numId="8">
    <w:abstractNumId w:val="2"/>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8"/>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4B4"/>
    <w:rsid w:val="00016FB6"/>
    <w:rsid w:val="00033B79"/>
    <w:rsid w:val="00060BF2"/>
    <w:rsid w:val="00063389"/>
    <w:rsid w:val="00066DF3"/>
    <w:rsid w:val="00084C16"/>
    <w:rsid w:val="00086246"/>
    <w:rsid w:val="00086DCF"/>
    <w:rsid w:val="00092121"/>
    <w:rsid w:val="000B11F5"/>
    <w:rsid w:val="000B41C4"/>
    <w:rsid w:val="000B59C0"/>
    <w:rsid w:val="000D24EA"/>
    <w:rsid w:val="000D2FEE"/>
    <w:rsid w:val="000D472D"/>
    <w:rsid w:val="000E0632"/>
    <w:rsid w:val="000E1BF0"/>
    <w:rsid w:val="000E35E1"/>
    <w:rsid w:val="000E396C"/>
    <w:rsid w:val="000E674A"/>
    <w:rsid w:val="000F0D1D"/>
    <w:rsid w:val="000F2683"/>
    <w:rsid w:val="001045AD"/>
    <w:rsid w:val="00104D3A"/>
    <w:rsid w:val="001134FB"/>
    <w:rsid w:val="00120864"/>
    <w:rsid w:val="00123189"/>
    <w:rsid w:val="0013628E"/>
    <w:rsid w:val="00162492"/>
    <w:rsid w:val="0016448B"/>
    <w:rsid w:val="0017352C"/>
    <w:rsid w:val="00177937"/>
    <w:rsid w:val="001A1F1D"/>
    <w:rsid w:val="001C1E95"/>
    <w:rsid w:val="001E22FE"/>
    <w:rsid w:val="001E4618"/>
    <w:rsid w:val="001E5AF7"/>
    <w:rsid w:val="001F14E4"/>
    <w:rsid w:val="001F5A78"/>
    <w:rsid w:val="00202599"/>
    <w:rsid w:val="002105AA"/>
    <w:rsid w:val="0021355E"/>
    <w:rsid w:val="0021657A"/>
    <w:rsid w:val="00223893"/>
    <w:rsid w:val="00223CD4"/>
    <w:rsid w:val="0024524E"/>
    <w:rsid w:val="002568EE"/>
    <w:rsid w:val="0026146E"/>
    <w:rsid w:val="00261FEE"/>
    <w:rsid w:val="00266592"/>
    <w:rsid w:val="002665F4"/>
    <w:rsid w:val="002862BC"/>
    <w:rsid w:val="00293F6B"/>
    <w:rsid w:val="002B2EEF"/>
    <w:rsid w:val="002B46A8"/>
    <w:rsid w:val="002B4B34"/>
    <w:rsid w:val="002B5B04"/>
    <w:rsid w:val="002B72E0"/>
    <w:rsid w:val="002C28A1"/>
    <w:rsid w:val="002C4CC1"/>
    <w:rsid w:val="002E2C50"/>
    <w:rsid w:val="002E48DC"/>
    <w:rsid w:val="002F266B"/>
    <w:rsid w:val="002F2B05"/>
    <w:rsid w:val="002F2F74"/>
    <w:rsid w:val="00307286"/>
    <w:rsid w:val="003259E8"/>
    <w:rsid w:val="00330E81"/>
    <w:rsid w:val="0033100E"/>
    <w:rsid w:val="0033319F"/>
    <w:rsid w:val="003472A2"/>
    <w:rsid w:val="00353DE2"/>
    <w:rsid w:val="003638D1"/>
    <w:rsid w:val="003767A9"/>
    <w:rsid w:val="00390F9C"/>
    <w:rsid w:val="00393039"/>
    <w:rsid w:val="003B35D8"/>
    <w:rsid w:val="003B4342"/>
    <w:rsid w:val="003C7314"/>
    <w:rsid w:val="003F60A7"/>
    <w:rsid w:val="00410023"/>
    <w:rsid w:val="00412ED9"/>
    <w:rsid w:val="004233A8"/>
    <w:rsid w:val="0043009F"/>
    <w:rsid w:val="00435CB8"/>
    <w:rsid w:val="0046439E"/>
    <w:rsid w:val="00465020"/>
    <w:rsid w:val="004704F0"/>
    <w:rsid w:val="004754A5"/>
    <w:rsid w:val="004825C8"/>
    <w:rsid w:val="004956B2"/>
    <w:rsid w:val="004B42CF"/>
    <w:rsid w:val="004D1530"/>
    <w:rsid w:val="004F2255"/>
    <w:rsid w:val="00506D5E"/>
    <w:rsid w:val="005112A3"/>
    <w:rsid w:val="00551BF5"/>
    <w:rsid w:val="00557B22"/>
    <w:rsid w:val="005705BF"/>
    <w:rsid w:val="00574BDC"/>
    <w:rsid w:val="00575C79"/>
    <w:rsid w:val="00576824"/>
    <w:rsid w:val="005775E9"/>
    <w:rsid w:val="00584042"/>
    <w:rsid w:val="00597ABC"/>
    <w:rsid w:val="005A6E42"/>
    <w:rsid w:val="005C035F"/>
    <w:rsid w:val="005C0929"/>
    <w:rsid w:val="005C72FC"/>
    <w:rsid w:val="005F63EE"/>
    <w:rsid w:val="006046F1"/>
    <w:rsid w:val="00616AE0"/>
    <w:rsid w:val="00626A3D"/>
    <w:rsid w:val="00630974"/>
    <w:rsid w:val="00643F9A"/>
    <w:rsid w:val="00644E09"/>
    <w:rsid w:val="00671563"/>
    <w:rsid w:val="006804F9"/>
    <w:rsid w:val="00680D88"/>
    <w:rsid w:val="0068701C"/>
    <w:rsid w:val="00693D6F"/>
    <w:rsid w:val="00696844"/>
    <w:rsid w:val="006A5101"/>
    <w:rsid w:val="006C1FBA"/>
    <w:rsid w:val="006C36D2"/>
    <w:rsid w:val="006E5868"/>
    <w:rsid w:val="0070248E"/>
    <w:rsid w:val="00703FB4"/>
    <w:rsid w:val="00711E95"/>
    <w:rsid w:val="00716E67"/>
    <w:rsid w:val="007175F1"/>
    <w:rsid w:val="007338CF"/>
    <w:rsid w:val="0073571F"/>
    <w:rsid w:val="0074528F"/>
    <w:rsid w:val="00762B9A"/>
    <w:rsid w:val="00777917"/>
    <w:rsid w:val="00783E79"/>
    <w:rsid w:val="007845B1"/>
    <w:rsid w:val="007C5941"/>
    <w:rsid w:val="007E1538"/>
    <w:rsid w:val="007E1879"/>
    <w:rsid w:val="007F4A10"/>
    <w:rsid w:val="0082483C"/>
    <w:rsid w:val="008338D4"/>
    <w:rsid w:val="00833E54"/>
    <w:rsid w:val="00837C81"/>
    <w:rsid w:val="00860976"/>
    <w:rsid w:val="008614FD"/>
    <w:rsid w:val="008636F3"/>
    <w:rsid w:val="008654CF"/>
    <w:rsid w:val="00890810"/>
    <w:rsid w:val="008A11E8"/>
    <w:rsid w:val="008A1FC3"/>
    <w:rsid w:val="008E172D"/>
    <w:rsid w:val="008E6E57"/>
    <w:rsid w:val="008E7CB9"/>
    <w:rsid w:val="008F0700"/>
    <w:rsid w:val="008F14A9"/>
    <w:rsid w:val="008F7E66"/>
    <w:rsid w:val="00907CB6"/>
    <w:rsid w:val="00913ABC"/>
    <w:rsid w:val="009143E9"/>
    <w:rsid w:val="009166A6"/>
    <w:rsid w:val="0093221A"/>
    <w:rsid w:val="00943476"/>
    <w:rsid w:val="009528D8"/>
    <w:rsid w:val="00954E1F"/>
    <w:rsid w:val="0097604E"/>
    <w:rsid w:val="009A35D4"/>
    <w:rsid w:val="009A3C9B"/>
    <w:rsid w:val="009C57AE"/>
    <w:rsid w:val="009C79E7"/>
    <w:rsid w:val="009D1225"/>
    <w:rsid w:val="009D1652"/>
    <w:rsid w:val="009D79BC"/>
    <w:rsid w:val="009F4F26"/>
    <w:rsid w:val="00A06D55"/>
    <w:rsid w:val="00A262C5"/>
    <w:rsid w:val="00A31048"/>
    <w:rsid w:val="00A5018F"/>
    <w:rsid w:val="00A6350E"/>
    <w:rsid w:val="00A6731F"/>
    <w:rsid w:val="00A70CBF"/>
    <w:rsid w:val="00A721B6"/>
    <w:rsid w:val="00A77294"/>
    <w:rsid w:val="00A81093"/>
    <w:rsid w:val="00A829C5"/>
    <w:rsid w:val="00A92483"/>
    <w:rsid w:val="00AA32BF"/>
    <w:rsid w:val="00AB272A"/>
    <w:rsid w:val="00AC772A"/>
    <w:rsid w:val="00AD1D98"/>
    <w:rsid w:val="00AD30E4"/>
    <w:rsid w:val="00AD3D25"/>
    <w:rsid w:val="00AE50FD"/>
    <w:rsid w:val="00AE5247"/>
    <w:rsid w:val="00AE6295"/>
    <w:rsid w:val="00AE6FC6"/>
    <w:rsid w:val="00AF29B6"/>
    <w:rsid w:val="00AF70E1"/>
    <w:rsid w:val="00B0037B"/>
    <w:rsid w:val="00B00B7A"/>
    <w:rsid w:val="00B01328"/>
    <w:rsid w:val="00B01816"/>
    <w:rsid w:val="00B0464D"/>
    <w:rsid w:val="00B06B71"/>
    <w:rsid w:val="00B06EF7"/>
    <w:rsid w:val="00B119AF"/>
    <w:rsid w:val="00B26466"/>
    <w:rsid w:val="00B26656"/>
    <w:rsid w:val="00B343BC"/>
    <w:rsid w:val="00B34C27"/>
    <w:rsid w:val="00B41FD0"/>
    <w:rsid w:val="00B42096"/>
    <w:rsid w:val="00B56775"/>
    <w:rsid w:val="00B614B1"/>
    <w:rsid w:val="00B72037"/>
    <w:rsid w:val="00B7444A"/>
    <w:rsid w:val="00B80F44"/>
    <w:rsid w:val="00B940D3"/>
    <w:rsid w:val="00BA14B4"/>
    <w:rsid w:val="00BB1830"/>
    <w:rsid w:val="00BC46D7"/>
    <w:rsid w:val="00BC68C5"/>
    <w:rsid w:val="00BD6E76"/>
    <w:rsid w:val="00BE4A37"/>
    <w:rsid w:val="00BE6C6C"/>
    <w:rsid w:val="00C045C3"/>
    <w:rsid w:val="00C068F7"/>
    <w:rsid w:val="00C24230"/>
    <w:rsid w:val="00C30A6E"/>
    <w:rsid w:val="00C54E2B"/>
    <w:rsid w:val="00C759F1"/>
    <w:rsid w:val="00C77224"/>
    <w:rsid w:val="00C81F81"/>
    <w:rsid w:val="00C82E3D"/>
    <w:rsid w:val="00C84B57"/>
    <w:rsid w:val="00C869BC"/>
    <w:rsid w:val="00CA0EDD"/>
    <w:rsid w:val="00CB5540"/>
    <w:rsid w:val="00CB5C9A"/>
    <w:rsid w:val="00CC3E54"/>
    <w:rsid w:val="00CC66B7"/>
    <w:rsid w:val="00CD3434"/>
    <w:rsid w:val="00CE5522"/>
    <w:rsid w:val="00D14801"/>
    <w:rsid w:val="00D212F5"/>
    <w:rsid w:val="00D230A6"/>
    <w:rsid w:val="00D75BBB"/>
    <w:rsid w:val="00D822BE"/>
    <w:rsid w:val="00D85EBA"/>
    <w:rsid w:val="00D92AEB"/>
    <w:rsid w:val="00D93D2D"/>
    <w:rsid w:val="00D97131"/>
    <w:rsid w:val="00DA21AB"/>
    <w:rsid w:val="00DD25D9"/>
    <w:rsid w:val="00DD374C"/>
    <w:rsid w:val="00DD3A01"/>
    <w:rsid w:val="00DD45C9"/>
    <w:rsid w:val="00DE7916"/>
    <w:rsid w:val="00E14022"/>
    <w:rsid w:val="00E225FC"/>
    <w:rsid w:val="00E23A59"/>
    <w:rsid w:val="00E24FDA"/>
    <w:rsid w:val="00E27A16"/>
    <w:rsid w:val="00E43DA3"/>
    <w:rsid w:val="00E562B5"/>
    <w:rsid w:val="00E564CC"/>
    <w:rsid w:val="00E6460D"/>
    <w:rsid w:val="00E9532B"/>
    <w:rsid w:val="00EB027C"/>
    <w:rsid w:val="00EB0541"/>
    <w:rsid w:val="00EB321F"/>
    <w:rsid w:val="00ED5CB2"/>
    <w:rsid w:val="00EF205C"/>
    <w:rsid w:val="00F10476"/>
    <w:rsid w:val="00F13446"/>
    <w:rsid w:val="00F17AE8"/>
    <w:rsid w:val="00F30A1D"/>
    <w:rsid w:val="00F33905"/>
    <w:rsid w:val="00F348F4"/>
    <w:rsid w:val="00F37E66"/>
    <w:rsid w:val="00F436E5"/>
    <w:rsid w:val="00F521DC"/>
    <w:rsid w:val="00F52D57"/>
    <w:rsid w:val="00F74F4B"/>
    <w:rsid w:val="00F96501"/>
    <w:rsid w:val="00FA038A"/>
    <w:rsid w:val="00FC72CC"/>
    <w:rsid w:val="00FD3A2B"/>
    <w:rsid w:val="00FE16FB"/>
    <w:rsid w:val="00FF68E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54547"/>
  <w15:chartTrackingRefBased/>
  <w15:docId w15:val="{1447B968-0D5D-42F3-B6FE-74A06DD7D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7A9"/>
  </w:style>
  <w:style w:type="paragraph" w:styleId="Heading1">
    <w:name w:val="heading 1"/>
    <w:basedOn w:val="Normal"/>
    <w:next w:val="Normal"/>
    <w:link w:val="Heading1Char"/>
    <w:uiPriority w:val="9"/>
    <w:qFormat/>
    <w:rsid w:val="00BE4A37"/>
    <w:pPr>
      <w:keepNext/>
      <w:keepLines/>
      <w:numPr>
        <w:numId w:val="8"/>
      </w:numPr>
      <w:spacing w:before="120"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EF205C"/>
    <w:pPr>
      <w:keepNext/>
      <w:keepLines/>
      <w:numPr>
        <w:ilvl w:val="1"/>
        <w:numId w:val="8"/>
      </w:numPr>
      <w:spacing w:before="120" w:after="120"/>
      <w:ind w:left="432"/>
      <w:outlineLvl w:val="1"/>
    </w:pPr>
    <w:rPr>
      <w:rFonts w:eastAsiaTheme="majorEastAsia"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14B4"/>
    <w:rPr>
      <w:sz w:val="18"/>
      <w:szCs w:val="18"/>
    </w:rPr>
  </w:style>
  <w:style w:type="paragraph" w:styleId="CommentText">
    <w:name w:val="annotation text"/>
    <w:basedOn w:val="Normal"/>
    <w:link w:val="CommentTextChar"/>
    <w:uiPriority w:val="99"/>
    <w:unhideWhenUsed/>
    <w:rsid w:val="00BA14B4"/>
    <w:pPr>
      <w:spacing w:after="0" w:line="240" w:lineRule="auto"/>
    </w:pPr>
    <w:rPr>
      <w:sz w:val="24"/>
      <w:szCs w:val="24"/>
      <w:lang w:val="en-CA" w:eastAsia="en-US"/>
    </w:rPr>
  </w:style>
  <w:style w:type="character" w:customStyle="1" w:styleId="CommentTextChar">
    <w:name w:val="Comment Text Char"/>
    <w:basedOn w:val="DefaultParagraphFont"/>
    <w:link w:val="CommentText"/>
    <w:uiPriority w:val="99"/>
    <w:rsid w:val="00BA14B4"/>
    <w:rPr>
      <w:sz w:val="24"/>
      <w:szCs w:val="24"/>
      <w:lang w:val="en-CA" w:eastAsia="en-US"/>
    </w:rPr>
  </w:style>
  <w:style w:type="character" w:styleId="FootnoteReference">
    <w:name w:val="footnote reference"/>
    <w:basedOn w:val="DefaultParagraphFont"/>
    <w:uiPriority w:val="99"/>
    <w:semiHidden/>
    <w:unhideWhenUsed/>
    <w:rsid w:val="00BA14B4"/>
    <w:rPr>
      <w:vertAlign w:val="superscript"/>
    </w:rPr>
  </w:style>
  <w:style w:type="paragraph" w:styleId="BalloonText">
    <w:name w:val="Balloon Text"/>
    <w:basedOn w:val="Normal"/>
    <w:link w:val="BalloonTextChar"/>
    <w:uiPriority w:val="99"/>
    <w:semiHidden/>
    <w:unhideWhenUsed/>
    <w:rsid w:val="00BA1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4B4"/>
    <w:rPr>
      <w:rFonts w:ascii="Segoe UI" w:hAnsi="Segoe UI" w:cs="Segoe UI"/>
      <w:sz w:val="18"/>
      <w:szCs w:val="18"/>
    </w:rPr>
  </w:style>
  <w:style w:type="character" w:styleId="PlaceholderText">
    <w:name w:val="Placeholder Text"/>
    <w:basedOn w:val="DefaultParagraphFont"/>
    <w:uiPriority w:val="99"/>
    <w:semiHidden/>
    <w:rsid w:val="002E2C50"/>
    <w:rPr>
      <w:color w:val="808080"/>
    </w:rPr>
  </w:style>
  <w:style w:type="table" w:styleId="TableGrid">
    <w:name w:val="Table Grid"/>
    <w:basedOn w:val="TableNormal"/>
    <w:uiPriority w:val="39"/>
    <w:rsid w:val="007F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5EBA"/>
    <w:pPr>
      <w:ind w:left="720"/>
      <w:contextualSpacing/>
    </w:pPr>
  </w:style>
  <w:style w:type="paragraph" w:styleId="Caption">
    <w:name w:val="caption"/>
    <w:basedOn w:val="Normal"/>
    <w:next w:val="Normal"/>
    <w:unhideWhenUsed/>
    <w:qFormat/>
    <w:rsid w:val="009A3C9B"/>
    <w:pPr>
      <w:spacing w:after="200" w:line="240" w:lineRule="auto"/>
      <w:jc w:val="both"/>
    </w:pPr>
    <w:rPr>
      <w:rFonts w:ascii="Calibri" w:hAnsi="Calibri" w:cs="Times New Roman"/>
      <w:b/>
      <w:bCs/>
      <w:color w:val="000000" w:themeColor="text1"/>
      <w:kern w:val="2"/>
      <w:szCs w:val="18"/>
    </w:rPr>
  </w:style>
  <w:style w:type="paragraph" w:styleId="FootnoteText">
    <w:name w:val="footnote text"/>
    <w:basedOn w:val="Normal"/>
    <w:link w:val="FootnoteTextChar"/>
    <w:uiPriority w:val="99"/>
    <w:semiHidden/>
    <w:unhideWhenUsed/>
    <w:rsid w:val="00BC68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68C5"/>
    <w:rPr>
      <w:sz w:val="20"/>
      <w:szCs w:val="20"/>
    </w:rPr>
  </w:style>
  <w:style w:type="paragraph" w:styleId="CommentSubject">
    <w:name w:val="annotation subject"/>
    <w:basedOn w:val="CommentText"/>
    <w:next w:val="CommentText"/>
    <w:link w:val="CommentSubjectChar"/>
    <w:uiPriority w:val="99"/>
    <w:semiHidden/>
    <w:unhideWhenUsed/>
    <w:rsid w:val="00696844"/>
    <w:pPr>
      <w:spacing w:after="160"/>
    </w:pPr>
    <w:rPr>
      <w:b/>
      <w:bCs/>
      <w:sz w:val="20"/>
      <w:szCs w:val="20"/>
      <w:lang w:val="en-US" w:eastAsia="ko-KR"/>
    </w:rPr>
  </w:style>
  <w:style w:type="character" w:customStyle="1" w:styleId="CommentSubjectChar">
    <w:name w:val="Comment Subject Char"/>
    <w:basedOn w:val="CommentTextChar"/>
    <w:link w:val="CommentSubject"/>
    <w:uiPriority w:val="99"/>
    <w:semiHidden/>
    <w:rsid w:val="00696844"/>
    <w:rPr>
      <w:b/>
      <w:bCs/>
      <w:sz w:val="20"/>
      <w:szCs w:val="20"/>
      <w:lang w:val="en-CA" w:eastAsia="en-US"/>
    </w:rPr>
  </w:style>
  <w:style w:type="paragraph" w:styleId="Header">
    <w:name w:val="header"/>
    <w:basedOn w:val="Normal"/>
    <w:link w:val="HeaderChar"/>
    <w:uiPriority w:val="99"/>
    <w:unhideWhenUsed/>
    <w:rsid w:val="00123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89"/>
  </w:style>
  <w:style w:type="paragraph" w:styleId="Footer">
    <w:name w:val="footer"/>
    <w:basedOn w:val="Normal"/>
    <w:link w:val="FooterChar"/>
    <w:uiPriority w:val="99"/>
    <w:unhideWhenUsed/>
    <w:rsid w:val="00123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89"/>
  </w:style>
  <w:style w:type="character" w:styleId="EndnoteReference">
    <w:name w:val="endnote reference"/>
    <w:basedOn w:val="DefaultParagraphFont"/>
    <w:uiPriority w:val="99"/>
    <w:semiHidden/>
    <w:unhideWhenUsed/>
    <w:rsid w:val="006C1FBA"/>
    <w:rPr>
      <w:vertAlign w:val="superscript"/>
    </w:rPr>
  </w:style>
  <w:style w:type="paragraph" w:styleId="NoSpacing">
    <w:name w:val="No Spacing"/>
    <w:uiPriority w:val="1"/>
    <w:qFormat/>
    <w:rsid w:val="003767A9"/>
    <w:pPr>
      <w:spacing w:after="0" w:line="240" w:lineRule="auto"/>
    </w:pPr>
  </w:style>
  <w:style w:type="character" w:customStyle="1" w:styleId="Heading1Char">
    <w:name w:val="Heading 1 Char"/>
    <w:basedOn w:val="DefaultParagraphFont"/>
    <w:link w:val="Heading1"/>
    <w:uiPriority w:val="9"/>
    <w:rsid w:val="00BE4A37"/>
    <w:rPr>
      <w:rFonts w:eastAsiaTheme="majorEastAsia" w:cstheme="majorBidi"/>
      <w:b/>
      <w:caps/>
      <w:color w:val="000000" w:themeColor="text1"/>
      <w:sz w:val="32"/>
      <w:szCs w:val="32"/>
    </w:rPr>
  </w:style>
  <w:style w:type="character" w:customStyle="1" w:styleId="Heading2Char">
    <w:name w:val="Heading 2 Char"/>
    <w:basedOn w:val="DefaultParagraphFont"/>
    <w:link w:val="Heading2"/>
    <w:uiPriority w:val="9"/>
    <w:rsid w:val="00EF205C"/>
    <w:rPr>
      <w:rFonts w:eastAsiaTheme="majorEastAsia" w:cstheme="majorBidi"/>
      <w:b/>
      <w:color w:val="000000" w:themeColor="text1"/>
      <w:sz w:val="24"/>
      <w:szCs w:val="26"/>
    </w:rPr>
  </w:style>
  <w:style w:type="paragraph" w:styleId="Title">
    <w:name w:val="Title"/>
    <w:basedOn w:val="Normal"/>
    <w:next w:val="Normal"/>
    <w:link w:val="TitleChar"/>
    <w:uiPriority w:val="10"/>
    <w:qFormat/>
    <w:rsid w:val="003767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67A9"/>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BE4A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rsid w:val="002C28A1"/>
    <w:pPr>
      <w:spacing w:after="0" w:line="240" w:lineRule="auto"/>
      <w:jc w:val="both"/>
    </w:pPr>
    <w:rPr>
      <w:kern w:val="2"/>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A81093"/>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semiHidden/>
    <w:unhideWhenUsed/>
    <w:rsid w:val="00B06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B06EF7"/>
    <w:rPr>
      <w:rFonts w:ascii="Courier New" w:eastAsia="Times New Roman" w:hAnsi="Courier New" w:cs="Courier New"/>
      <w:sz w:val="20"/>
      <w:szCs w:val="20"/>
      <w:lang w:eastAsia="en-US"/>
    </w:rPr>
  </w:style>
  <w:style w:type="paragraph" w:styleId="Revision">
    <w:name w:val="Revision"/>
    <w:hidden/>
    <w:uiPriority w:val="99"/>
    <w:semiHidden/>
    <w:rsid w:val="0093221A"/>
    <w:pPr>
      <w:spacing w:after="0" w:line="240" w:lineRule="auto"/>
    </w:pPr>
  </w:style>
  <w:style w:type="paragraph" w:styleId="Date">
    <w:name w:val="Date"/>
    <w:basedOn w:val="Normal"/>
    <w:next w:val="Normal"/>
    <w:link w:val="DateChar"/>
    <w:uiPriority w:val="99"/>
    <w:semiHidden/>
    <w:unhideWhenUsed/>
    <w:rsid w:val="00E9532B"/>
  </w:style>
  <w:style w:type="character" w:customStyle="1" w:styleId="DateChar">
    <w:name w:val="Date Char"/>
    <w:basedOn w:val="DefaultParagraphFont"/>
    <w:link w:val="Date"/>
    <w:uiPriority w:val="99"/>
    <w:semiHidden/>
    <w:rsid w:val="00E9532B"/>
  </w:style>
  <w:style w:type="table" w:styleId="PlainTable3">
    <w:name w:val="Plain Table 3"/>
    <w:basedOn w:val="TableNormal"/>
    <w:uiPriority w:val="43"/>
    <w:rsid w:val="00AE6295"/>
    <w:pPr>
      <w:spacing w:after="0" w:line="240" w:lineRule="auto"/>
    </w:pPr>
    <w:rPr>
      <w:rFonts w:eastAsiaTheme="minorHAns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AE62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
    <w:name w:val="Grid Table 5 Dark"/>
    <w:basedOn w:val="TableNormal"/>
    <w:uiPriority w:val="50"/>
    <w:rsid w:val="00AE62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3">
    <w:name w:val="List Table 3"/>
    <w:basedOn w:val="TableNormal"/>
    <w:uiPriority w:val="48"/>
    <w:rsid w:val="00AE629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7Colorful-Accent2">
    <w:name w:val="Grid Table 7 Colorful Accent 2"/>
    <w:basedOn w:val="TableNormal"/>
    <w:uiPriority w:val="52"/>
    <w:rsid w:val="00AE629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TOCHeading">
    <w:name w:val="TOC Heading"/>
    <w:basedOn w:val="Heading1"/>
    <w:next w:val="Normal"/>
    <w:uiPriority w:val="39"/>
    <w:unhideWhenUsed/>
    <w:qFormat/>
    <w:rsid w:val="009A35D4"/>
    <w:pPr>
      <w:numPr>
        <w:numId w:val="0"/>
      </w:numPr>
      <w:spacing w:before="240" w:after="0"/>
      <w:outlineLvl w:val="9"/>
    </w:pPr>
    <w:rPr>
      <w:rFonts w:asciiTheme="majorHAnsi" w:hAnsiTheme="majorHAnsi"/>
      <w:b w:val="0"/>
      <w:caps w:val="0"/>
      <w:color w:val="2F5496" w:themeColor="accent1" w:themeShade="BF"/>
      <w:lang w:eastAsia="en-US"/>
    </w:rPr>
  </w:style>
  <w:style w:type="paragraph" w:styleId="TOC1">
    <w:name w:val="toc 1"/>
    <w:basedOn w:val="Normal"/>
    <w:next w:val="Normal"/>
    <w:autoRedefine/>
    <w:uiPriority w:val="39"/>
    <w:unhideWhenUsed/>
    <w:rsid w:val="009A35D4"/>
    <w:pPr>
      <w:spacing w:after="100"/>
    </w:pPr>
  </w:style>
  <w:style w:type="paragraph" w:styleId="TOC2">
    <w:name w:val="toc 2"/>
    <w:basedOn w:val="Normal"/>
    <w:next w:val="Normal"/>
    <w:autoRedefine/>
    <w:uiPriority w:val="39"/>
    <w:unhideWhenUsed/>
    <w:rsid w:val="009A35D4"/>
    <w:pPr>
      <w:spacing w:after="100"/>
      <w:ind w:left="220"/>
    </w:pPr>
  </w:style>
  <w:style w:type="character" w:styleId="Hyperlink">
    <w:name w:val="Hyperlink"/>
    <w:basedOn w:val="DefaultParagraphFont"/>
    <w:uiPriority w:val="99"/>
    <w:unhideWhenUsed/>
    <w:rsid w:val="009A35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5220">
      <w:bodyDiv w:val="1"/>
      <w:marLeft w:val="0"/>
      <w:marRight w:val="0"/>
      <w:marTop w:val="0"/>
      <w:marBottom w:val="0"/>
      <w:divBdr>
        <w:top w:val="none" w:sz="0" w:space="0" w:color="auto"/>
        <w:left w:val="none" w:sz="0" w:space="0" w:color="auto"/>
        <w:bottom w:val="none" w:sz="0" w:space="0" w:color="auto"/>
        <w:right w:val="none" w:sz="0" w:space="0" w:color="auto"/>
      </w:divBdr>
      <w:divsChild>
        <w:div w:id="1028339682">
          <w:marLeft w:val="0"/>
          <w:marRight w:val="0"/>
          <w:marTop w:val="0"/>
          <w:marBottom w:val="0"/>
          <w:divBdr>
            <w:top w:val="none" w:sz="0" w:space="0" w:color="auto"/>
            <w:left w:val="none" w:sz="0" w:space="0" w:color="auto"/>
            <w:bottom w:val="none" w:sz="0" w:space="0" w:color="auto"/>
            <w:right w:val="none" w:sz="0" w:space="0" w:color="auto"/>
          </w:divBdr>
          <w:divsChild>
            <w:div w:id="360206256">
              <w:marLeft w:val="0"/>
              <w:marRight w:val="0"/>
              <w:marTop w:val="0"/>
              <w:marBottom w:val="0"/>
              <w:divBdr>
                <w:top w:val="none" w:sz="0" w:space="0" w:color="auto"/>
                <w:left w:val="none" w:sz="0" w:space="0" w:color="auto"/>
                <w:bottom w:val="none" w:sz="0" w:space="0" w:color="auto"/>
                <w:right w:val="none" w:sz="0" w:space="0" w:color="auto"/>
              </w:divBdr>
              <w:divsChild>
                <w:div w:id="4159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7103">
      <w:bodyDiv w:val="1"/>
      <w:marLeft w:val="0"/>
      <w:marRight w:val="0"/>
      <w:marTop w:val="0"/>
      <w:marBottom w:val="0"/>
      <w:divBdr>
        <w:top w:val="none" w:sz="0" w:space="0" w:color="auto"/>
        <w:left w:val="none" w:sz="0" w:space="0" w:color="auto"/>
        <w:bottom w:val="none" w:sz="0" w:space="0" w:color="auto"/>
        <w:right w:val="none" w:sz="0" w:space="0" w:color="auto"/>
      </w:divBdr>
    </w:div>
    <w:div w:id="95564348">
      <w:bodyDiv w:val="1"/>
      <w:marLeft w:val="0"/>
      <w:marRight w:val="0"/>
      <w:marTop w:val="0"/>
      <w:marBottom w:val="0"/>
      <w:divBdr>
        <w:top w:val="none" w:sz="0" w:space="0" w:color="auto"/>
        <w:left w:val="none" w:sz="0" w:space="0" w:color="auto"/>
        <w:bottom w:val="none" w:sz="0" w:space="0" w:color="auto"/>
        <w:right w:val="none" w:sz="0" w:space="0" w:color="auto"/>
      </w:divBdr>
    </w:div>
    <w:div w:id="159935012">
      <w:bodyDiv w:val="1"/>
      <w:marLeft w:val="0"/>
      <w:marRight w:val="0"/>
      <w:marTop w:val="0"/>
      <w:marBottom w:val="0"/>
      <w:divBdr>
        <w:top w:val="none" w:sz="0" w:space="0" w:color="auto"/>
        <w:left w:val="none" w:sz="0" w:space="0" w:color="auto"/>
        <w:bottom w:val="none" w:sz="0" w:space="0" w:color="auto"/>
        <w:right w:val="none" w:sz="0" w:space="0" w:color="auto"/>
      </w:divBdr>
    </w:div>
    <w:div w:id="177624533">
      <w:bodyDiv w:val="1"/>
      <w:marLeft w:val="0"/>
      <w:marRight w:val="0"/>
      <w:marTop w:val="0"/>
      <w:marBottom w:val="0"/>
      <w:divBdr>
        <w:top w:val="none" w:sz="0" w:space="0" w:color="auto"/>
        <w:left w:val="none" w:sz="0" w:space="0" w:color="auto"/>
        <w:bottom w:val="none" w:sz="0" w:space="0" w:color="auto"/>
        <w:right w:val="none" w:sz="0" w:space="0" w:color="auto"/>
      </w:divBdr>
    </w:div>
    <w:div w:id="193807271">
      <w:bodyDiv w:val="1"/>
      <w:marLeft w:val="0"/>
      <w:marRight w:val="0"/>
      <w:marTop w:val="0"/>
      <w:marBottom w:val="0"/>
      <w:divBdr>
        <w:top w:val="none" w:sz="0" w:space="0" w:color="auto"/>
        <w:left w:val="none" w:sz="0" w:space="0" w:color="auto"/>
        <w:bottom w:val="none" w:sz="0" w:space="0" w:color="auto"/>
        <w:right w:val="none" w:sz="0" w:space="0" w:color="auto"/>
      </w:divBdr>
    </w:div>
    <w:div w:id="210508114">
      <w:bodyDiv w:val="1"/>
      <w:marLeft w:val="0"/>
      <w:marRight w:val="0"/>
      <w:marTop w:val="0"/>
      <w:marBottom w:val="0"/>
      <w:divBdr>
        <w:top w:val="none" w:sz="0" w:space="0" w:color="auto"/>
        <w:left w:val="none" w:sz="0" w:space="0" w:color="auto"/>
        <w:bottom w:val="none" w:sz="0" w:space="0" w:color="auto"/>
        <w:right w:val="none" w:sz="0" w:space="0" w:color="auto"/>
      </w:divBdr>
    </w:div>
    <w:div w:id="342054534">
      <w:bodyDiv w:val="1"/>
      <w:marLeft w:val="0"/>
      <w:marRight w:val="0"/>
      <w:marTop w:val="0"/>
      <w:marBottom w:val="0"/>
      <w:divBdr>
        <w:top w:val="none" w:sz="0" w:space="0" w:color="auto"/>
        <w:left w:val="none" w:sz="0" w:space="0" w:color="auto"/>
        <w:bottom w:val="none" w:sz="0" w:space="0" w:color="auto"/>
        <w:right w:val="none" w:sz="0" w:space="0" w:color="auto"/>
      </w:divBdr>
    </w:div>
    <w:div w:id="372773641">
      <w:bodyDiv w:val="1"/>
      <w:marLeft w:val="0"/>
      <w:marRight w:val="0"/>
      <w:marTop w:val="0"/>
      <w:marBottom w:val="0"/>
      <w:divBdr>
        <w:top w:val="none" w:sz="0" w:space="0" w:color="auto"/>
        <w:left w:val="none" w:sz="0" w:space="0" w:color="auto"/>
        <w:bottom w:val="none" w:sz="0" w:space="0" w:color="auto"/>
        <w:right w:val="none" w:sz="0" w:space="0" w:color="auto"/>
      </w:divBdr>
    </w:div>
    <w:div w:id="387268496">
      <w:bodyDiv w:val="1"/>
      <w:marLeft w:val="0"/>
      <w:marRight w:val="0"/>
      <w:marTop w:val="0"/>
      <w:marBottom w:val="0"/>
      <w:divBdr>
        <w:top w:val="none" w:sz="0" w:space="0" w:color="auto"/>
        <w:left w:val="none" w:sz="0" w:space="0" w:color="auto"/>
        <w:bottom w:val="none" w:sz="0" w:space="0" w:color="auto"/>
        <w:right w:val="none" w:sz="0" w:space="0" w:color="auto"/>
      </w:divBdr>
    </w:div>
    <w:div w:id="389039985">
      <w:bodyDiv w:val="1"/>
      <w:marLeft w:val="0"/>
      <w:marRight w:val="0"/>
      <w:marTop w:val="0"/>
      <w:marBottom w:val="0"/>
      <w:divBdr>
        <w:top w:val="none" w:sz="0" w:space="0" w:color="auto"/>
        <w:left w:val="none" w:sz="0" w:space="0" w:color="auto"/>
        <w:bottom w:val="none" w:sz="0" w:space="0" w:color="auto"/>
        <w:right w:val="none" w:sz="0" w:space="0" w:color="auto"/>
      </w:divBdr>
      <w:divsChild>
        <w:div w:id="437992236">
          <w:marLeft w:val="0"/>
          <w:marRight w:val="0"/>
          <w:marTop w:val="0"/>
          <w:marBottom w:val="0"/>
          <w:divBdr>
            <w:top w:val="none" w:sz="0" w:space="0" w:color="auto"/>
            <w:left w:val="none" w:sz="0" w:space="0" w:color="auto"/>
            <w:bottom w:val="none" w:sz="0" w:space="0" w:color="auto"/>
            <w:right w:val="none" w:sz="0" w:space="0" w:color="auto"/>
          </w:divBdr>
          <w:divsChild>
            <w:div w:id="1510561345">
              <w:marLeft w:val="0"/>
              <w:marRight w:val="0"/>
              <w:marTop w:val="0"/>
              <w:marBottom w:val="0"/>
              <w:divBdr>
                <w:top w:val="none" w:sz="0" w:space="0" w:color="auto"/>
                <w:left w:val="none" w:sz="0" w:space="0" w:color="auto"/>
                <w:bottom w:val="none" w:sz="0" w:space="0" w:color="auto"/>
                <w:right w:val="none" w:sz="0" w:space="0" w:color="auto"/>
              </w:divBdr>
              <w:divsChild>
                <w:div w:id="1941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83902">
      <w:bodyDiv w:val="1"/>
      <w:marLeft w:val="0"/>
      <w:marRight w:val="0"/>
      <w:marTop w:val="0"/>
      <w:marBottom w:val="0"/>
      <w:divBdr>
        <w:top w:val="none" w:sz="0" w:space="0" w:color="auto"/>
        <w:left w:val="none" w:sz="0" w:space="0" w:color="auto"/>
        <w:bottom w:val="none" w:sz="0" w:space="0" w:color="auto"/>
        <w:right w:val="none" w:sz="0" w:space="0" w:color="auto"/>
      </w:divBdr>
    </w:div>
    <w:div w:id="479658230">
      <w:bodyDiv w:val="1"/>
      <w:marLeft w:val="0"/>
      <w:marRight w:val="0"/>
      <w:marTop w:val="0"/>
      <w:marBottom w:val="0"/>
      <w:divBdr>
        <w:top w:val="none" w:sz="0" w:space="0" w:color="auto"/>
        <w:left w:val="none" w:sz="0" w:space="0" w:color="auto"/>
        <w:bottom w:val="none" w:sz="0" w:space="0" w:color="auto"/>
        <w:right w:val="none" w:sz="0" w:space="0" w:color="auto"/>
      </w:divBdr>
    </w:div>
    <w:div w:id="512306722">
      <w:bodyDiv w:val="1"/>
      <w:marLeft w:val="0"/>
      <w:marRight w:val="0"/>
      <w:marTop w:val="0"/>
      <w:marBottom w:val="0"/>
      <w:divBdr>
        <w:top w:val="none" w:sz="0" w:space="0" w:color="auto"/>
        <w:left w:val="none" w:sz="0" w:space="0" w:color="auto"/>
        <w:bottom w:val="none" w:sz="0" w:space="0" w:color="auto"/>
        <w:right w:val="none" w:sz="0" w:space="0" w:color="auto"/>
      </w:divBdr>
    </w:div>
    <w:div w:id="540046942">
      <w:bodyDiv w:val="1"/>
      <w:marLeft w:val="0"/>
      <w:marRight w:val="0"/>
      <w:marTop w:val="0"/>
      <w:marBottom w:val="0"/>
      <w:divBdr>
        <w:top w:val="none" w:sz="0" w:space="0" w:color="auto"/>
        <w:left w:val="none" w:sz="0" w:space="0" w:color="auto"/>
        <w:bottom w:val="none" w:sz="0" w:space="0" w:color="auto"/>
        <w:right w:val="none" w:sz="0" w:space="0" w:color="auto"/>
      </w:divBdr>
    </w:div>
    <w:div w:id="595552843">
      <w:bodyDiv w:val="1"/>
      <w:marLeft w:val="0"/>
      <w:marRight w:val="0"/>
      <w:marTop w:val="0"/>
      <w:marBottom w:val="0"/>
      <w:divBdr>
        <w:top w:val="none" w:sz="0" w:space="0" w:color="auto"/>
        <w:left w:val="none" w:sz="0" w:space="0" w:color="auto"/>
        <w:bottom w:val="none" w:sz="0" w:space="0" w:color="auto"/>
        <w:right w:val="none" w:sz="0" w:space="0" w:color="auto"/>
      </w:divBdr>
    </w:div>
    <w:div w:id="601063342">
      <w:bodyDiv w:val="1"/>
      <w:marLeft w:val="0"/>
      <w:marRight w:val="0"/>
      <w:marTop w:val="0"/>
      <w:marBottom w:val="0"/>
      <w:divBdr>
        <w:top w:val="none" w:sz="0" w:space="0" w:color="auto"/>
        <w:left w:val="none" w:sz="0" w:space="0" w:color="auto"/>
        <w:bottom w:val="none" w:sz="0" w:space="0" w:color="auto"/>
        <w:right w:val="none" w:sz="0" w:space="0" w:color="auto"/>
      </w:divBdr>
    </w:div>
    <w:div w:id="685786413">
      <w:bodyDiv w:val="1"/>
      <w:marLeft w:val="0"/>
      <w:marRight w:val="0"/>
      <w:marTop w:val="0"/>
      <w:marBottom w:val="0"/>
      <w:divBdr>
        <w:top w:val="none" w:sz="0" w:space="0" w:color="auto"/>
        <w:left w:val="none" w:sz="0" w:space="0" w:color="auto"/>
        <w:bottom w:val="none" w:sz="0" w:space="0" w:color="auto"/>
        <w:right w:val="none" w:sz="0" w:space="0" w:color="auto"/>
      </w:divBdr>
      <w:divsChild>
        <w:div w:id="1804231174">
          <w:marLeft w:val="0"/>
          <w:marRight w:val="0"/>
          <w:marTop w:val="0"/>
          <w:marBottom w:val="0"/>
          <w:divBdr>
            <w:top w:val="none" w:sz="0" w:space="0" w:color="auto"/>
            <w:left w:val="none" w:sz="0" w:space="0" w:color="auto"/>
            <w:bottom w:val="none" w:sz="0" w:space="0" w:color="auto"/>
            <w:right w:val="none" w:sz="0" w:space="0" w:color="auto"/>
          </w:divBdr>
          <w:divsChild>
            <w:div w:id="134297156">
              <w:marLeft w:val="0"/>
              <w:marRight w:val="0"/>
              <w:marTop w:val="0"/>
              <w:marBottom w:val="0"/>
              <w:divBdr>
                <w:top w:val="none" w:sz="0" w:space="0" w:color="auto"/>
                <w:left w:val="none" w:sz="0" w:space="0" w:color="auto"/>
                <w:bottom w:val="none" w:sz="0" w:space="0" w:color="auto"/>
                <w:right w:val="none" w:sz="0" w:space="0" w:color="auto"/>
              </w:divBdr>
              <w:divsChild>
                <w:div w:id="13070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09710">
      <w:bodyDiv w:val="1"/>
      <w:marLeft w:val="0"/>
      <w:marRight w:val="0"/>
      <w:marTop w:val="0"/>
      <w:marBottom w:val="0"/>
      <w:divBdr>
        <w:top w:val="none" w:sz="0" w:space="0" w:color="auto"/>
        <w:left w:val="none" w:sz="0" w:space="0" w:color="auto"/>
        <w:bottom w:val="none" w:sz="0" w:space="0" w:color="auto"/>
        <w:right w:val="none" w:sz="0" w:space="0" w:color="auto"/>
      </w:divBdr>
    </w:div>
    <w:div w:id="774178571">
      <w:bodyDiv w:val="1"/>
      <w:marLeft w:val="0"/>
      <w:marRight w:val="0"/>
      <w:marTop w:val="0"/>
      <w:marBottom w:val="0"/>
      <w:divBdr>
        <w:top w:val="none" w:sz="0" w:space="0" w:color="auto"/>
        <w:left w:val="none" w:sz="0" w:space="0" w:color="auto"/>
        <w:bottom w:val="none" w:sz="0" w:space="0" w:color="auto"/>
        <w:right w:val="none" w:sz="0" w:space="0" w:color="auto"/>
      </w:divBdr>
    </w:div>
    <w:div w:id="828981020">
      <w:bodyDiv w:val="1"/>
      <w:marLeft w:val="0"/>
      <w:marRight w:val="0"/>
      <w:marTop w:val="0"/>
      <w:marBottom w:val="0"/>
      <w:divBdr>
        <w:top w:val="none" w:sz="0" w:space="0" w:color="auto"/>
        <w:left w:val="none" w:sz="0" w:space="0" w:color="auto"/>
        <w:bottom w:val="none" w:sz="0" w:space="0" w:color="auto"/>
        <w:right w:val="none" w:sz="0" w:space="0" w:color="auto"/>
      </w:divBdr>
    </w:div>
    <w:div w:id="943464360">
      <w:bodyDiv w:val="1"/>
      <w:marLeft w:val="0"/>
      <w:marRight w:val="0"/>
      <w:marTop w:val="0"/>
      <w:marBottom w:val="0"/>
      <w:divBdr>
        <w:top w:val="none" w:sz="0" w:space="0" w:color="auto"/>
        <w:left w:val="none" w:sz="0" w:space="0" w:color="auto"/>
        <w:bottom w:val="none" w:sz="0" w:space="0" w:color="auto"/>
        <w:right w:val="none" w:sz="0" w:space="0" w:color="auto"/>
      </w:divBdr>
    </w:div>
    <w:div w:id="958609909">
      <w:bodyDiv w:val="1"/>
      <w:marLeft w:val="0"/>
      <w:marRight w:val="0"/>
      <w:marTop w:val="0"/>
      <w:marBottom w:val="0"/>
      <w:divBdr>
        <w:top w:val="none" w:sz="0" w:space="0" w:color="auto"/>
        <w:left w:val="none" w:sz="0" w:space="0" w:color="auto"/>
        <w:bottom w:val="none" w:sz="0" w:space="0" w:color="auto"/>
        <w:right w:val="none" w:sz="0" w:space="0" w:color="auto"/>
      </w:divBdr>
    </w:div>
    <w:div w:id="1012802630">
      <w:bodyDiv w:val="1"/>
      <w:marLeft w:val="0"/>
      <w:marRight w:val="0"/>
      <w:marTop w:val="0"/>
      <w:marBottom w:val="0"/>
      <w:divBdr>
        <w:top w:val="none" w:sz="0" w:space="0" w:color="auto"/>
        <w:left w:val="none" w:sz="0" w:space="0" w:color="auto"/>
        <w:bottom w:val="none" w:sz="0" w:space="0" w:color="auto"/>
        <w:right w:val="none" w:sz="0" w:space="0" w:color="auto"/>
      </w:divBdr>
      <w:divsChild>
        <w:div w:id="1911386938">
          <w:marLeft w:val="0"/>
          <w:marRight w:val="0"/>
          <w:marTop w:val="0"/>
          <w:marBottom w:val="0"/>
          <w:divBdr>
            <w:top w:val="none" w:sz="0" w:space="0" w:color="auto"/>
            <w:left w:val="none" w:sz="0" w:space="0" w:color="auto"/>
            <w:bottom w:val="none" w:sz="0" w:space="0" w:color="auto"/>
            <w:right w:val="none" w:sz="0" w:space="0" w:color="auto"/>
          </w:divBdr>
        </w:div>
      </w:divsChild>
    </w:div>
    <w:div w:id="1041176288">
      <w:bodyDiv w:val="1"/>
      <w:marLeft w:val="0"/>
      <w:marRight w:val="0"/>
      <w:marTop w:val="0"/>
      <w:marBottom w:val="0"/>
      <w:divBdr>
        <w:top w:val="none" w:sz="0" w:space="0" w:color="auto"/>
        <w:left w:val="none" w:sz="0" w:space="0" w:color="auto"/>
        <w:bottom w:val="none" w:sz="0" w:space="0" w:color="auto"/>
        <w:right w:val="none" w:sz="0" w:space="0" w:color="auto"/>
      </w:divBdr>
    </w:div>
    <w:div w:id="1097560965">
      <w:bodyDiv w:val="1"/>
      <w:marLeft w:val="0"/>
      <w:marRight w:val="0"/>
      <w:marTop w:val="0"/>
      <w:marBottom w:val="0"/>
      <w:divBdr>
        <w:top w:val="none" w:sz="0" w:space="0" w:color="auto"/>
        <w:left w:val="none" w:sz="0" w:space="0" w:color="auto"/>
        <w:bottom w:val="none" w:sz="0" w:space="0" w:color="auto"/>
        <w:right w:val="none" w:sz="0" w:space="0" w:color="auto"/>
      </w:divBdr>
    </w:div>
    <w:div w:id="1151169315">
      <w:bodyDiv w:val="1"/>
      <w:marLeft w:val="0"/>
      <w:marRight w:val="0"/>
      <w:marTop w:val="0"/>
      <w:marBottom w:val="0"/>
      <w:divBdr>
        <w:top w:val="none" w:sz="0" w:space="0" w:color="auto"/>
        <w:left w:val="none" w:sz="0" w:space="0" w:color="auto"/>
        <w:bottom w:val="none" w:sz="0" w:space="0" w:color="auto"/>
        <w:right w:val="none" w:sz="0" w:space="0" w:color="auto"/>
      </w:divBdr>
    </w:div>
    <w:div w:id="1190491123">
      <w:bodyDiv w:val="1"/>
      <w:marLeft w:val="0"/>
      <w:marRight w:val="0"/>
      <w:marTop w:val="0"/>
      <w:marBottom w:val="0"/>
      <w:divBdr>
        <w:top w:val="none" w:sz="0" w:space="0" w:color="auto"/>
        <w:left w:val="none" w:sz="0" w:space="0" w:color="auto"/>
        <w:bottom w:val="none" w:sz="0" w:space="0" w:color="auto"/>
        <w:right w:val="none" w:sz="0" w:space="0" w:color="auto"/>
      </w:divBdr>
    </w:div>
    <w:div w:id="1200778748">
      <w:bodyDiv w:val="1"/>
      <w:marLeft w:val="0"/>
      <w:marRight w:val="0"/>
      <w:marTop w:val="0"/>
      <w:marBottom w:val="0"/>
      <w:divBdr>
        <w:top w:val="none" w:sz="0" w:space="0" w:color="auto"/>
        <w:left w:val="none" w:sz="0" w:space="0" w:color="auto"/>
        <w:bottom w:val="none" w:sz="0" w:space="0" w:color="auto"/>
        <w:right w:val="none" w:sz="0" w:space="0" w:color="auto"/>
      </w:divBdr>
    </w:div>
    <w:div w:id="1209563104">
      <w:bodyDiv w:val="1"/>
      <w:marLeft w:val="0"/>
      <w:marRight w:val="0"/>
      <w:marTop w:val="0"/>
      <w:marBottom w:val="0"/>
      <w:divBdr>
        <w:top w:val="none" w:sz="0" w:space="0" w:color="auto"/>
        <w:left w:val="none" w:sz="0" w:space="0" w:color="auto"/>
        <w:bottom w:val="none" w:sz="0" w:space="0" w:color="auto"/>
        <w:right w:val="none" w:sz="0" w:space="0" w:color="auto"/>
      </w:divBdr>
    </w:div>
    <w:div w:id="1264991663">
      <w:bodyDiv w:val="1"/>
      <w:marLeft w:val="0"/>
      <w:marRight w:val="0"/>
      <w:marTop w:val="0"/>
      <w:marBottom w:val="0"/>
      <w:divBdr>
        <w:top w:val="none" w:sz="0" w:space="0" w:color="auto"/>
        <w:left w:val="none" w:sz="0" w:space="0" w:color="auto"/>
        <w:bottom w:val="none" w:sz="0" w:space="0" w:color="auto"/>
        <w:right w:val="none" w:sz="0" w:space="0" w:color="auto"/>
      </w:divBdr>
    </w:div>
    <w:div w:id="1270623590">
      <w:bodyDiv w:val="1"/>
      <w:marLeft w:val="0"/>
      <w:marRight w:val="0"/>
      <w:marTop w:val="0"/>
      <w:marBottom w:val="0"/>
      <w:divBdr>
        <w:top w:val="none" w:sz="0" w:space="0" w:color="auto"/>
        <w:left w:val="none" w:sz="0" w:space="0" w:color="auto"/>
        <w:bottom w:val="none" w:sz="0" w:space="0" w:color="auto"/>
        <w:right w:val="none" w:sz="0" w:space="0" w:color="auto"/>
      </w:divBdr>
    </w:div>
    <w:div w:id="1312909836">
      <w:bodyDiv w:val="1"/>
      <w:marLeft w:val="0"/>
      <w:marRight w:val="0"/>
      <w:marTop w:val="0"/>
      <w:marBottom w:val="0"/>
      <w:divBdr>
        <w:top w:val="none" w:sz="0" w:space="0" w:color="auto"/>
        <w:left w:val="none" w:sz="0" w:space="0" w:color="auto"/>
        <w:bottom w:val="none" w:sz="0" w:space="0" w:color="auto"/>
        <w:right w:val="none" w:sz="0" w:space="0" w:color="auto"/>
      </w:divBdr>
    </w:div>
    <w:div w:id="1330132242">
      <w:bodyDiv w:val="1"/>
      <w:marLeft w:val="0"/>
      <w:marRight w:val="0"/>
      <w:marTop w:val="0"/>
      <w:marBottom w:val="0"/>
      <w:divBdr>
        <w:top w:val="none" w:sz="0" w:space="0" w:color="auto"/>
        <w:left w:val="none" w:sz="0" w:space="0" w:color="auto"/>
        <w:bottom w:val="none" w:sz="0" w:space="0" w:color="auto"/>
        <w:right w:val="none" w:sz="0" w:space="0" w:color="auto"/>
      </w:divBdr>
    </w:div>
    <w:div w:id="1338537339">
      <w:bodyDiv w:val="1"/>
      <w:marLeft w:val="0"/>
      <w:marRight w:val="0"/>
      <w:marTop w:val="0"/>
      <w:marBottom w:val="0"/>
      <w:divBdr>
        <w:top w:val="none" w:sz="0" w:space="0" w:color="auto"/>
        <w:left w:val="none" w:sz="0" w:space="0" w:color="auto"/>
        <w:bottom w:val="none" w:sz="0" w:space="0" w:color="auto"/>
        <w:right w:val="none" w:sz="0" w:space="0" w:color="auto"/>
      </w:divBdr>
    </w:div>
    <w:div w:id="1366372733">
      <w:bodyDiv w:val="1"/>
      <w:marLeft w:val="0"/>
      <w:marRight w:val="0"/>
      <w:marTop w:val="0"/>
      <w:marBottom w:val="0"/>
      <w:divBdr>
        <w:top w:val="none" w:sz="0" w:space="0" w:color="auto"/>
        <w:left w:val="none" w:sz="0" w:space="0" w:color="auto"/>
        <w:bottom w:val="none" w:sz="0" w:space="0" w:color="auto"/>
        <w:right w:val="none" w:sz="0" w:space="0" w:color="auto"/>
      </w:divBdr>
    </w:div>
    <w:div w:id="1420525018">
      <w:bodyDiv w:val="1"/>
      <w:marLeft w:val="0"/>
      <w:marRight w:val="0"/>
      <w:marTop w:val="0"/>
      <w:marBottom w:val="0"/>
      <w:divBdr>
        <w:top w:val="none" w:sz="0" w:space="0" w:color="auto"/>
        <w:left w:val="none" w:sz="0" w:space="0" w:color="auto"/>
        <w:bottom w:val="none" w:sz="0" w:space="0" w:color="auto"/>
        <w:right w:val="none" w:sz="0" w:space="0" w:color="auto"/>
      </w:divBdr>
    </w:div>
    <w:div w:id="1441535729">
      <w:bodyDiv w:val="1"/>
      <w:marLeft w:val="0"/>
      <w:marRight w:val="0"/>
      <w:marTop w:val="0"/>
      <w:marBottom w:val="0"/>
      <w:divBdr>
        <w:top w:val="none" w:sz="0" w:space="0" w:color="auto"/>
        <w:left w:val="none" w:sz="0" w:space="0" w:color="auto"/>
        <w:bottom w:val="none" w:sz="0" w:space="0" w:color="auto"/>
        <w:right w:val="none" w:sz="0" w:space="0" w:color="auto"/>
      </w:divBdr>
    </w:div>
    <w:div w:id="1471289368">
      <w:bodyDiv w:val="1"/>
      <w:marLeft w:val="0"/>
      <w:marRight w:val="0"/>
      <w:marTop w:val="0"/>
      <w:marBottom w:val="0"/>
      <w:divBdr>
        <w:top w:val="none" w:sz="0" w:space="0" w:color="auto"/>
        <w:left w:val="none" w:sz="0" w:space="0" w:color="auto"/>
        <w:bottom w:val="none" w:sz="0" w:space="0" w:color="auto"/>
        <w:right w:val="none" w:sz="0" w:space="0" w:color="auto"/>
      </w:divBdr>
    </w:div>
    <w:div w:id="1482967314">
      <w:bodyDiv w:val="1"/>
      <w:marLeft w:val="0"/>
      <w:marRight w:val="0"/>
      <w:marTop w:val="0"/>
      <w:marBottom w:val="0"/>
      <w:divBdr>
        <w:top w:val="none" w:sz="0" w:space="0" w:color="auto"/>
        <w:left w:val="none" w:sz="0" w:space="0" w:color="auto"/>
        <w:bottom w:val="none" w:sz="0" w:space="0" w:color="auto"/>
        <w:right w:val="none" w:sz="0" w:space="0" w:color="auto"/>
      </w:divBdr>
    </w:div>
    <w:div w:id="1508858908">
      <w:bodyDiv w:val="1"/>
      <w:marLeft w:val="0"/>
      <w:marRight w:val="0"/>
      <w:marTop w:val="0"/>
      <w:marBottom w:val="0"/>
      <w:divBdr>
        <w:top w:val="none" w:sz="0" w:space="0" w:color="auto"/>
        <w:left w:val="none" w:sz="0" w:space="0" w:color="auto"/>
        <w:bottom w:val="none" w:sz="0" w:space="0" w:color="auto"/>
        <w:right w:val="none" w:sz="0" w:space="0" w:color="auto"/>
      </w:divBdr>
    </w:div>
    <w:div w:id="1568102598">
      <w:bodyDiv w:val="1"/>
      <w:marLeft w:val="0"/>
      <w:marRight w:val="0"/>
      <w:marTop w:val="0"/>
      <w:marBottom w:val="0"/>
      <w:divBdr>
        <w:top w:val="none" w:sz="0" w:space="0" w:color="auto"/>
        <w:left w:val="none" w:sz="0" w:space="0" w:color="auto"/>
        <w:bottom w:val="none" w:sz="0" w:space="0" w:color="auto"/>
        <w:right w:val="none" w:sz="0" w:space="0" w:color="auto"/>
      </w:divBdr>
    </w:div>
    <w:div w:id="1573615794">
      <w:bodyDiv w:val="1"/>
      <w:marLeft w:val="0"/>
      <w:marRight w:val="0"/>
      <w:marTop w:val="0"/>
      <w:marBottom w:val="0"/>
      <w:divBdr>
        <w:top w:val="none" w:sz="0" w:space="0" w:color="auto"/>
        <w:left w:val="none" w:sz="0" w:space="0" w:color="auto"/>
        <w:bottom w:val="none" w:sz="0" w:space="0" w:color="auto"/>
        <w:right w:val="none" w:sz="0" w:space="0" w:color="auto"/>
      </w:divBdr>
    </w:div>
    <w:div w:id="1630478720">
      <w:bodyDiv w:val="1"/>
      <w:marLeft w:val="0"/>
      <w:marRight w:val="0"/>
      <w:marTop w:val="0"/>
      <w:marBottom w:val="0"/>
      <w:divBdr>
        <w:top w:val="none" w:sz="0" w:space="0" w:color="auto"/>
        <w:left w:val="none" w:sz="0" w:space="0" w:color="auto"/>
        <w:bottom w:val="none" w:sz="0" w:space="0" w:color="auto"/>
        <w:right w:val="none" w:sz="0" w:space="0" w:color="auto"/>
      </w:divBdr>
    </w:div>
    <w:div w:id="1643197707">
      <w:bodyDiv w:val="1"/>
      <w:marLeft w:val="0"/>
      <w:marRight w:val="0"/>
      <w:marTop w:val="0"/>
      <w:marBottom w:val="0"/>
      <w:divBdr>
        <w:top w:val="none" w:sz="0" w:space="0" w:color="auto"/>
        <w:left w:val="none" w:sz="0" w:space="0" w:color="auto"/>
        <w:bottom w:val="none" w:sz="0" w:space="0" w:color="auto"/>
        <w:right w:val="none" w:sz="0" w:space="0" w:color="auto"/>
      </w:divBdr>
    </w:div>
    <w:div w:id="1678802881">
      <w:bodyDiv w:val="1"/>
      <w:marLeft w:val="0"/>
      <w:marRight w:val="0"/>
      <w:marTop w:val="0"/>
      <w:marBottom w:val="0"/>
      <w:divBdr>
        <w:top w:val="none" w:sz="0" w:space="0" w:color="auto"/>
        <w:left w:val="none" w:sz="0" w:space="0" w:color="auto"/>
        <w:bottom w:val="none" w:sz="0" w:space="0" w:color="auto"/>
        <w:right w:val="none" w:sz="0" w:space="0" w:color="auto"/>
      </w:divBdr>
    </w:div>
    <w:div w:id="1734422804">
      <w:bodyDiv w:val="1"/>
      <w:marLeft w:val="0"/>
      <w:marRight w:val="0"/>
      <w:marTop w:val="0"/>
      <w:marBottom w:val="0"/>
      <w:divBdr>
        <w:top w:val="none" w:sz="0" w:space="0" w:color="auto"/>
        <w:left w:val="none" w:sz="0" w:space="0" w:color="auto"/>
        <w:bottom w:val="none" w:sz="0" w:space="0" w:color="auto"/>
        <w:right w:val="none" w:sz="0" w:space="0" w:color="auto"/>
      </w:divBdr>
    </w:div>
    <w:div w:id="1768116986">
      <w:bodyDiv w:val="1"/>
      <w:marLeft w:val="0"/>
      <w:marRight w:val="0"/>
      <w:marTop w:val="0"/>
      <w:marBottom w:val="0"/>
      <w:divBdr>
        <w:top w:val="none" w:sz="0" w:space="0" w:color="auto"/>
        <w:left w:val="none" w:sz="0" w:space="0" w:color="auto"/>
        <w:bottom w:val="none" w:sz="0" w:space="0" w:color="auto"/>
        <w:right w:val="none" w:sz="0" w:space="0" w:color="auto"/>
      </w:divBdr>
    </w:div>
    <w:div w:id="1891382969">
      <w:bodyDiv w:val="1"/>
      <w:marLeft w:val="0"/>
      <w:marRight w:val="0"/>
      <w:marTop w:val="0"/>
      <w:marBottom w:val="0"/>
      <w:divBdr>
        <w:top w:val="none" w:sz="0" w:space="0" w:color="auto"/>
        <w:left w:val="none" w:sz="0" w:space="0" w:color="auto"/>
        <w:bottom w:val="none" w:sz="0" w:space="0" w:color="auto"/>
        <w:right w:val="none" w:sz="0" w:space="0" w:color="auto"/>
      </w:divBdr>
    </w:div>
    <w:div w:id="2009818889">
      <w:bodyDiv w:val="1"/>
      <w:marLeft w:val="0"/>
      <w:marRight w:val="0"/>
      <w:marTop w:val="0"/>
      <w:marBottom w:val="0"/>
      <w:divBdr>
        <w:top w:val="none" w:sz="0" w:space="0" w:color="auto"/>
        <w:left w:val="none" w:sz="0" w:space="0" w:color="auto"/>
        <w:bottom w:val="none" w:sz="0" w:space="0" w:color="auto"/>
        <w:right w:val="none" w:sz="0" w:space="0" w:color="auto"/>
      </w:divBdr>
    </w:div>
    <w:div w:id="2016300002">
      <w:bodyDiv w:val="1"/>
      <w:marLeft w:val="0"/>
      <w:marRight w:val="0"/>
      <w:marTop w:val="0"/>
      <w:marBottom w:val="0"/>
      <w:divBdr>
        <w:top w:val="none" w:sz="0" w:space="0" w:color="auto"/>
        <w:left w:val="none" w:sz="0" w:space="0" w:color="auto"/>
        <w:bottom w:val="none" w:sz="0" w:space="0" w:color="auto"/>
        <w:right w:val="none" w:sz="0" w:space="0" w:color="auto"/>
      </w:divBdr>
    </w:div>
    <w:div w:id="2059237937">
      <w:bodyDiv w:val="1"/>
      <w:marLeft w:val="0"/>
      <w:marRight w:val="0"/>
      <w:marTop w:val="0"/>
      <w:marBottom w:val="0"/>
      <w:divBdr>
        <w:top w:val="none" w:sz="0" w:space="0" w:color="auto"/>
        <w:left w:val="none" w:sz="0" w:space="0" w:color="auto"/>
        <w:bottom w:val="none" w:sz="0" w:space="0" w:color="auto"/>
        <w:right w:val="none" w:sz="0" w:space="0" w:color="auto"/>
      </w:divBdr>
    </w:div>
    <w:div w:id="2101179271">
      <w:bodyDiv w:val="1"/>
      <w:marLeft w:val="0"/>
      <w:marRight w:val="0"/>
      <w:marTop w:val="0"/>
      <w:marBottom w:val="0"/>
      <w:divBdr>
        <w:top w:val="none" w:sz="0" w:space="0" w:color="auto"/>
        <w:left w:val="none" w:sz="0" w:space="0" w:color="auto"/>
        <w:bottom w:val="none" w:sz="0" w:space="0" w:color="auto"/>
        <w:right w:val="none" w:sz="0" w:space="0" w:color="auto"/>
      </w:divBdr>
    </w:div>
    <w:div w:id="212927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hjso\Google%20Drive\Current%20Projects\JHU\TB_MAC\Costing\TB_Mac_costing_4%20(version%2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32027727303319E-2"/>
          <c:y val="9.1762588236523529E-2"/>
          <c:w val="0.88000386970859412"/>
          <c:h val="0.80546766010585769"/>
        </c:manualLayout>
      </c:layout>
      <c:scatterChart>
        <c:scatterStyle val="smoothMarker"/>
        <c:varyColors val="0"/>
        <c:ser>
          <c:idx val="0"/>
          <c:order val="0"/>
          <c:tx>
            <c:v>5%</c:v>
          </c:tx>
          <c:spPr>
            <a:ln w="19050" cap="rnd">
              <a:solidFill>
                <a:schemeClr val="accent1"/>
              </a:solidFill>
              <a:round/>
            </a:ln>
            <a:effectLst/>
          </c:spPr>
          <c:marker>
            <c:symbol val="none"/>
          </c:marker>
          <c:xVal>
            <c:numRef>
              <c:f>Transport_Calc!$BE$49:$BE$113</c:f>
              <c:numCache>
                <c:formatCode>0</c:formatCode>
                <c:ptCount val="65"/>
                <c:pt idx="0">
                  <c:v>0.34622077922077921</c:v>
                </c:pt>
                <c:pt idx="1">
                  <c:v>0.34622077922077921</c:v>
                </c:pt>
                <c:pt idx="2">
                  <c:v>0.34622077922077921</c:v>
                </c:pt>
                <c:pt idx="3">
                  <c:v>0.34622077922077921</c:v>
                </c:pt>
                <c:pt idx="4">
                  <c:v>0.34622077922077921</c:v>
                </c:pt>
                <c:pt idx="5">
                  <c:v>1.0280456740790076</c:v>
                </c:pt>
                <c:pt idx="6">
                  <c:v>1.0280456740790076</c:v>
                </c:pt>
                <c:pt idx="7">
                  <c:v>1.0280456740790076</c:v>
                </c:pt>
                <c:pt idx="8">
                  <c:v>1.0280456740790076</c:v>
                </c:pt>
                <c:pt idx="9">
                  <c:v>1.0280456740790076</c:v>
                </c:pt>
                <c:pt idx="10">
                  <c:v>1.8054885140577046</c:v>
                </c:pt>
                <c:pt idx="11">
                  <c:v>1.8054885140577046</c:v>
                </c:pt>
                <c:pt idx="12">
                  <c:v>1.8054885140577046</c:v>
                </c:pt>
                <c:pt idx="13">
                  <c:v>1.8054885140577046</c:v>
                </c:pt>
                <c:pt idx="14">
                  <c:v>2.7011771072065192</c:v>
                </c:pt>
                <c:pt idx="15">
                  <c:v>2.7011771072065192</c:v>
                </c:pt>
                <c:pt idx="16">
                  <c:v>2.7011771072065192</c:v>
                </c:pt>
                <c:pt idx="17">
                  <c:v>3.926040626040626</c:v>
                </c:pt>
                <c:pt idx="18">
                  <c:v>3.926040626040626</c:v>
                </c:pt>
                <c:pt idx="19">
                  <c:v>10.386623376623376</c:v>
                </c:pt>
                <c:pt idx="20">
                  <c:v>10.386623376623376</c:v>
                </c:pt>
                <c:pt idx="21">
                  <c:v>10.386623376623376</c:v>
                </c:pt>
                <c:pt idx="22">
                  <c:v>10.386623376623376</c:v>
                </c:pt>
                <c:pt idx="23">
                  <c:v>10.386623376623376</c:v>
                </c:pt>
                <c:pt idx="24">
                  <c:v>13.848831168831168</c:v>
                </c:pt>
                <c:pt idx="25">
                  <c:v>13.848831168831168</c:v>
                </c:pt>
                <c:pt idx="26">
                  <c:v>13.848831168831168</c:v>
                </c:pt>
                <c:pt idx="27">
                  <c:v>13.848831168831168</c:v>
                </c:pt>
                <c:pt idx="28">
                  <c:v>13.848831168831168</c:v>
                </c:pt>
                <c:pt idx="29">
                  <c:v>20.773246753246752</c:v>
                </c:pt>
                <c:pt idx="30">
                  <c:v>20.773246753246752</c:v>
                </c:pt>
                <c:pt idx="31">
                  <c:v>20.773246753246752</c:v>
                </c:pt>
                <c:pt idx="32">
                  <c:v>20.773246753246752</c:v>
                </c:pt>
                <c:pt idx="33">
                  <c:v>20.773246753246752</c:v>
                </c:pt>
                <c:pt idx="34">
                  <c:v>30.841370222370227</c:v>
                </c:pt>
                <c:pt idx="35">
                  <c:v>30.841370222370227</c:v>
                </c:pt>
                <c:pt idx="36">
                  <c:v>30.841370222370227</c:v>
                </c:pt>
                <c:pt idx="37">
                  <c:v>30.841370222370227</c:v>
                </c:pt>
                <c:pt idx="38">
                  <c:v>30.841370222370227</c:v>
                </c:pt>
                <c:pt idx="39">
                  <c:v>41.121826963160302</c:v>
                </c:pt>
                <c:pt idx="40">
                  <c:v>41.121826963160302</c:v>
                </c:pt>
                <c:pt idx="41">
                  <c:v>41.121826963160302</c:v>
                </c:pt>
                <c:pt idx="42">
                  <c:v>41.121826963160302</c:v>
                </c:pt>
                <c:pt idx="43">
                  <c:v>41.121826963160302</c:v>
                </c:pt>
                <c:pt idx="44">
                  <c:v>41.546493506493505</c:v>
                </c:pt>
                <c:pt idx="45">
                  <c:v>41.546493506493505</c:v>
                </c:pt>
                <c:pt idx="46">
                  <c:v>41.546493506493505</c:v>
                </c:pt>
                <c:pt idx="47">
                  <c:v>41.546493506493505</c:v>
                </c:pt>
                <c:pt idx="48">
                  <c:v>41.546493506493505</c:v>
                </c:pt>
                <c:pt idx="49">
                  <c:v>54.16465542173114</c:v>
                </c:pt>
                <c:pt idx="50">
                  <c:v>54.16465542173114</c:v>
                </c:pt>
                <c:pt idx="51">
                  <c:v>54.16465542173114</c:v>
                </c:pt>
                <c:pt idx="52">
                  <c:v>54.16465542173114</c:v>
                </c:pt>
                <c:pt idx="53">
                  <c:v>61.682740444740453</c:v>
                </c:pt>
                <c:pt idx="54">
                  <c:v>61.682740444740453</c:v>
                </c:pt>
                <c:pt idx="55">
                  <c:v>61.682740444740453</c:v>
                </c:pt>
                <c:pt idx="56">
                  <c:v>61.682740444740453</c:v>
                </c:pt>
                <c:pt idx="57">
                  <c:v>61.682740444740453</c:v>
                </c:pt>
                <c:pt idx="58">
                  <c:v>72.219540562308183</c:v>
                </c:pt>
                <c:pt idx="59">
                  <c:v>72.219540562308183</c:v>
                </c:pt>
                <c:pt idx="60">
                  <c:v>72.219540562308183</c:v>
                </c:pt>
                <c:pt idx="61">
                  <c:v>72.219540562308183</c:v>
                </c:pt>
                <c:pt idx="62">
                  <c:v>81.035313216195576</c:v>
                </c:pt>
                <c:pt idx="63">
                  <c:v>81.035313216195576</c:v>
                </c:pt>
                <c:pt idx="64">
                  <c:v>81.035313216195576</c:v>
                </c:pt>
              </c:numCache>
            </c:numRef>
          </c:xVal>
          <c:yVal>
            <c:numRef>
              <c:f>Transport_Calc!$BF$49:$BF$113</c:f>
              <c:numCache>
                <c:formatCode>General</c:formatCode>
                <c:ptCount val="65"/>
                <c:pt idx="0">
                  <c:v>39.325337947576926</c:v>
                </c:pt>
                <c:pt idx="1">
                  <c:v>26.456026409314966</c:v>
                </c:pt>
                <c:pt idx="2">
                  <c:v>23.515316605112314</c:v>
                </c:pt>
                <c:pt idx="3">
                  <c:v>20.757248807097707</c:v>
                </c:pt>
                <c:pt idx="4">
                  <c:v>16.131546087990117</c:v>
                </c:pt>
                <c:pt idx="5">
                  <c:v>29.967010005847992</c:v>
                </c:pt>
                <c:pt idx="6">
                  <c:v>17.097698467586035</c:v>
                </c:pt>
                <c:pt idx="7">
                  <c:v>14.156988663383377</c:v>
                </c:pt>
                <c:pt idx="8">
                  <c:v>11.398920865368774</c:v>
                </c:pt>
                <c:pt idx="9">
                  <c:v>6.7732181462611818</c:v>
                </c:pt>
                <c:pt idx="10">
                  <c:v>15.051478710866236</c:v>
                </c:pt>
                <c:pt idx="11">
                  <c:v>12.110768906663582</c:v>
                </c:pt>
                <c:pt idx="12">
                  <c:v>9.3527011086489757</c:v>
                </c:pt>
                <c:pt idx="13">
                  <c:v>4.7269983895413832</c:v>
                </c:pt>
                <c:pt idx="14">
                  <c:v>11.213546319227529</c:v>
                </c:pt>
                <c:pt idx="15">
                  <c:v>8.4554785212129264</c:v>
                </c:pt>
                <c:pt idx="16">
                  <c:v>3.8297758021053312</c:v>
                </c:pt>
                <c:pt idx="17">
                  <c:v>7.8912295245992974</c:v>
                </c:pt>
                <c:pt idx="18">
                  <c:v>3.2655268054917044</c:v>
                </c:pt>
                <c:pt idx="19">
                  <c:v>1.3108445982525643</c:v>
                </c:pt>
                <c:pt idx="20">
                  <c:v>0.88186754697716552</c:v>
                </c:pt>
                <c:pt idx="21">
                  <c:v>0.78384388683707718</c:v>
                </c:pt>
                <c:pt idx="22">
                  <c:v>0.69190829356992356</c:v>
                </c:pt>
                <c:pt idx="23">
                  <c:v>0.53771820293300387</c:v>
                </c:pt>
                <c:pt idx="24">
                  <c:v>0.98313344868942321</c:v>
                </c:pt>
                <c:pt idx="25">
                  <c:v>0.66140066023287414</c:v>
                </c:pt>
                <c:pt idx="26">
                  <c:v>0.58788291512780788</c:v>
                </c:pt>
                <c:pt idx="27">
                  <c:v>0.51893122017744275</c:v>
                </c:pt>
                <c:pt idx="28">
                  <c:v>0.40328865219975291</c:v>
                </c:pt>
                <c:pt idx="29">
                  <c:v>0.65542229912628214</c:v>
                </c:pt>
                <c:pt idx="30">
                  <c:v>0.44093377348858276</c:v>
                </c:pt>
                <c:pt idx="31">
                  <c:v>0.39192194341853859</c:v>
                </c:pt>
                <c:pt idx="32">
                  <c:v>0.34595414678496178</c:v>
                </c:pt>
                <c:pt idx="33">
                  <c:v>0.26885910146650194</c:v>
                </c:pt>
                <c:pt idx="34">
                  <c:v>0.99890033352826646</c:v>
                </c:pt>
                <c:pt idx="35">
                  <c:v>0.56992328225286792</c:v>
                </c:pt>
                <c:pt idx="36">
                  <c:v>0.47189962211277925</c:v>
                </c:pt>
                <c:pt idx="37">
                  <c:v>0.3799640288456258</c:v>
                </c:pt>
                <c:pt idx="38">
                  <c:v>0.22577393820870609</c:v>
                </c:pt>
                <c:pt idx="39">
                  <c:v>0.7491752501461999</c:v>
                </c:pt>
                <c:pt idx="40">
                  <c:v>0.42744246168965094</c:v>
                </c:pt>
                <c:pt idx="41">
                  <c:v>0.35392471658458446</c:v>
                </c:pt>
                <c:pt idx="42">
                  <c:v>0.28497302163421939</c:v>
                </c:pt>
                <c:pt idx="43">
                  <c:v>0.16933045365652957</c:v>
                </c:pt>
                <c:pt idx="44">
                  <c:v>0.32771114956314107</c:v>
                </c:pt>
                <c:pt idx="45">
                  <c:v>0.22046688674429138</c:v>
                </c:pt>
                <c:pt idx="46">
                  <c:v>0.19596097170926929</c:v>
                </c:pt>
                <c:pt idx="47">
                  <c:v>0.17297707339248089</c:v>
                </c:pt>
                <c:pt idx="48">
                  <c:v>0.13442955073325097</c:v>
                </c:pt>
                <c:pt idx="49">
                  <c:v>0.5017159570288745</c:v>
                </c:pt>
                <c:pt idx="50">
                  <c:v>0.403692296888786</c:v>
                </c:pt>
                <c:pt idx="51">
                  <c:v>0.31175670362163255</c:v>
                </c:pt>
                <c:pt idx="52">
                  <c:v>0.15756661298471275</c:v>
                </c:pt>
                <c:pt idx="53">
                  <c:v>0.49945016676413323</c:v>
                </c:pt>
                <c:pt idx="54">
                  <c:v>0.28496164112643396</c:v>
                </c:pt>
                <c:pt idx="55">
                  <c:v>0.23594981105638962</c:v>
                </c:pt>
                <c:pt idx="56">
                  <c:v>0.1899820144228129</c:v>
                </c:pt>
                <c:pt idx="57">
                  <c:v>0.11288696910435304</c:v>
                </c:pt>
                <c:pt idx="58">
                  <c:v>0.37628696777165593</c:v>
                </c:pt>
                <c:pt idx="59">
                  <c:v>0.30276922266658951</c:v>
                </c:pt>
                <c:pt idx="60">
                  <c:v>0.23381752771622441</c:v>
                </c:pt>
                <c:pt idx="61">
                  <c:v>0.11817495973853458</c:v>
                </c:pt>
                <c:pt idx="62">
                  <c:v>0.37378487730758431</c:v>
                </c:pt>
                <c:pt idx="63">
                  <c:v>0.28184928404043086</c:v>
                </c:pt>
                <c:pt idx="64">
                  <c:v>0.12765919340351103</c:v>
                </c:pt>
              </c:numCache>
            </c:numRef>
          </c:yVal>
          <c:smooth val="1"/>
          <c:extLst>
            <c:ext xmlns:c16="http://schemas.microsoft.com/office/drawing/2014/chart" uri="{C3380CC4-5D6E-409C-BE32-E72D297353CC}">
              <c16:uniqueId val="{00000000-3073-4618-AF51-CD8DF0A5A9F8}"/>
            </c:ext>
          </c:extLst>
        </c:ser>
        <c:ser>
          <c:idx val="1"/>
          <c:order val="1"/>
          <c:tx>
            <c:v>10%</c:v>
          </c:tx>
          <c:spPr>
            <a:ln w="19050" cap="rnd">
              <a:solidFill>
                <a:schemeClr val="accent2"/>
              </a:solidFill>
              <a:round/>
            </a:ln>
            <a:effectLst/>
          </c:spPr>
          <c:marker>
            <c:symbol val="none"/>
          </c:marker>
          <c:xVal>
            <c:numRef>
              <c:f>Transport_Calc!$BE$49:$BE$113</c:f>
              <c:numCache>
                <c:formatCode>0</c:formatCode>
                <c:ptCount val="65"/>
                <c:pt idx="0">
                  <c:v>0.34622077922077921</c:v>
                </c:pt>
                <c:pt idx="1">
                  <c:v>0.34622077922077921</c:v>
                </c:pt>
                <c:pt idx="2">
                  <c:v>0.34622077922077921</c:v>
                </c:pt>
                <c:pt idx="3">
                  <c:v>0.34622077922077921</c:v>
                </c:pt>
                <c:pt idx="4">
                  <c:v>0.34622077922077921</c:v>
                </c:pt>
                <c:pt idx="5">
                  <c:v>1.0280456740790076</c:v>
                </c:pt>
                <c:pt idx="6">
                  <c:v>1.0280456740790076</c:v>
                </c:pt>
                <c:pt idx="7">
                  <c:v>1.0280456740790076</c:v>
                </c:pt>
                <c:pt idx="8">
                  <c:v>1.0280456740790076</c:v>
                </c:pt>
                <c:pt idx="9">
                  <c:v>1.0280456740790076</c:v>
                </c:pt>
                <c:pt idx="10">
                  <c:v>1.8054885140577046</c:v>
                </c:pt>
                <c:pt idx="11">
                  <c:v>1.8054885140577046</c:v>
                </c:pt>
                <c:pt idx="12">
                  <c:v>1.8054885140577046</c:v>
                </c:pt>
                <c:pt idx="13">
                  <c:v>1.8054885140577046</c:v>
                </c:pt>
                <c:pt idx="14">
                  <c:v>2.7011771072065192</c:v>
                </c:pt>
                <c:pt idx="15">
                  <c:v>2.7011771072065192</c:v>
                </c:pt>
                <c:pt idx="16">
                  <c:v>2.7011771072065192</c:v>
                </c:pt>
                <c:pt idx="17">
                  <c:v>3.926040626040626</c:v>
                </c:pt>
                <c:pt idx="18">
                  <c:v>3.926040626040626</c:v>
                </c:pt>
                <c:pt idx="19">
                  <c:v>10.386623376623376</c:v>
                </c:pt>
                <c:pt idx="20">
                  <c:v>10.386623376623376</c:v>
                </c:pt>
                <c:pt idx="21">
                  <c:v>10.386623376623376</c:v>
                </c:pt>
                <c:pt idx="22">
                  <c:v>10.386623376623376</c:v>
                </c:pt>
                <c:pt idx="23">
                  <c:v>10.386623376623376</c:v>
                </c:pt>
                <c:pt idx="24">
                  <c:v>13.848831168831168</c:v>
                </c:pt>
                <c:pt idx="25">
                  <c:v>13.848831168831168</c:v>
                </c:pt>
                <c:pt idx="26">
                  <c:v>13.848831168831168</c:v>
                </c:pt>
                <c:pt idx="27">
                  <c:v>13.848831168831168</c:v>
                </c:pt>
                <c:pt idx="28">
                  <c:v>13.848831168831168</c:v>
                </c:pt>
                <c:pt idx="29">
                  <c:v>20.773246753246752</c:v>
                </c:pt>
                <c:pt idx="30">
                  <c:v>20.773246753246752</c:v>
                </c:pt>
                <c:pt idx="31">
                  <c:v>20.773246753246752</c:v>
                </c:pt>
                <c:pt idx="32">
                  <c:v>20.773246753246752</c:v>
                </c:pt>
                <c:pt idx="33">
                  <c:v>20.773246753246752</c:v>
                </c:pt>
                <c:pt idx="34">
                  <c:v>30.841370222370227</c:v>
                </c:pt>
                <c:pt idx="35">
                  <c:v>30.841370222370227</c:v>
                </c:pt>
                <c:pt idx="36">
                  <c:v>30.841370222370227</c:v>
                </c:pt>
                <c:pt idx="37">
                  <c:v>30.841370222370227</c:v>
                </c:pt>
                <c:pt idx="38">
                  <c:v>30.841370222370227</c:v>
                </c:pt>
                <c:pt idx="39">
                  <c:v>41.121826963160302</c:v>
                </c:pt>
                <c:pt idx="40">
                  <c:v>41.121826963160302</c:v>
                </c:pt>
                <c:pt idx="41">
                  <c:v>41.121826963160302</c:v>
                </c:pt>
                <c:pt idx="42">
                  <c:v>41.121826963160302</c:v>
                </c:pt>
                <c:pt idx="43">
                  <c:v>41.121826963160302</c:v>
                </c:pt>
                <c:pt idx="44">
                  <c:v>41.546493506493505</c:v>
                </c:pt>
                <c:pt idx="45">
                  <c:v>41.546493506493505</c:v>
                </c:pt>
                <c:pt idx="46">
                  <c:v>41.546493506493505</c:v>
                </c:pt>
                <c:pt idx="47">
                  <c:v>41.546493506493505</c:v>
                </c:pt>
                <c:pt idx="48">
                  <c:v>41.546493506493505</c:v>
                </c:pt>
                <c:pt idx="49">
                  <c:v>54.16465542173114</c:v>
                </c:pt>
                <c:pt idx="50">
                  <c:v>54.16465542173114</c:v>
                </c:pt>
                <c:pt idx="51">
                  <c:v>54.16465542173114</c:v>
                </c:pt>
                <c:pt idx="52">
                  <c:v>54.16465542173114</c:v>
                </c:pt>
                <c:pt idx="53">
                  <c:v>61.682740444740453</c:v>
                </c:pt>
                <c:pt idx="54">
                  <c:v>61.682740444740453</c:v>
                </c:pt>
                <c:pt idx="55">
                  <c:v>61.682740444740453</c:v>
                </c:pt>
                <c:pt idx="56">
                  <c:v>61.682740444740453</c:v>
                </c:pt>
                <c:pt idx="57">
                  <c:v>61.682740444740453</c:v>
                </c:pt>
                <c:pt idx="58">
                  <c:v>72.219540562308183</c:v>
                </c:pt>
                <c:pt idx="59">
                  <c:v>72.219540562308183</c:v>
                </c:pt>
                <c:pt idx="60">
                  <c:v>72.219540562308183</c:v>
                </c:pt>
                <c:pt idx="61">
                  <c:v>72.219540562308183</c:v>
                </c:pt>
                <c:pt idx="62">
                  <c:v>81.035313216195576</c:v>
                </c:pt>
                <c:pt idx="63">
                  <c:v>81.035313216195576</c:v>
                </c:pt>
                <c:pt idx="64">
                  <c:v>81.035313216195576</c:v>
                </c:pt>
              </c:numCache>
            </c:numRef>
          </c:xVal>
          <c:yVal>
            <c:numRef>
              <c:f>Transport_Calc!$BG$49:$BG$113</c:f>
              <c:numCache>
                <c:formatCode>General</c:formatCode>
                <c:ptCount val="65"/>
                <c:pt idx="0">
                  <c:v>78.650675895153853</c:v>
                </c:pt>
                <c:pt idx="1">
                  <c:v>52.912052818629931</c:v>
                </c:pt>
                <c:pt idx="2">
                  <c:v>47.030633210224629</c:v>
                </c:pt>
                <c:pt idx="3">
                  <c:v>41.514497614195413</c:v>
                </c:pt>
                <c:pt idx="4">
                  <c:v>32.263092175980233</c:v>
                </c:pt>
                <c:pt idx="5">
                  <c:v>59.934020011695985</c:v>
                </c:pt>
                <c:pt idx="6">
                  <c:v>34.19539693517207</c:v>
                </c:pt>
                <c:pt idx="7">
                  <c:v>28.313977326766754</c:v>
                </c:pt>
                <c:pt idx="8">
                  <c:v>22.797841730737549</c:v>
                </c:pt>
                <c:pt idx="9">
                  <c:v>13.546436292522364</c:v>
                </c:pt>
                <c:pt idx="10">
                  <c:v>30.102957421732473</c:v>
                </c:pt>
                <c:pt idx="11">
                  <c:v>24.221537813327163</c:v>
                </c:pt>
                <c:pt idx="12">
                  <c:v>18.705402217297951</c:v>
                </c:pt>
                <c:pt idx="13">
                  <c:v>9.4539967790827664</c:v>
                </c:pt>
                <c:pt idx="14">
                  <c:v>22.427092638455058</c:v>
                </c:pt>
                <c:pt idx="15">
                  <c:v>16.910957042425853</c:v>
                </c:pt>
                <c:pt idx="16">
                  <c:v>7.6595516042106624</c:v>
                </c:pt>
                <c:pt idx="17">
                  <c:v>15.782459049198595</c:v>
                </c:pt>
                <c:pt idx="18">
                  <c:v>6.5310536109834088</c:v>
                </c:pt>
                <c:pt idx="19">
                  <c:v>2.6216891965051285</c:v>
                </c:pt>
                <c:pt idx="20">
                  <c:v>1.763735093954331</c:v>
                </c:pt>
                <c:pt idx="21">
                  <c:v>1.5676877736741544</c:v>
                </c:pt>
                <c:pt idx="22">
                  <c:v>1.3838165871398471</c:v>
                </c:pt>
                <c:pt idx="23">
                  <c:v>1.0754364058660077</c:v>
                </c:pt>
                <c:pt idx="24">
                  <c:v>1.9662668973788464</c:v>
                </c:pt>
                <c:pt idx="25">
                  <c:v>1.3228013204657483</c:v>
                </c:pt>
                <c:pt idx="26">
                  <c:v>1.1757658302556158</c:v>
                </c:pt>
                <c:pt idx="27">
                  <c:v>1.0378624403548855</c:v>
                </c:pt>
                <c:pt idx="28">
                  <c:v>0.80657730439950581</c:v>
                </c:pt>
                <c:pt idx="29">
                  <c:v>1.3108445982525643</c:v>
                </c:pt>
                <c:pt idx="30">
                  <c:v>0.88186754697716552</c:v>
                </c:pt>
                <c:pt idx="31">
                  <c:v>0.78384388683707718</c:v>
                </c:pt>
                <c:pt idx="32">
                  <c:v>0.69190829356992356</c:v>
                </c:pt>
                <c:pt idx="33">
                  <c:v>0.53771820293300387</c:v>
                </c:pt>
                <c:pt idx="34">
                  <c:v>1.9978006670565329</c:v>
                </c:pt>
                <c:pt idx="35">
                  <c:v>1.1398465645057358</c:v>
                </c:pt>
                <c:pt idx="36">
                  <c:v>0.9437992442255585</c:v>
                </c:pt>
                <c:pt idx="37">
                  <c:v>0.7599280576912516</c:v>
                </c:pt>
                <c:pt idx="38">
                  <c:v>0.45154787641741218</c:v>
                </c:pt>
                <c:pt idx="39">
                  <c:v>1.4983505002923998</c:v>
                </c:pt>
                <c:pt idx="40">
                  <c:v>0.85488492337930189</c:v>
                </c:pt>
                <c:pt idx="41">
                  <c:v>0.70784943316916893</c:v>
                </c:pt>
                <c:pt idx="42">
                  <c:v>0.56994604326843878</c:v>
                </c:pt>
                <c:pt idx="43">
                  <c:v>0.33866090731305915</c:v>
                </c:pt>
                <c:pt idx="44">
                  <c:v>0.65542229912628214</c:v>
                </c:pt>
                <c:pt idx="45">
                  <c:v>0.44093377348858276</c:v>
                </c:pt>
                <c:pt idx="46">
                  <c:v>0.39192194341853859</c:v>
                </c:pt>
                <c:pt idx="47">
                  <c:v>0.34595414678496178</c:v>
                </c:pt>
                <c:pt idx="48">
                  <c:v>0.26885910146650194</c:v>
                </c:pt>
                <c:pt idx="49">
                  <c:v>1.003431914057749</c:v>
                </c:pt>
                <c:pt idx="50">
                  <c:v>0.80738459377757199</c:v>
                </c:pt>
                <c:pt idx="51">
                  <c:v>0.62351340724326509</c:v>
                </c:pt>
                <c:pt idx="52">
                  <c:v>0.3151332259694255</c:v>
                </c:pt>
                <c:pt idx="53">
                  <c:v>0.99890033352826646</c:v>
                </c:pt>
                <c:pt idx="54">
                  <c:v>0.56992328225286792</c:v>
                </c:pt>
                <c:pt idx="55">
                  <c:v>0.47189962211277925</c:v>
                </c:pt>
                <c:pt idx="56">
                  <c:v>0.3799640288456258</c:v>
                </c:pt>
                <c:pt idx="57">
                  <c:v>0.22577393820870609</c:v>
                </c:pt>
                <c:pt idx="58">
                  <c:v>0.75257393554331187</c:v>
                </c:pt>
                <c:pt idx="59">
                  <c:v>0.60553844533317902</c:v>
                </c:pt>
                <c:pt idx="60">
                  <c:v>0.46763505543244882</c:v>
                </c:pt>
                <c:pt idx="61">
                  <c:v>0.23634991947706915</c:v>
                </c:pt>
                <c:pt idx="62">
                  <c:v>0.74756975461516861</c:v>
                </c:pt>
                <c:pt idx="63">
                  <c:v>0.56369856808086172</c:v>
                </c:pt>
                <c:pt idx="64">
                  <c:v>0.25531838680702207</c:v>
                </c:pt>
              </c:numCache>
            </c:numRef>
          </c:yVal>
          <c:smooth val="1"/>
          <c:extLst>
            <c:ext xmlns:c16="http://schemas.microsoft.com/office/drawing/2014/chart" uri="{C3380CC4-5D6E-409C-BE32-E72D297353CC}">
              <c16:uniqueId val="{00000001-3073-4618-AF51-CD8DF0A5A9F8}"/>
            </c:ext>
          </c:extLst>
        </c:ser>
        <c:ser>
          <c:idx val="2"/>
          <c:order val="2"/>
          <c:tx>
            <c:v>50%</c:v>
          </c:tx>
          <c:spPr>
            <a:ln w="19050" cap="rnd">
              <a:solidFill>
                <a:schemeClr val="accent3"/>
              </a:solidFill>
              <a:round/>
            </a:ln>
            <a:effectLst/>
          </c:spPr>
          <c:marker>
            <c:symbol val="none"/>
          </c:marker>
          <c:xVal>
            <c:numRef>
              <c:f>Transport_Calc!$BE$49:$BE$113</c:f>
              <c:numCache>
                <c:formatCode>0</c:formatCode>
                <c:ptCount val="65"/>
                <c:pt idx="0">
                  <c:v>0.34622077922077921</c:v>
                </c:pt>
                <c:pt idx="1">
                  <c:v>0.34622077922077921</c:v>
                </c:pt>
                <c:pt idx="2">
                  <c:v>0.34622077922077921</c:v>
                </c:pt>
                <c:pt idx="3">
                  <c:v>0.34622077922077921</c:v>
                </c:pt>
                <c:pt idx="4">
                  <c:v>0.34622077922077921</c:v>
                </c:pt>
                <c:pt idx="5">
                  <c:v>1.0280456740790076</c:v>
                </c:pt>
                <c:pt idx="6">
                  <c:v>1.0280456740790076</c:v>
                </c:pt>
                <c:pt idx="7">
                  <c:v>1.0280456740790076</c:v>
                </c:pt>
                <c:pt idx="8">
                  <c:v>1.0280456740790076</c:v>
                </c:pt>
                <c:pt idx="9">
                  <c:v>1.0280456740790076</c:v>
                </c:pt>
                <c:pt idx="10">
                  <c:v>1.8054885140577046</c:v>
                </c:pt>
                <c:pt idx="11">
                  <c:v>1.8054885140577046</c:v>
                </c:pt>
                <c:pt idx="12">
                  <c:v>1.8054885140577046</c:v>
                </c:pt>
                <c:pt idx="13">
                  <c:v>1.8054885140577046</c:v>
                </c:pt>
                <c:pt idx="14">
                  <c:v>2.7011771072065192</c:v>
                </c:pt>
                <c:pt idx="15">
                  <c:v>2.7011771072065192</c:v>
                </c:pt>
                <c:pt idx="16">
                  <c:v>2.7011771072065192</c:v>
                </c:pt>
                <c:pt idx="17">
                  <c:v>3.926040626040626</c:v>
                </c:pt>
                <c:pt idx="18">
                  <c:v>3.926040626040626</c:v>
                </c:pt>
                <c:pt idx="19">
                  <c:v>10.386623376623376</c:v>
                </c:pt>
                <c:pt idx="20">
                  <c:v>10.386623376623376</c:v>
                </c:pt>
                <c:pt idx="21">
                  <c:v>10.386623376623376</c:v>
                </c:pt>
                <c:pt idx="22">
                  <c:v>10.386623376623376</c:v>
                </c:pt>
                <c:pt idx="23">
                  <c:v>10.386623376623376</c:v>
                </c:pt>
                <c:pt idx="24">
                  <c:v>13.848831168831168</c:v>
                </c:pt>
                <c:pt idx="25">
                  <c:v>13.848831168831168</c:v>
                </c:pt>
                <c:pt idx="26">
                  <c:v>13.848831168831168</c:v>
                </c:pt>
                <c:pt idx="27">
                  <c:v>13.848831168831168</c:v>
                </c:pt>
                <c:pt idx="28">
                  <c:v>13.848831168831168</c:v>
                </c:pt>
                <c:pt idx="29">
                  <c:v>20.773246753246752</c:v>
                </c:pt>
                <c:pt idx="30">
                  <c:v>20.773246753246752</c:v>
                </c:pt>
                <c:pt idx="31">
                  <c:v>20.773246753246752</c:v>
                </c:pt>
                <c:pt idx="32">
                  <c:v>20.773246753246752</c:v>
                </c:pt>
                <c:pt idx="33">
                  <c:v>20.773246753246752</c:v>
                </c:pt>
                <c:pt idx="34">
                  <c:v>30.841370222370227</c:v>
                </c:pt>
                <c:pt idx="35">
                  <c:v>30.841370222370227</c:v>
                </c:pt>
                <c:pt idx="36">
                  <c:v>30.841370222370227</c:v>
                </c:pt>
                <c:pt idx="37">
                  <c:v>30.841370222370227</c:v>
                </c:pt>
                <c:pt idx="38">
                  <c:v>30.841370222370227</c:v>
                </c:pt>
                <c:pt idx="39">
                  <c:v>41.121826963160302</c:v>
                </c:pt>
                <c:pt idx="40">
                  <c:v>41.121826963160302</c:v>
                </c:pt>
                <c:pt idx="41">
                  <c:v>41.121826963160302</c:v>
                </c:pt>
                <c:pt idx="42">
                  <c:v>41.121826963160302</c:v>
                </c:pt>
                <c:pt idx="43">
                  <c:v>41.121826963160302</c:v>
                </c:pt>
                <c:pt idx="44">
                  <c:v>41.546493506493505</c:v>
                </c:pt>
                <c:pt idx="45">
                  <c:v>41.546493506493505</c:v>
                </c:pt>
                <c:pt idx="46">
                  <c:v>41.546493506493505</c:v>
                </c:pt>
                <c:pt idx="47">
                  <c:v>41.546493506493505</c:v>
                </c:pt>
                <c:pt idx="48">
                  <c:v>41.546493506493505</c:v>
                </c:pt>
                <c:pt idx="49">
                  <c:v>54.16465542173114</c:v>
                </c:pt>
                <c:pt idx="50">
                  <c:v>54.16465542173114</c:v>
                </c:pt>
                <c:pt idx="51">
                  <c:v>54.16465542173114</c:v>
                </c:pt>
                <c:pt idx="52">
                  <c:v>54.16465542173114</c:v>
                </c:pt>
                <c:pt idx="53">
                  <c:v>61.682740444740453</c:v>
                </c:pt>
                <c:pt idx="54">
                  <c:v>61.682740444740453</c:v>
                </c:pt>
                <c:pt idx="55">
                  <c:v>61.682740444740453</c:v>
                </c:pt>
                <c:pt idx="56">
                  <c:v>61.682740444740453</c:v>
                </c:pt>
                <c:pt idx="57">
                  <c:v>61.682740444740453</c:v>
                </c:pt>
                <c:pt idx="58">
                  <c:v>72.219540562308183</c:v>
                </c:pt>
                <c:pt idx="59">
                  <c:v>72.219540562308183</c:v>
                </c:pt>
                <c:pt idx="60">
                  <c:v>72.219540562308183</c:v>
                </c:pt>
                <c:pt idx="61">
                  <c:v>72.219540562308183</c:v>
                </c:pt>
                <c:pt idx="62">
                  <c:v>81.035313216195576</c:v>
                </c:pt>
                <c:pt idx="63">
                  <c:v>81.035313216195576</c:v>
                </c:pt>
                <c:pt idx="64">
                  <c:v>81.035313216195576</c:v>
                </c:pt>
              </c:numCache>
            </c:numRef>
          </c:xVal>
          <c:yVal>
            <c:numRef>
              <c:f>Transport_Calc!$BH$49:$BH$113</c:f>
              <c:numCache>
                <c:formatCode>General</c:formatCode>
                <c:ptCount val="65"/>
                <c:pt idx="0">
                  <c:v>393.25337947576929</c:v>
                </c:pt>
                <c:pt idx="1">
                  <c:v>264.56026409314967</c:v>
                </c:pt>
                <c:pt idx="2">
                  <c:v>235.15316605112309</c:v>
                </c:pt>
                <c:pt idx="3">
                  <c:v>207.57248807097707</c:v>
                </c:pt>
                <c:pt idx="4">
                  <c:v>161.31546087990114</c:v>
                </c:pt>
                <c:pt idx="5">
                  <c:v>299.67010005847993</c:v>
                </c:pt>
                <c:pt idx="6">
                  <c:v>170.97698467586036</c:v>
                </c:pt>
                <c:pt idx="7">
                  <c:v>141.56988663383376</c:v>
                </c:pt>
                <c:pt idx="8">
                  <c:v>113.98920865368774</c:v>
                </c:pt>
                <c:pt idx="9">
                  <c:v>67.73218146261182</c:v>
                </c:pt>
                <c:pt idx="10">
                  <c:v>150.51478710866235</c:v>
                </c:pt>
                <c:pt idx="11">
                  <c:v>121.1076890666358</c:v>
                </c:pt>
                <c:pt idx="12">
                  <c:v>93.52701108648975</c:v>
                </c:pt>
                <c:pt idx="13">
                  <c:v>47.26998389541383</c:v>
                </c:pt>
                <c:pt idx="14">
                  <c:v>112.13546319227528</c:v>
                </c:pt>
                <c:pt idx="15">
                  <c:v>84.554785212129246</c:v>
                </c:pt>
                <c:pt idx="16">
                  <c:v>38.297758021053312</c:v>
                </c:pt>
                <c:pt idx="17">
                  <c:v>78.912295245992965</c:v>
                </c:pt>
                <c:pt idx="18">
                  <c:v>32.655268054917038</c:v>
                </c:pt>
                <c:pt idx="19">
                  <c:v>13.108445982525643</c:v>
                </c:pt>
                <c:pt idx="20">
                  <c:v>8.8186754697716552</c:v>
                </c:pt>
                <c:pt idx="21">
                  <c:v>7.83843886837077</c:v>
                </c:pt>
                <c:pt idx="22">
                  <c:v>6.9190829356992358</c:v>
                </c:pt>
                <c:pt idx="23">
                  <c:v>5.3771820293300383</c:v>
                </c:pt>
                <c:pt idx="24">
                  <c:v>9.8313344868942316</c:v>
                </c:pt>
                <c:pt idx="25">
                  <c:v>6.6140066023287414</c:v>
                </c:pt>
                <c:pt idx="26">
                  <c:v>5.8788291512780777</c:v>
                </c:pt>
                <c:pt idx="27">
                  <c:v>5.1893122017744266</c:v>
                </c:pt>
                <c:pt idx="28">
                  <c:v>4.0328865219975283</c:v>
                </c:pt>
                <c:pt idx="29">
                  <c:v>6.5542229912628214</c:v>
                </c:pt>
                <c:pt idx="30">
                  <c:v>4.4093377348858276</c:v>
                </c:pt>
                <c:pt idx="31">
                  <c:v>3.919219434185385</c:v>
                </c:pt>
                <c:pt idx="32">
                  <c:v>3.4595414678496179</c:v>
                </c:pt>
                <c:pt idx="33">
                  <c:v>2.6885910146650192</c:v>
                </c:pt>
                <c:pt idx="34">
                  <c:v>9.9890033352826642</c:v>
                </c:pt>
                <c:pt idx="35">
                  <c:v>5.6992328225286784</c:v>
                </c:pt>
                <c:pt idx="36">
                  <c:v>4.7189962211277923</c:v>
                </c:pt>
                <c:pt idx="37">
                  <c:v>3.7996402884562581</c:v>
                </c:pt>
                <c:pt idx="38">
                  <c:v>2.2577393820870606</c:v>
                </c:pt>
                <c:pt idx="39">
                  <c:v>7.491752501461999</c:v>
                </c:pt>
                <c:pt idx="40">
                  <c:v>4.2744246168965088</c:v>
                </c:pt>
                <c:pt idx="41">
                  <c:v>3.5392471658458442</c:v>
                </c:pt>
                <c:pt idx="42">
                  <c:v>2.8497302163421936</c:v>
                </c:pt>
                <c:pt idx="43">
                  <c:v>1.6933045365652954</c:v>
                </c:pt>
                <c:pt idx="44">
                  <c:v>3.2771114956314107</c:v>
                </c:pt>
                <c:pt idx="45">
                  <c:v>2.2046688674429138</c:v>
                </c:pt>
                <c:pt idx="46">
                  <c:v>1.9596097170926925</c:v>
                </c:pt>
                <c:pt idx="47">
                  <c:v>1.729770733924809</c:v>
                </c:pt>
                <c:pt idx="48">
                  <c:v>1.3442955073325096</c:v>
                </c:pt>
                <c:pt idx="49">
                  <c:v>5.0171595702887455</c:v>
                </c:pt>
                <c:pt idx="50">
                  <c:v>4.0369229688878594</c:v>
                </c:pt>
                <c:pt idx="51">
                  <c:v>3.1175670362163252</c:v>
                </c:pt>
                <c:pt idx="52">
                  <c:v>1.5756661298471275</c:v>
                </c:pt>
                <c:pt idx="53">
                  <c:v>4.9945016676413321</c:v>
                </c:pt>
                <c:pt idx="54">
                  <c:v>2.8496164112643392</c:v>
                </c:pt>
                <c:pt idx="55">
                  <c:v>2.3594981105638961</c:v>
                </c:pt>
                <c:pt idx="56">
                  <c:v>1.8998201442281291</c:v>
                </c:pt>
                <c:pt idx="57">
                  <c:v>1.1288696910435303</c:v>
                </c:pt>
                <c:pt idx="58">
                  <c:v>3.7628696777165591</c:v>
                </c:pt>
                <c:pt idx="59">
                  <c:v>3.027692226665895</c:v>
                </c:pt>
                <c:pt idx="60">
                  <c:v>2.3381752771622439</c:v>
                </c:pt>
                <c:pt idx="61">
                  <c:v>1.1817495973853458</c:v>
                </c:pt>
                <c:pt idx="62">
                  <c:v>3.737848773075843</c:v>
                </c:pt>
                <c:pt idx="63">
                  <c:v>2.8184928404043084</c:v>
                </c:pt>
                <c:pt idx="64">
                  <c:v>1.2765919340351104</c:v>
                </c:pt>
              </c:numCache>
            </c:numRef>
          </c:yVal>
          <c:smooth val="1"/>
          <c:extLst>
            <c:ext xmlns:c16="http://schemas.microsoft.com/office/drawing/2014/chart" uri="{C3380CC4-5D6E-409C-BE32-E72D297353CC}">
              <c16:uniqueId val="{00000002-3073-4618-AF51-CD8DF0A5A9F8}"/>
            </c:ext>
          </c:extLst>
        </c:ser>
        <c:ser>
          <c:idx val="3"/>
          <c:order val="3"/>
          <c:tx>
            <c:v>100%</c:v>
          </c:tx>
          <c:spPr>
            <a:ln w="19050" cap="rnd">
              <a:solidFill>
                <a:schemeClr val="accent4"/>
              </a:solidFill>
              <a:round/>
            </a:ln>
            <a:effectLst/>
          </c:spPr>
          <c:marker>
            <c:symbol val="none"/>
          </c:marker>
          <c:xVal>
            <c:numRef>
              <c:f>Transport_Calc!$BE$49:$BE$113</c:f>
              <c:numCache>
                <c:formatCode>0</c:formatCode>
                <c:ptCount val="65"/>
                <c:pt idx="0">
                  <c:v>0.34622077922077921</c:v>
                </c:pt>
                <c:pt idx="1">
                  <c:v>0.34622077922077921</c:v>
                </c:pt>
                <c:pt idx="2">
                  <c:v>0.34622077922077921</c:v>
                </c:pt>
                <c:pt idx="3">
                  <c:v>0.34622077922077921</c:v>
                </c:pt>
                <c:pt idx="4">
                  <c:v>0.34622077922077921</c:v>
                </c:pt>
                <c:pt idx="5">
                  <c:v>1.0280456740790076</c:v>
                </c:pt>
                <c:pt idx="6">
                  <c:v>1.0280456740790076</c:v>
                </c:pt>
                <c:pt idx="7">
                  <c:v>1.0280456740790076</c:v>
                </c:pt>
                <c:pt idx="8">
                  <c:v>1.0280456740790076</c:v>
                </c:pt>
                <c:pt idx="9">
                  <c:v>1.0280456740790076</c:v>
                </c:pt>
                <c:pt idx="10">
                  <c:v>1.8054885140577046</c:v>
                </c:pt>
                <c:pt idx="11">
                  <c:v>1.8054885140577046</c:v>
                </c:pt>
                <c:pt idx="12">
                  <c:v>1.8054885140577046</c:v>
                </c:pt>
                <c:pt idx="13">
                  <c:v>1.8054885140577046</c:v>
                </c:pt>
                <c:pt idx="14">
                  <c:v>2.7011771072065192</c:v>
                </c:pt>
                <c:pt idx="15">
                  <c:v>2.7011771072065192</c:v>
                </c:pt>
                <c:pt idx="16">
                  <c:v>2.7011771072065192</c:v>
                </c:pt>
                <c:pt idx="17">
                  <c:v>3.926040626040626</c:v>
                </c:pt>
                <c:pt idx="18">
                  <c:v>3.926040626040626</c:v>
                </c:pt>
                <c:pt idx="19">
                  <c:v>10.386623376623376</c:v>
                </c:pt>
                <c:pt idx="20">
                  <c:v>10.386623376623376</c:v>
                </c:pt>
                <c:pt idx="21">
                  <c:v>10.386623376623376</c:v>
                </c:pt>
                <c:pt idx="22">
                  <c:v>10.386623376623376</c:v>
                </c:pt>
                <c:pt idx="23">
                  <c:v>10.386623376623376</c:v>
                </c:pt>
                <c:pt idx="24">
                  <c:v>13.848831168831168</c:v>
                </c:pt>
                <c:pt idx="25">
                  <c:v>13.848831168831168</c:v>
                </c:pt>
                <c:pt idx="26">
                  <c:v>13.848831168831168</c:v>
                </c:pt>
                <c:pt idx="27">
                  <c:v>13.848831168831168</c:v>
                </c:pt>
                <c:pt idx="28">
                  <c:v>13.848831168831168</c:v>
                </c:pt>
                <c:pt idx="29">
                  <c:v>20.773246753246752</c:v>
                </c:pt>
                <c:pt idx="30">
                  <c:v>20.773246753246752</c:v>
                </c:pt>
                <c:pt idx="31">
                  <c:v>20.773246753246752</c:v>
                </c:pt>
                <c:pt idx="32">
                  <c:v>20.773246753246752</c:v>
                </c:pt>
                <c:pt idx="33">
                  <c:v>20.773246753246752</c:v>
                </c:pt>
                <c:pt idx="34">
                  <c:v>30.841370222370227</c:v>
                </c:pt>
                <c:pt idx="35">
                  <c:v>30.841370222370227</c:v>
                </c:pt>
                <c:pt idx="36">
                  <c:v>30.841370222370227</c:v>
                </c:pt>
                <c:pt idx="37">
                  <c:v>30.841370222370227</c:v>
                </c:pt>
                <c:pt idx="38">
                  <c:v>30.841370222370227</c:v>
                </c:pt>
                <c:pt idx="39">
                  <c:v>41.121826963160302</c:v>
                </c:pt>
                <c:pt idx="40">
                  <c:v>41.121826963160302</c:v>
                </c:pt>
                <c:pt idx="41">
                  <c:v>41.121826963160302</c:v>
                </c:pt>
                <c:pt idx="42">
                  <c:v>41.121826963160302</c:v>
                </c:pt>
                <c:pt idx="43">
                  <c:v>41.121826963160302</c:v>
                </c:pt>
                <c:pt idx="44">
                  <c:v>41.546493506493505</c:v>
                </c:pt>
                <c:pt idx="45">
                  <c:v>41.546493506493505</c:v>
                </c:pt>
                <c:pt idx="46">
                  <c:v>41.546493506493505</c:v>
                </c:pt>
                <c:pt idx="47">
                  <c:v>41.546493506493505</c:v>
                </c:pt>
                <c:pt idx="48">
                  <c:v>41.546493506493505</c:v>
                </c:pt>
                <c:pt idx="49">
                  <c:v>54.16465542173114</c:v>
                </c:pt>
                <c:pt idx="50">
                  <c:v>54.16465542173114</c:v>
                </c:pt>
                <c:pt idx="51">
                  <c:v>54.16465542173114</c:v>
                </c:pt>
                <c:pt idx="52">
                  <c:v>54.16465542173114</c:v>
                </c:pt>
                <c:pt idx="53">
                  <c:v>61.682740444740453</c:v>
                </c:pt>
                <c:pt idx="54">
                  <c:v>61.682740444740453</c:v>
                </c:pt>
                <c:pt idx="55">
                  <c:v>61.682740444740453</c:v>
                </c:pt>
                <c:pt idx="56">
                  <c:v>61.682740444740453</c:v>
                </c:pt>
                <c:pt idx="57">
                  <c:v>61.682740444740453</c:v>
                </c:pt>
                <c:pt idx="58">
                  <c:v>72.219540562308183</c:v>
                </c:pt>
                <c:pt idx="59">
                  <c:v>72.219540562308183</c:v>
                </c:pt>
                <c:pt idx="60">
                  <c:v>72.219540562308183</c:v>
                </c:pt>
                <c:pt idx="61">
                  <c:v>72.219540562308183</c:v>
                </c:pt>
                <c:pt idx="62">
                  <c:v>81.035313216195576</c:v>
                </c:pt>
                <c:pt idx="63">
                  <c:v>81.035313216195576</c:v>
                </c:pt>
                <c:pt idx="64">
                  <c:v>81.035313216195576</c:v>
                </c:pt>
              </c:numCache>
            </c:numRef>
          </c:xVal>
          <c:yVal>
            <c:numRef>
              <c:f>Transport_Calc!$BI$49:$BI$113</c:f>
              <c:numCache>
                <c:formatCode>General</c:formatCode>
                <c:ptCount val="65"/>
                <c:pt idx="0">
                  <c:v>786.50675895153859</c:v>
                </c:pt>
                <c:pt idx="1">
                  <c:v>529.12052818629934</c:v>
                </c:pt>
                <c:pt idx="2">
                  <c:v>470.30633210224619</c:v>
                </c:pt>
                <c:pt idx="3">
                  <c:v>415.14497614195415</c:v>
                </c:pt>
                <c:pt idx="4">
                  <c:v>322.63092175980228</c:v>
                </c:pt>
                <c:pt idx="5">
                  <c:v>599.34020011695986</c:v>
                </c:pt>
                <c:pt idx="6">
                  <c:v>341.95396935172073</c:v>
                </c:pt>
                <c:pt idx="7">
                  <c:v>283.13977326766752</c:v>
                </c:pt>
                <c:pt idx="8">
                  <c:v>227.97841730737548</c:v>
                </c:pt>
                <c:pt idx="9">
                  <c:v>135.46436292522364</c:v>
                </c:pt>
                <c:pt idx="10">
                  <c:v>301.02957421732469</c:v>
                </c:pt>
                <c:pt idx="11">
                  <c:v>242.2153781332716</c:v>
                </c:pt>
                <c:pt idx="12">
                  <c:v>187.0540221729795</c:v>
                </c:pt>
                <c:pt idx="13">
                  <c:v>94.53996779082766</c:v>
                </c:pt>
                <c:pt idx="14">
                  <c:v>224.27092638455056</c:v>
                </c:pt>
                <c:pt idx="15">
                  <c:v>169.10957042425849</c:v>
                </c:pt>
                <c:pt idx="16">
                  <c:v>76.595516042106624</c:v>
                </c:pt>
                <c:pt idx="17">
                  <c:v>157.82459049198593</c:v>
                </c:pt>
                <c:pt idx="18">
                  <c:v>65.310536109834075</c:v>
                </c:pt>
                <c:pt idx="19">
                  <c:v>26.216891965051285</c:v>
                </c:pt>
                <c:pt idx="20">
                  <c:v>17.63735093954331</c:v>
                </c:pt>
                <c:pt idx="21">
                  <c:v>15.67687773674154</c:v>
                </c:pt>
                <c:pt idx="22">
                  <c:v>13.838165871398472</c:v>
                </c:pt>
                <c:pt idx="23">
                  <c:v>10.754364058660077</c:v>
                </c:pt>
                <c:pt idx="24">
                  <c:v>19.662668973788463</c:v>
                </c:pt>
                <c:pt idx="25">
                  <c:v>13.228013204657483</c:v>
                </c:pt>
                <c:pt idx="26">
                  <c:v>11.757658302556155</c:v>
                </c:pt>
                <c:pt idx="27">
                  <c:v>10.378624403548853</c:v>
                </c:pt>
                <c:pt idx="28">
                  <c:v>8.0657730439950566</c:v>
                </c:pt>
                <c:pt idx="29">
                  <c:v>13.108445982525643</c:v>
                </c:pt>
                <c:pt idx="30">
                  <c:v>8.8186754697716552</c:v>
                </c:pt>
                <c:pt idx="31">
                  <c:v>7.83843886837077</c:v>
                </c:pt>
                <c:pt idx="32">
                  <c:v>6.9190829356992358</c:v>
                </c:pt>
                <c:pt idx="33">
                  <c:v>5.3771820293300383</c:v>
                </c:pt>
                <c:pt idx="34">
                  <c:v>19.978006670565328</c:v>
                </c:pt>
                <c:pt idx="35">
                  <c:v>11.398465645057357</c:v>
                </c:pt>
                <c:pt idx="36">
                  <c:v>9.4379924422555845</c:v>
                </c:pt>
                <c:pt idx="37">
                  <c:v>7.5992805769125162</c:v>
                </c:pt>
                <c:pt idx="38">
                  <c:v>4.5154787641741212</c:v>
                </c:pt>
                <c:pt idx="39">
                  <c:v>14.983505002923998</c:v>
                </c:pt>
                <c:pt idx="40">
                  <c:v>8.5488492337930175</c:v>
                </c:pt>
                <c:pt idx="41">
                  <c:v>7.0784943316916884</c:v>
                </c:pt>
                <c:pt idx="42">
                  <c:v>5.6994604326843872</c:v>
                </c:pt>
                <c:pt idx="43">
                  <c:v>3.3866090731305909</c:v>
                </c:pt>
                <c:pt idx="44">
                  <c:v>6.5542229912628214</c:v>
                </c:pt>
                <c:pt idx="45">
                  <c:v>4.4093377348858276</c:v>
                </c:pt>
                <c:pt idx="46">
                  <c:v>3.919219434185385</c:v>
                </c:pt>
                <c:pt idx="47">
                  <c:v>3.4595414678496179</c:v>
                </c:pt>
                <c:pt idx="48">
                  <c:v>2.6885910146650192</c:v>
                </c:pt>
                <c:pt idx="49">
                  <c:v>10.034319140577491</c:v>
                </c:pt>
                <c:pt idx="50">
                  <c:v>8.0738459377757188</c:v>
                </c:pt>
                <c:pt idx="51">
                  <c:v>6.2351340724326505</c:v>
                </c:pt>
                <c:pt idx="52">
                  <c:v>3.151332259694255</c:v>
                </c:pt>
                <c:pt idx="53">
                  <c:v>9.9890033352826642</c:v>
                </c:pt>
                <c:pt idx="54">
                  <c:v>5.6992328225286784</c:v>
                </c:pt>
                <c:pt idx="55">
                  <c:v>4.7189962211277923</c:v>
                </c:pt>
                <c:pt idx="56">
                  <c:v>3.7996402884562581</c:v>
                </c:pt>
                <c:pt idx="57">
                  <c:v>2.2577393820870606</c:v>
                </c:pt>
                <c:pt idx="58">
                  <c:v>7.5257393554331182</c:v>
                </c:pt>
                <c:pt idx="59">
                  <c:v>6.05538445333179</c:v>
                </c:pt>
                <c:pt idx="60">
                  <c:v>4.6763505543244879</c:v>
                </c:pt>
                <c:pt idx="61">
                  <c:v>2.3634991947706916</c:v>
                </c:pt>
                <c:pt idx="62">
                  <c:v>7.4756975461516859</c:v>
                </c:pt>
                <c:pt idx="63">
                  <c:v>5.6369856808086167</c:v>
                </c:pt>
                <c:pt idx="64">
                  <c:v>2.5531838680702208</c:v>
                </c:pt>
              </c:numCache>
            </c:numRef>
          </c:yVal>
          <c:smooth val="1"/>
          <c:extLst>
            <c:ext xmlns:c16="http://schemas.microsoft.com/office/drawing/2014/chart" uri="{C3380CC4-5D6E-409C-BE32-E72D297353CC}">
              <c16:uniqueId val="{00000003-3073-4618-AF51-CD8DF0A5A9F8}"/>
            </c:ext>
          </c:extLst>
        </c:ser>
        <c:dLbls>
          <c:showLegendKey val="0"/>
          <c:showVal val="0"/>
          <c:showCatName val="0"/>
          <c:showSerName val="0"/>
          <c:showPercent val="0"/>
          <c:showBubbleSize val="0"/>
        </c:dLbls>
        <c:axId val="702847624"/>
        <c:axId val="702851888"/>
      </c:scatterChart>
      <c:valAx>
        <c:axId val="702847624"/>
        <c:scaling>
          <c:orientation val="minMax"/>
          <c:max val="8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Mean daily</a:t>
                </a:r>
                <a:r>
                  <a:rPr lang="en-US" sz="1050" baseline="0">
                    <a:solidFill>
                      <a:sysClr val="windowText" lastClr="000000"/>
                    </a:solidFill>
                  </a:rPr>
                  <a:t> sample transported to the DTC</a:t>
                </a:r>
                <a:endParaRPr lang="en-US" sz="1050">
                  <a:solidFill>
                    <a:sysClr val="windowText" lastClr="000000"/>
                  </a:solidFill>
                </a:endParaRP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2851888"/>
        <c:crosses val="autoZero"/>
        <c:crossBetween val="midCat"/>
        <c:majorUnit val="5"/>
      </c:valAx>
      <c:valAx>
        <c:axId val="702851888"/>
        <c:scaling>
          <c:orientation val="minMax"/>
          <c:max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Cost per sample transported</a:t>
                </a:r>
                <a:r>
                  <a:rPr lang="en-US" sz="1050" baseline="0">
                    <a:solidFill>
                      <a:sysClr val="windowText" lastClr="000000"/>
                    </a:solidFill>
                  </a:rPr>
                  <a:t> ($, 2015)</a:t>
                </a:r>
                <a:endParaRPr lang="en-US" sz="1050">
                  <a:solidFill>
                    <a:sysClr val="windowText" lastClr="000000"/>
                  </a:solidFill>
                </a:endParaRPr>
              </a:p>
            </c:rich>
          </c:tx>
          <c:layout>
            <c:manualLayout>
              <c:xMode val="edge"/>
              <c:yMode val="edge"/>
              <c:x val="1.1158557103438993E-2"/>
              <c:y val="0.19417364634331125"/>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2847624"/>
        <c:crosses val="autoZero"/>
        <c:crossBetween val="midCat"/>
      </c:valAx>
      <c:spPr>
        <a:noFill/>
        <a:ln>
          <a:noFill/>
        </a:ln>
        <a:effectLst/>
      </c:spPr>
    </c:plotArea>
    <c:legend>
      <c:legendPos val="b"/>
      <c:layout>
        <c:manualLayout>
          <c:xMode val="edge"/>
          <c:yMode val="edge"/>
          <c:x val="0.61147873342755232"/>
          <c:y val="0.18879794554545978"/>
          <c:w val="0.37295847634430312"/>
          <c:h val="8.89105434481605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0.55377</cdr:x>
      <cdr:y>0.14541</cdr:y>
    </cdr:from>
    <cdr:to>
      <cdr:x>0.91249</cdr:x>
      <cdr:y>0.1981</cdr:y>
    </cdr:to>
    <cdr:sp macro="" textlink="">
      <cdr:nvSpPr>
        <cdr:cNvPr id="2" name="TextBox 1">
          <a:extLst xmlns:a="http://schemas.openxmlformats.org/drawingml/2006/main">
            <a:ext uri="{FF2B5EF4-FFF2-40B4-BE49-F238E27FC236}">
              <a16:creationId xmlns:a16="http://schemas.microsoft.com/office/drawing/2014/main" id="{95B8DCF9-C926-4131-B511-4207FC89A4CE}"/>
            </a:ext>
          </a:extLst>
        </cdr:cNvPr>
        <cdr:cNvSpPr txBox="1"/>
      </cdr:nvSpPr>
      <cdr:spPr>
        <a:xfrm xmlns:a="http://schemas.openxmlformats.org/drawingml/2006/main">
          <a:off x="3291398" y="556591"/>
          <a:ext cx="2132088" cy="2016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solidFill>
                <a:sysClr val="windowText" lastClr="000000"/>
              </a:solidFill>
            </a:rPr>
            <a:t>Percent TB sample volume per sample transport operation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742F3D-6E1B-4CD7-B599-3456275286E1}">
  <we:reference id="wa104380122" version="1.0.0.1" store="en-US" storeType="OMEX"/>
  <we:alternateReferences>
    <we:reference id="WA104380122" version="1.0.0.1" store="WA104380122" storeType="OMEX"/>
  </we:alternateReferences>
  <we:properties>
    <we:property name="citationStyle" value="&quot;{\&quot;id\&quot;:\&quot;1004\&quot;,\&quot;name\&quot;:\&quot;AMA - American Medical Association, 10th Edition\&quot;,\&quot;isInstitutional\&quot;:false,\&quot;isSorted\&quot;:false,\&quot;usesNumbers\&quot;:true}&quot;"/>
    <we:property name="cit:_77983221" value="&quot;{\&quot;docs\&quot;:[{\&quot;reference\&quot;:{\&quot;refType\&quot;:\&quot;REPORT_REF\&quot;,\&quot;title\&quot;:\&quot;Cost and affordability of pediatric Xpert MTB/RIF referrals in four major cities in India - an interim report.&lt;br&gt;\&quot;,\&quot;authors\&quot;:[{\&quot;lastName\&quot;:\&quot;Huddard\&quot;,\&quot;firstNames\&quot;:[\&quot;Sophie\&quot;],\&quot;rawName\&quot;:\&quot;Huddard, Sophie\&quot;},{\&quot;lastName\&quot;:\&quot;Sohn\&quot;,\&quot;firstNames\&quot;:[\&quot;Hojoon\&quot;],\&quot;rawName\&quot;:\&quot;Sohn, Hojoon\&quot;}],\&quot;publication\&quot;:{\&quot;title\&quot;:\&quot;Foundation for Innovative New Diagnostics\&quot;,\&quot;editors\&quot;:[]},\&quot;publicationDate\&quot;:{\&quot;date\&quot;:\&quot;2016\&quot;,\&quot;pretty\&quot;:\&quot;2016\&quot;,\&quot;prettyShort\&quot;:\&quot;2016\&quot;,\&quot;prettyLong\&quot;:\&quot;2016\&quot;,\&quot;year\&quot;:\&quot;2016\&quot;,\&quot;rawDate\&quot;:\&quot;2016\&quot;},\&quot;source\&quot;:{\&quot;isElectronic\&quot;:false,\&quot;disciplines\&quot;:[]},\&quot;tags\&quot;:[],\&quot;weight\&quot;:5},\&quot;id\&quot;:\&quot;doc:586711dae4b05e0ea062598f\&quot;,\&quot;pageReplace\&quot;:\&quot;\&quot;,\&quot;author\&quot;:true,\&quot;year\&quot;:true},{\&quot;reference\&quot;:{\&quot;refType\&quot;:\&quot;BOOK_REF\&quot;,\&quot;title\&quot;:\&quot;Financial management of health care organizations: an introduction to fundamental tools, concepts, and applications\&quot;,\&quot;authors\&quot;:[{\&quot;lastName\&quot;:\&quot;Zelman\&quot;,\&quot;firstNames\&quot;:[\&quot;William\&quot;,\&quot;N\&quot;],\&quot;rawName\&quot;:\&quot;Zelman, William N\&quot;},{\&quot;lastName\&quot;:\&quot;McCue\&quot;,\&quot;firstNames\&quot;:[\&quot;Michael\&quot;,\&quot;J\&quot;],\&quot;rawName\&quot;:\&quot;McCue, Michael J\&quot;},{\&quot;lastName\&quot;:\&quot;Millikan\&quot;,\&quot;firstNames\&quot;:[\&quot;Alan\&quot;,\&quot;R\&quot;],\&quot;rawName\&quot;:\&quot;Millikan, Alan R\&quot;},{\&quot;lastName\&quot;:\&quot;Glick\&quot;,\&quot;firstNames\&quot;:[\&quot;Noah\&quot;,\&quot;D\&quot;],\&quot;rawName\&quot;:\&quot;Glick, Noah D\&quot;}],\&quot;publicationDate\&quot;:{\&quot;date\&quot;:\&quot;2009\&quot;,\&quot;pretty\&quot;:\&quot;2009\&quot;,\&quot;prettyShort\&quot;:\&quot;2009\&quot;,\&quot;prettyLong\&quot;:\&quot;2009\&quot;,\&quot;year\&quot;:\&quot;2009\&quot;,\&quot;rawDate\&quot;:\&quot;2009\&quot;},\&quot;publisher\&quot;:{\&quot;name\&quot;:\&quot;John Wiley &amp; Sons\&quot;},\&quot;source\&quot;:{\&quot;name\&quot;:\&quot;google\&quot;,\&quot;isElectronic\&quot;:false,\&quot;disciplines\&quot;:[]},\&quot;tags\&quot;:[],\&quot;weight\&quot;:4},\&quot;id\&quot;:\&quot;doc:5865ade0e4b0fd87fba08036\&quot;,\&quot;pageReplace\&quot;:\&quot;\&quot;,\&quot;author\&quot;:true,\&quot;year\&quot;:true}],\&quot;position\&quot;:\&quot;body\&quot;}&quot;"/>
    <we:property name="cit:_719968958" value="&quot;{\&quot;docs\&quot;:[{\&quot;reference\&quot;:{\&quot;refType\&quot;:\&quot;REPORT_REF\&quot;,\&quot;title\&quot;:\&quot;Cost and affordability of pediatric Xpert MTB/RIF referrals in four major cities in India - an interim report.&lt;br&gt;\&quot;,\&quot;authors\&quot;:[{\&quot;lastName\&quot;:\&quot;Huddard\&quot;,\&quot;firstNames\&quot;:[\&quot;Sophie\&quot;],\&quot;rawName\&quot;:\&quot;Huddard, Sophie\&quot;},{\&quot;lastName\&quot;:\&quot;Sohn\&quot;,\&quot;firstNames\&quot;:[\&quot;Hojoon\&quot;],\&quot;rawName\&quot;:\&quot;Sohn, Hojoon\&quot;}],\&quot;publication\&quot;:{\&quot;title\&quot;:\&quot;Foundation for Innovative New Diagnostics\&quot;,\&quot;editors\&quot;:[]},\&quot;publicationDate\&quot;:{\&quot;date\&quot;:\&quot;2016\&quot;,\&quot;pretty\&quot;:\&quot;2016\&quot;,\&quot;prettyShort\&quot;:\&quot;2016\&quot;,\&quot;prettyLong\&quot;:\&quot;2016\&quot;,\&quot;year\&quot;:\&quot;2016\&quot;,\&quot;rawDate\&quot;:\&quot;2016\&quot;},\&quot;source\&quot;:{\&quot;isElectronic\&quot;:false,\&quot;disciplines\&quot;:[]},\&quot;tags\&quot;:[],\&quot;weight\&quot;:5},\&quot;id\&quot;:\&quot;doc:586711dae4b05e0ea062598f\&quot;,\&quot;pageReplace\&quot;:\&quot;\&quot;,\&quot;author\&quot;:true,\&quot;year\&quot;:true}],\&quot;position\&quot;:\&quot;body\&quot;}&quot;"/>
    <we:property name="cit:_1801216102" value="&quot;{\&quot;docs\&quot;:[{\&quot;reference\&quot;:{\&quot;refType\&quot;:\&quot;REPORT_REF\&quot;,\&quot;title\&quot;:\&quot;Cost and affordability of pediatric Xpert MTB/RIF referrals in four major cities in India - an interim report.&lt;br&gt;\&quot;,\&quot;authors\&quot;:[{\&quot;lastName\&quot;:\&quot;Huddard\&quot;,\&quot;firstNames\&quot;:[\&quot;Sophie\&quot;],\&quot;rawName\&quot;:\&quot;Huddard, Sophie\&quot;},{\&quot;lastName\&quot;:\&quot;Sohn\&quot;,\&quot;firstNames\&quot;:[\&quot;Hojoon\&quot;],\&quot;rawName\&quot;:\&quot;Sohn, Hojoon\&quot;}],\&quot;publication\&quot;:{\&quot;title\&quot;:\&quot;Foundation for Innovative New Diagnostics\&quot;,\&quot;editors\&quot;:[]},\&quot;publicationDate\&quot;:{\&quot;date\&quot;:\&quot;2016\&quot;,\&quot;pretty\&quot;:\&quot;2016\&quot;,\&quot;prettyShort\&quot;:\&quot;2016\&quot;,\&quot;prettyLong\&quot;:\&quot;2016\&quot;,\&quot;year\&quot;:\&quot;2016\&quot;,\&quot;rawDate\&quot;:\&quot;2016\&quot;},\&quot;source\&quot;:{\&quot;isElectronic\&quot;:false,\&quot;disciplines\&quot;:[]},\&quot;tags\&quot;:[],\&quot;weight\&quot;:5},\&quot;id\&quot;:\&quot;doc:586711dae4b05e0ea062598f\&quot;,\&quot;pageReplace\&quot;:\&quot;\&quot;,\&quot;author\&quot;:true,\&quot;year\&quot;:true}],\&quot;position\&quot;:\&quot;body\&quot;}&quot;"/>
    <we:property name="cit:_1193381351" value="&quot;{\&quot;docs\&quot;:[{\&quot;reference\&quot;:{\&quot;refType\&quot;:\&quot;JOURNAL_ARTICLE_REF\&quot;,\&quot;title\&quot;:\&quot;Rapid diagnosis of tuberculosis with the Xpert MTB/RIF assay in high burden countries: A cost-effectiveness analysis\&quot;,\&quot;authors\&quot;:[{\&quot;lastName\&quot;:\&quot;Vassall\&quot;,\&quot;firstNames\&quot;:[\&quot;Anna\&quot;]},{\&quot;lastName\&quot;:\&quot;van Kampen\&quot;,\&quot;firstNames\&quot;:[\&quot;Sanne\&quot;]},{\&quot;lastName\&quot;:\&quot;Sohn\&quot;,\&quot;firstNames\&quot;:[\&quot;Hojoon\&quot;]},{\&quot;lastName\&quot;:\&quot;Michael\&quot;,\&quot;firstNames\&quot;:[\&quot;Joy\&quot;,\&quot;S.\&quot;]},{\&quot;lastName\&quot;:\&quot;John\&quot;,\&quot;firstNames\&quot;:[\&quot;K.\&quot;,\&quot;R.\&quot;]},{\&quot;lastName\&quot;:\&quot;den Boon\&quot;,\&quot;firstNames\&quot;:[\&quot;Saskia\&quot;]},{\&quot;lastName\&quot;:\&quot;Davis\&quot;,\&quot;firstNames\&quot;:[\&quot;J.\&quot;,\&quot;Lucian\&quot;]},{\&quot;lastName\&quot;:\&quot;Whitelaw\&quot;,\&quot;firstNames\&quot;:[\&quot;Andrew\&quot;]},{\&quot;lastName\&quot;:\&quot;Nicol\&quot;,\&quot;firstNames\&quot;:[\&quot;Mark\&quot;,\&quot;P.\&quot;]},{\&quot;lastName\&quot;:\&quot;Gler\&quot;,\&quot;firstNames\&quot;:[\&quot;Maria\&quot;,\&quot;Tarcela\&quot;]},{\&quot;lastName\&quot;:\&quot;Khaliqov\&quot;,\&quot;firstNames\&quot;:[\&quot;Anar\&quot;]},{\&quot;lastName\&quot;:\&quot;Zamudio\&quot;,\&quot;firstNames\&quot;:[\&quot;Carlos\&quot;]},{\&quot;lastName\&quot;:\&quot;Perkins\&quot;,\&quot;firstNames\&quot;:[\&quot;Mark\&quot;,\&quot;D.\&quot;]},{\&quot;lastName\&quot;:\&quot;Boehme\&quot;,\&quot;firstNames\&quot;:[\&quot;Catharina\&quot;,\&quot;C.\&quot;]},{\&quot;lastName\&quot;:\&quot;Cobelens\&quot;,\&quot;firstNames\&quot;:[\&quot;Frank\&quot;]}],\&quot;abstr\&quot;:\&quot;BACKGROUND: Xpert MTB/RIF (Xpert) is a promising new rapid diagnostic technology for tuberculosis (TB) that has characteristics that suggest large-scale roll-out. However, because the test is expensive, there are concerns among TB program managers and policy makers regarding its affordability for low- and middle-income settings.\\\\n\\\\nMETHODS AND FINDINGS: We estimate the impact of the introduction of Xpert on the costs and cost-effectiveness of TB care using decision analytic modelling, comparing the introduction of Xpert to a base case of smear microscopy and clinical diagnosis in India, South Africa, and Uganda. The introduction of Xpert increases TB case finding in all three settings; from 72%-85% to 95%-99% of the cohort of individuals with suspected TB, compared to the base case. Diagnostic costs (including the costs of testing all individuals with suspected TB) also increase: from US$28-US$49 to US$133-US$146 and US$137-US$151 per TB case detected when Xpert is used \\\&quot;in addition to\\\&quot; and \\\&quot;as a replacement of\\\&quot; smear microscopy, respectively. The incremental cost effectiveness ratios (ICERs) for using Xpert \\\&quot;in addition to\\\&quot; smear microscopy, compared to the base case, range from US$41-$110 per disability adjusted life year (DALY) averted. Likewise the ICERS for using Xpert \\\&quot;as a replacement of\\\&quot; smear microscopy range from US$52-$138 per DALY averted. These ICERs are below the World Health Organization (WHO) willingness to pay threshold.\\\\n\\\\nCONCLUSIONS: Our results suggest that Xpert is a cost-effective method of TB diagnosis, compared to a base case of smear microscopy and clinical diagnosis of smear-negative TB in low- and middle-income settings where, with its ability to substantially increase case finding, it has important potential for improving TB diagnosis and control. The extent of cost-effectiveness gain to TB programmes from deploying Xpert is primarily dependent on current TB diagnostic practices. Further work is required during scale-up to validate these findings.\&quot;,\&quot;publication\&quot;:{\&quot;title\&quot;:\&quot;PLoS Medicine\&quot;,\&quot;editors\&quot;:[]},\&quot;publicationDate\&quot;:{\&quot;date\&quot;:\&quot;2011\&quot;,\&quot;pretty\&quot;:\&quot;2011\&quot;,\&quot;prettyShort\&quot;:\&quot;2011\&quot;,\&quot;prettyLong\&quot;:\&quot;2011\&quot;,\&quot;year\&quot;:\&quot;2011\&quot;,\&quot;rawDate\&quot;:\&quot;2011\&quot;},\&quot;series\&quot;:{\&quot;volume\&quot;:\&quot;8\&quot;,\&quot;issue\&quot;:\&quot;11\&quot;,\&quot;editors\&quot;:[]},\&quot;docIds\&quot;:{\&quot;pmid\&quot;:\&quot;22087078\&quot;},\&quot;source\&quot;:{\&quot;isElectronic\&quot;:false,\&quot;disciplines\&quot;:[]},\&quot;tags\&quot;:[],\&quot;weight\&quot;:12},\&quot;id\&quot;:\&quot;doc:58630a94e4b0d4428e590e2a\&quot;,\&quot;pageReplace\&quot;:\&quot;\&quot;,\&quot;author\&quot;:true,\&quot;year\&quot;:true}],\&quot;position\&quot;:\&quot;body\&quot;}&quot;"/>
    <we:property name="cit:_1078897746" value="&quot;{\&quot;docs\&quot;:[{\&quot;reference\&quot;:{\&quot;refType\&quot;:\&quot;REPORT_REF\&quot;,\&quot;title\&quot;:\&quot;Cost and affordability of pediatric Xpert MTB/RIF referrals in four major cities in India - an interim report.&lt;br&gt;\&quot;,\&quot;authors\&quot;:[{\&quot;lastName\&quot;:\&quot;Huddard\&quot;,\&quot;firstNames\&quot;:[\&quot;Sophie\&quot;],\&quot;rawName\&quot;:\&quot;Huddard, Sophie\&quot;},{\&quot;lastName\&quot;:\&quot;Sohn\&quot;,\&quot;firstNames\&quot;:[\&quot;Hojoon\&quot;],\&quot;rawName\&quot;:\&quot;Sohn, Hojoon\&quot;}],\&quot;publication\&quot;:{\&quot;title\&quot;:\&quot;Foundation for Innovative New Diagnostics\&quot;,\&quot;editors\&quot;:[]},\&quot;publicationDate\&quot;:{\&quot;date\&quot;:\&quot;2016\&quot;,\&quot;pretty\&quot;:\&quot;2016\&quot;,\&quot;prettyShort\&quot;:\&quot;2016\&quot;,\&quot;prettyLong\&quot;:\&quot;2016\&quot;,\&quot;year\&quot;:\&quot;2016\&quot;,\&quot;rawDate\&quot;:\&quot;2016\&quot;},\&quot;source\&quot;:{\&quot;isElectronic\&quot;:false,\&quot;disciplines\&quot;:[]},\&quot;tags\&quot;:[],\&quot;weight\&quot;:5},\&quot;id\&quot;:\&quot;doc:586711dae4b05e0ea062598f\&quot;,\&quot;pageReplace\&quot;:\&quot;\&quot;,\&quot;author\&quot;:true,\&quot;year\&quot;:true}],\&quot;position\&quot;:\&quot;body\&quot;}&quot;"/>
    <we:property name="cit:830873548" value="&quot;{\&quot;docs\&quot;:[{\&quot;reference\&quot;:{\&quot;refType\&quot;:\&quot;REPORT_REF\&quot;,\&quot;title\&quot;:\&quot;Cost and affordability of pediatric Xpert MTB/RIF referrals in four major cities in India - an interim report.&lt;br&gt;\&quot;,\&quot;authors\&quot;:[{\&quot;lastName\&quot;:\&quot;Huddard\&quot;,\&quot;firstNames\&quot;:[\&quot;Sophie\&quot;],\&quot;rawName\&quot;:\&quot;Huddard, Sophie\&quot;},{\&quot;lastName\&quot;:\&quot;Sohn\&quot;,\&quot;firstNames\&quot;:[\&quot;Hojoon\&quot;],\&quot;rawName\&quot;:\&quot;Sohn, Hojoon\&quot;}],\&quot;publication\&quot;:{\&quot;title\&quot;:\&quot;Foundation for Innovative New Diagnostics\&quot;,\&quot;editors\&quot;:[]},\&quot;publicationDate\&quot;:{\&quot;date\&quot;:\&quot;2016\&quot;,\&quot;pretty\&quot;:\&quot;2016\&quot;,\&quot;prettyShort\&quot;:\&quot;2016\&quot;,\&quot;prettyLong\&quot;:\&quot;2016\&quot;,\&quot;year\&quot;:\&quot;2016\&quot;,\&quot;rawDate\&quot;:\&quot;2016\&quot;},\&quot;source\&quot;:{\&quot;isElectronic\&quot;:false,\&quot;disciplines\&quot;:[]},\&quot;tags\&quot;:[],\&quot;weight\&quot;:5},\&quot;id\&quot;:\&quot;doc:586711dae4b05e0ea062598f\&quot;,\&quot;pageReplace\&quot;:\&quot;\&quot;,\&quot;author\&quot;:true,\&quot;year\&quot;:true}],\&quot;position\&quot;:\&quot;body\&quot;}&quot;"/>
    <we:property name="cit:324323728" value="&quot;{\&quot;docs\&quot;:[{\&quot;reference\&quot;:{\&quot;refType\&quot;:\&quot;REPORT_REF\&quot;,\&quot;title\&quot;:\&quot;Cost and affordability of pediatric Xpert MTB/RIF referrals in four major cities in India - an interim report.&lt;br&gt;\&quot;,\&quot;authors\&quot;:[{\&quot;lastName\&quot;:\&quot;Huddard\&quot;,\&quot;firstNames\&quot;:[\&quot;Sophie\&quot;],\&quot;rawName\&quot;:\&quot;Huddard, Sophie\&quot;},{\&quot;lastName\&quot;:\&quot;Sohn\&quot;,\&quot;firstNames\&quot;:[\&quot;Hojoon\&quot;],\&quot;rawName\&quot;:\&quot;Sohn, Hojoon\&quot;}],\&quot;publication\&quot;:{\&quot;title\&quot;:\&quot;Foundation for Innovative New Diagnostics\&quot;,\&quot;editors\&quot;:[]},\&quot;publicationDate\&quot;:{\&quot;date\&quot;:\&quot;2016\&quot;,\&quot;pretty\&quot;:\&quot;2016\&quot;,\&quot;prettyShort\&quot;:\&quot;2016\&quot;,\&quot;prettyLong\&quot;:\&quot;2016\&quot;,\&quot;year\&quot;:\&quot;2016\&quot;,\&quot;rawDate\&quot;:\&quot;2016\&quot;},\&quot;source\&quot;:{\&quot;isElectronic\&quot;:false,\&quot;disciplines\&quot;:[]},\&quot;tags\&quot;:[],\&quot;weight\&quot;:5},\&quot;id\&quot;:\&quot;doc:586711dae4b05e0ea062598f\&quot;,\&quot;pageReplace\&quot;:\&quot;\&quot;,\&quot;author\&quot;:true,\&quot;year\&quot;:true}],\&quot;position\&quot;:\&quot;body\&quot;}&quot;"/>
    <we:property name="cit:285004532" value="&quot;{\&quot;docs\&quot;:[{\&quot;reference\&quot;:{\&quot;refType\&quot;:\&quot;REPORT_REF\&quot;,\&quot;title\&quot;:\&quot;Cost and affordability of pediatric Xpert MTB/RIF referrals in four major cities in India - an interim report.&lt;br&gt;\&quot;,\&quot;authors\&quot;:[{\&quot;lastName\&quot;:\&quot;Huddard\&quot;,\&quot;firstNames\&quot;:[\&quot;Sophie\&quot;],\&quot;rawName\&quot;:\&quot;Huddard, Sophie\&quot;},{\&quot;lastName\&quot;:\&quot;Sohn\&quot;,\&quot;firstNames\&quot;:[\&quot;Hojoon\&quot;],\&quot;rawName\&quot;:\&quot;Sohn, Hojoon\&quot;}],\&quot;publication\&quot;:{\&quot;title\&quot;:\&quot;Foundation for Innovative New Diagnostics\&quot;,\&quot;editors\&quot;:[]},\&quot;publicationDate\&quot;:{\&quot;date\&quot;:\&quot;2016\&quot;,\&quot;pretty\&quot;:\&quot;2016\&quot;,\&quot;prettyShort\&quot;:\&quot;2016\&quot;,\&quot;prettyLong\&quot;:\&quot;2016\&quot;,\&quot;year\&quot;:\&quot;2016\&quot;,\&quot;rawDate\&quot;:\&quot;2016\&quot;},\&quot;source\&quot;:{\&quot;isElectronic\&quot;:false,\&quot;disciplines\&quot;:[]},\&quot;tags\&quot;:[],\&quot;weight\&quot;:5},\&quot;id\&quot;:\&quot;doc:586711dae4b05e0ea062598f\&quot;,\&quot;pageReplace\&quot;:\&quot;\&quot;,\&quot;author\&quot;:true,\&quot;year\&quot;:true}],\&quot;position\&quot;:\&quot;body\&quot;}&quot;"/>
    <we:property name="cit:2028674167" value="&quot;{\&quot;docs\&quot;:[{\&quot;reference\&quot;:{\&quot;refType\&quot;:\&quot;REPORT_REF\&quot;,\&quot;title\&quot;:\&quot;Cost and affordability of pediatric Xpert MTB/RIF referrals in four major cities in India - an interim report.&lt;br&gt;\&quot;,\&quot;authors\&quot;:[{\&quot;lastName\&quot;:\&quot;Huddard\&quot;,\&quot;firstNames\&quot;:[\&quot;Sophie\&quot;],\&quot;rawName\&quot;:\&quot;Huddard, Sophie\&quot;},{\&quot;lastName\&quot;:\&quot;Sohn\&quot;,\&quot;firstNames\&quot;:[\&quot;Hojoon\&quot;],\&quot;rawName\&quot;:\&quot;Sohn, Hojoon\&quot;}],\&quot;publication\&quot;:{\&quot;title\&quot;:\&quot;Foundation for Innovative New Diagnostics\&quot;,\&quot;editors\&quot;:[]},\&quot;publicationDate\&quot;:{\&quot;date\&quot;:\&quot;2016\&quot;,\&quot;pretty\&quot;:\&quot;2016\&quot;,\&quot;prettyShort\&quot;:\&quot;2016\&quot;,\&quot;prettyLong\&quot;:\&quot;2016\&quot;,\&quot;year\&quot;:\&quot;2016\&quot;,\&quot;rawDate\&quot;:\&quot;2016\&quot;},\&quot;source\&quot;:{\&quot;isElectronic\&quot;:false,\&quot;disciplines\&quot;:[]},\&quot;tags\&quot;:[],\&quot;weight\&quot;:5},\&quot;id\&quot;:\&quot;doc:586711dae4b05e0ea062598f\&quot;,\&quot;pageReplace\&quot;:\&quot;\&quot;,\&quot;author\&quot;:true,\&quot;year\&quot;:true}],\&quot;position\&quot;:\&quot;body\&quot;}&quot;"/>
    <we:property name="biblioId" value="-1362121746"/>
    <we:property name="contentControlsValues" value="&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4EBD9-F14B-432A-B02C-66DF2402C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35</Pages>
  <Words>16871</Words>
  <Characters>96171</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Hojoon Sohn</dc:creator>
  <cp:keywords/>
  <dc:description/>
  <cp:lastModifiedBy>Hojoon Sohn</cp:lastModifiedBy>
  <cp:revision>3</cp:revision>
  <dcterms:created xsi:type="dcterms:W3CDTF">2019-07-01T02:20:00Z</dcterms:created>
  <dcterms:modified xsi:type="dcterms:W3CDTF">2019-07-01T04:04:00Z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131be514-8b55-304a-8e49-7999fd25675b</vt:lpwstr>
  </property>
  <property fmtid="{D5CDD505-2E9C-101B-9397-08002B2CF9AE}" pid="4" name="Mendeley Citation Style_1">
    <vt:lpwstr>http://www.zotero.org/styles/springer-vancouver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http://csl.mendeley.com/styles/126499921/american-medical-association-CV</vt:lpwstr>
  </property>
  <property fmtid="{D5CDD505-2E9C-101B-9397-08002B2CF9AE}" pid="8" name="Mendeley Recent Style Name 1_1">
    <vt:lpwstr>American Medical Association - Hojoon Sohn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http://www.zotero.org/styles/springer-vancouver</vt:lpwstr>
  </property>
  <property fmtid="{D5CDD505-2E9C-101B-9397-08002B2CF9AE}" pid="20" name="Mendeley Recent Style Name 7_1">
    <vt:lpwstr>Springer - Vancouver</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http://csl.mendeley.com/styles/126499921/vancouver</vt:lpwstr>
  </property>
  <property fmtid="{D5CDD505-2E9C-101B-9397-08002B2CF9AE}" pid="24" name="Mendeley Recent Style Name 9_1">
    <vt:lpwstr>Vancouver - Hojoon Sohn_IJTLD</vt:lpwstr>
  </property>
</Properties>
</file>