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1E" w:rsidRDefault="00BB1A1E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  <w:bookmarkStart w:id="0" w:name="_GoBack"/>
      <w:bookmarkEnd w:id="0"/>
    </w:p>
    <w:p w:rsidR="00BB1A1E" w:rsidRPr="00EB5B38" w:rsidRDefault="00BB1A1E" w:rsidP="00C42B4A">
      <w:pPr>
        <w:ind w:left="-1276"/>
        <w:rPr>
          <w:rFonts w:ascii="Arial Narrow" w:hAnsi="Arial Narrow"/>
          <w:noProof/>
          <w:sz w:val="20"/>
          <w:szCs w:val="20"/>
          <w:lang w:val="en-US" w:eastAsia="es-MX"/>
        </w:rPr>
      </w:pPr>
      <w:r w:rsidRPr="00EB5B38">
        <w:rPr>
          <w:rFonts w:ascii="Arial Narrow" w:hAnsi="Arial Narrow"/>
          <w:noProof/>
          <w:sz w:val="20"/>
          <w:szCs w:val="20"/>
          <w:lang w:val="en-US" w:eastAsia="es-MX"/>
        </w:rPr>
        <w:t xml:space="preserve">          </w:t>
      </w:r>
    </w:p>
    <w:p w:rsidR="00BB1A1E" w:rsidRDefault="00BB1A1E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  <w:r w:rsidRPr="00EB5B38">
        <w:rPr>
          <w:rFonts w:ascii="Arial Narrow" w:hAnsi="Arial Narrow"/>
          <w:noProof/>
          <w:sz w:val="20"/>
          <w:szCs w:val="20"/>
          <w:lang w:val="en-US" w:eastAsia="es-MX"/>
        </w:rPr>
        <w:t xml:space="preserve">   </w:t>
      </w:r>
      <w:r>
        <w:rPr>
          <w:rFonts w:ascii="Arial Narrow" w:hAnsi="Arial Narrow"/>
          <w:noProof/>
          <w:sz w:val="20"/>
          <w:szCs w:val="20"/>
          <w:lang w:val="es-MX" w:eastAsia="es-MX"/>
        </w:rPr>
        <w:drawing>
          <wp:inline distT="0" distB="0" distL="0" distR="0" wp14:anchorId="381F3490">
            <wp:extent cx="2804160" cy="2430780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  <w:lang w:val="en-US"/>
        </w:rPr>
        <w:t xml:space="preserve">                                           </w:t>
      </w:r>
      <w:r>
        <w:rPr>
          <w:rFonts w:ascii="Arial Narrow" w:hAnsi="Arial Narrow"/>
          <w:noProof/>
          <w:sz w:val="20"/>
          <w:szCs w:val="20"/>
          <w:lang w:val="es-MX" w:eastAsia="es-MX"/>
        </w:rPr>
        <w:drawing>
          <wp:inline distT="0" distB="0" distL="0" distR="0" wp14:anchorId="22357852">
            <wp:extent cx="2034540" cy="4290060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29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A1E" w:rsidRDefault="00BB1A1E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</w:p>
    <w:p w:rsidR="00BB1A1E" w:rsidRDefault="00EB5B38" w:rsidP="00EB5B38">
      <w:pPr>
        <w:ind w:left="-1276"/>
        <w:jc w:val="both"/>
        <w:rPr>
          <w:rFonts w:ascii="Arial Narrow" w:hAnsi="Arial Narrow"/>
          <w:sz w:val="20"/>
          <w:szCs w:val="20"/>
          <w:lang w:val="en-US"/>
        </w:rPr>
      </w:pPr>
      <w:proofErr w:type="gramStart"/>
      <w:r w:rsidRPr="00EB5B38">
        <w:rPr>
          <w:rFonts w:ascii="Arial Narrow" w:hAnsi="Arial Narrow"/>
          <w:b/>
          <w:sz w:val="20"/>
          <w:szCs w:val="20"/>
          <w:lang w:val="en-US"/>
        </w:rPr>
        <w:t>SUPPLEMENTARY FIGURE 1</w:t>
      </w:r>
      <w:r w:rsidRPr="00BB1A1E">
        <w:rPr>
          <w:rFonts w:ascii="Arial Narrow" w:hAnsi="Arial Narrow"/>
          <w:sz w:val="20"/>
          <w:szCs w:val="20"/>
          <w:lang w:val="en-US"/>
        </w:rPr>
        <w:t>.</w:t>
      </w:r>
      <w:proofErr w:type="gramEnd"/>
      <w:r w:rsidRPr="00BB1A1E">
        <w:rPr>
          <w:rFonts w:ascii="Arial Narrow" w:hAnsi="Arial Narrow"/>
          <w:sz w:val="20"/>
          <w:szCs w:val="20"/>
          <w:lang w:val="en-US"/>
        </w:rPr>
        <w:t xml:space="preserve"> </w:t>
      </w:r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Multiplex PCR reaction for twenty one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sY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>-</w:t>
      </w:r>
      <w:proofErr w:type="gramStart"/>
      <w:r w:rsidR="00BB1A1E" w:rsidRPr="00BB1A1E">
        <w:rPr>
          <w:rFonts w:ascii="Arial Narrow" w:hAnsi="Arial Narrow"/>
          <w:sz w:val="20"/>
          <w:szCs w:val="20"/>
          <w:lang w:val="en-US"/>
        </w:rPr>
        <w:t>loci belonging</w:t>
      </w:r>
      <w:proofErr w:type="gram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to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AZFa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AZFb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and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AZFc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regions; each multiplex reactions including control markers for ZFX/Y, SRY and DMD genes. The location and molecular weight of each amplicon is indicated in the attached table. The sY160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hetrerocromatin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marker (Yq12) was amplified separately (236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bp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). The analyzed STS included the six non-polymorphic markers from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AZFa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(sY84, sY86),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AZFb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(sY127, sY134) and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AZFc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(sY254, sY255) recommended as STS basic set for screening of Y-chromosomal microdeletions in a clinical setting (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Krausz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C (2014), et al. Andrology;2(1):5-19). Employed PCR conditions and primers for multiplexing are available upon request. Lane 1: the present patient with deletion of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Yq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; lane NL: normal control male; lane DEL: control male with a known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AZFbc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deletion; lane (-): negative control. SM: Size marker, 100 base pair DNA Ladder. Note that the patient does not show any marker for the three AZF regions; instead control fragments of </w:t>
      </w:r>
      <w:r w:rsidR="00BB1A1E" w:rsidRPr="00D30A67">
        <w:rPr>
          <w:rFonts w:ascii="Arial Narrow" w:hAnsi="Arial Narrow"/>
          <w:i/>
          <w:sz w:val="20"/>
          <w:szCs w:val="20"/>
          <w:lang w:val="en-US"/>
        </w:rPr>
        <w:t>ZFX/Y</w:t>
      </w:r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, </w:t>
      </w:r>
      <w:r w:rsidR="00BB1A1E" w:rsidRPr="00D30A67">
        <w:rPr>
          <w:rFonts w:ascii="Arial Narrow" w:hAnsi="Arial Narrow"/>
          <w:i/>
          <w:sz w:val="20"/>
          <w:szCs w:val="20"/>
          <w:lang w:val="en-US"/>
        </w:rPr>
        <w:t>SRY</w:t>
      </w:r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and </w:t>
      </w:r>
      <w:r w:rsidR="00BB1A1E" w:rsidRPr="00D30A67">
        <w:rPr>
          <w:rFonts w:ascii="Arial Narrow" w:hAnsi="Arial Narrow"/>
          <w:i/>
          <w:sz w:val="20"/>
          <w:szCs w:val="20"/>
          <w:lang w:val="en-US"/>
        </w:rPr>
        <w:t>DMD</w:t>
      </w:r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gene-derived amplicons were present. These results along with the absence of the heterochromatin marker </w:t>
      </w:r>
      <w:proofErr w:type="gramStart"/>
      <w:r w:rsidR="00BB1A1E" w:rsidRPr="00BB1A1E">
        <w:rPr>
          <w:rFonts w:ascii="Arial Narrow" w:hAnsi="Arial Narrow"/>
          <w:sz w:val="20"/>
          <w:szCs w:val="20"/>
          <w:lang w:val="en-US"/>
        </w:rPr>
        <w:t>sY160,</w:t>
      </w:r>
      <w:proofErr w:type="gram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are accordingly with a </w:t>
      </w:r>
      <w:proofErr w:type="spellStart"/>
      <w:r w:rsidR="00BB1A1E" w:rsidRPr="00BB1A1E">
        <w:rPr>
          <w:rFonts w:ascii="Arial Narrow" w:hAnsi="Arial Narrow"/>
          <w:sz w:val="20"/>
          <w:szCs w:val="20"/>
          <w:lang w:val="en-US"/>
        </w:rPr>
        <w:t>AZFabc</w:t>
      </w:r>
      <w:proofErr w:type="spell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terminal deletion in our patient.</w:t>
      </w:r>
    </w:p>
    <w:p w:rsidR="00BB1A1E" w:rsidRDefault="00BB1A1E" w:rsidP="00EB5B38">
      <w:pPr>
        <w:ind w:left="-1276"/>
        <w:jc w:val="both"/>
        <w:rPr>
          <w:rFonts w:ascii="Arial Narrow" w:hAnsi="Arial Narrow"/>
          <w:sz w:val="20"/>
          <w:szCs w:val="20"/>
          <w:lang w:val="en-US"/>
        </w:rPr>
      </w:pPr>
    </w:p>
    <w:p w:rsidR="00BB1A1E" w:rsidRDefault="00BB1A1E" w:rsidP="00EB5B38">
      <w:pPr>
        <w:ind w:left="-1276"/>
        <w:jc w:val="center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70AA9CDE">
            <wp:extent cx="5608320" cy="2316480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A1E" w:rsidRDefault="00BB1A1E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</w:p>
    <w:p w:rsidR="00BB1A1E" w:rsidRDefault="00EB5B38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  <w:proofErr w:type="gramStart"/>
      <w:r w:rsidRPr="00EB5B38">
        <w:rPr>
          <w:rFonts w:ascii="Arial Narrow" w:hAnsi="Arial Narrow"/>
          <w:b/>
          <w:sz w:val="20"/>
          <w:szCs w:val="20"/>
          <w:lang w:val="en-US"/>
        </w:rPr>
        <w:t>SUPPLEMENTARY FIGURE 2.</w:t>
      </w:r>
      <w:proofErr w:type="gramEnd"/>
      <w:r w:rsidRPr="00BB1A1E">
        <w:rPr>
          <w:rFonts w:ascii="Arial Narrow" w:hAnsi="Arial Narrow"/>
          <w:sz w:val="20"/>
          <w:szCs w:val="20"/>
          <w:lang w:val="en-US"/>
        </w:rPr>
        <w:t xml:space="preserve"> </w:t>
      </w:r>
      <w:r w:rsidR="00BB1A1E" w:rsidRPr="00BB1A1E">
        <w:rPr>
          <w:rFonts w:ascii="Arial Narrow" w:hAnsi="Arial Narrow"/>
          <w:sz w:val="20"/>
          <w:szCs w:val="20"/>
          <w:lang w:val="en-US"/>
        </w:rPr>
        <w:t>G-band karyotype of peripheral lymphocytes from the patient’s mother (A) and father (B), showing no numerical or structural anomalies, at 450 GTG bands.</w:t>
      </w:r>
    </w:p>
    <w:p w:rsidR="00BB1A1E" w:rsidRDefault="00BB1A1E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</w:p>
    <w:p w:rsidR="00BB1A1E" w:rsidRDefault="00BB1A1E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</w:p>
    <w:p w:rsidR="00BB1A1E" w:rsidRDefault="00BB1A1E" w:rsidP="00EB5B38">
      <w:pPr>
        <w:ind w:left="-1276"/>
        <w:jc w:val="center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w:drawing>
          <wp:inline distT="0" distB="0" distL="0" distR="0" wp14:anchorId="6EA613CB">
            <wp:extent cx="5608320" cy="23622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A1E" w:rsidRDefault="00BB1A1E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</w:p>
    <w:p w:rsidR="00BB1A1E" w:rsidRPr="00BB1A1E" w:rsidRDefault="00EB5B38" w:rsidP="00EB5B38">
      <w:pPr>
        <w:ind w:left="-1276"/>
        <w:rPr>
          <w:rFonts w:ascii="Arial Narrow" w:hAnsi="Arial Narrow"/>
          <w:sz w:val="20"/>
          <w:szCs w:val="20"/>
          <w:lang w:val="en-US"/>
        </w:rPr>
      </w:pPr>
      <w:proofErr w:type="gramStart"/>
      <w:r w:rsidRPr="00EB5B38">
        <w:rPr>
          <w:rFonts w:ascii="Arial Narrow" w:hAnsi="Arial Narrow"/>
          <w:b/>
          <w:sz w:val="20"/>
          <w:szCs w:val="20"/>
          <w:lang w:val="en-US"/>
        </w:rPr>
        <w:t>SUPPLEMENTARY FIGURE 3</w:t>
      </w:r>
      <w:r w:rsidR="00BB1A1E" w:rsidRPr="00BB1A1E">
        <w:rPr>
          <w:rFonts w:ascii="Arial Narrow" w:hAnsi="Arial Narrow"/>
          <w:sz w:val="20"/>
          <w:szCs w:val="20"/>
          <w:lang w:val="en-US"/>
        </w:rPr>
        <w:t>.</w:t>
      </w:r>
      <w:proofErr w:type="gram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="00BB1A1E" w:rsidRPr="00BB1A1E">
        <w:rPr>
          <w:rFonts w:ascii="Arial Narrow" w:hAnsi="Arial Narrow"/>
          <w:sz w:val="20"/>
          <w:szCs w:val="20"/>
          <w:lang w:val="en-US"/>
        </w:rPr>
        <w:t>Chromosome painting of chromosome 17 in patient’s mother (A) and father (B), dismissing any balanced structural rearrangement.</w:t>
      </w:r>
      <w:proofErr w:type="gramEnd"/>
      <w:r w:rsidR="00BB1A1E" w:rsidRPr="00BB1A1E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BB1A1E" w:rsidRDefault="00BB1A1E" w:rsidP="00EB5B38">
      <w:pPr>
        <w:ind w:left="-1276"/>
        <w:jc w:val="center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42A6CF99">
            <wp:extent cx="5608320" cy="31318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B38" w:rsidRDefault="00EB5B38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</w:p>
    <w:p w:rsidR="00EB5B38" w:rsidRDefault="00EB5B38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  <w:proofErr w:type="gramStart"/>
      <w:r w:rsidRPr="00EB5B38">
        <w:rPr>
          <w:rFonts w:ascii="Arial Narrow" w:hAnsi="Arial Narrow"/>
          <w:b/>
          <w:sz w:val="20"/>
          <w:szCs w:val="20"/>
          <w:lang w:val="en-US"/>
        </w:rPr>
        <w:t>SUPPLEMENTARY FIGURE 4.</w:t>
      </w:r>
      <w:proofErr w:type="gramEnd"/>
      <w:r w:rsidRPr="00EB5B38">
        <w:rPr>
          <w:rFonts w:ascii="Arial Narrow" w:hAnsi="Arial Narrow"/>
          <w:sz w:val="20"/>
          <w:szCs w:val="20"/>
          <w:lang w:val="en-US"/>
        </w:rPr>
        <w:t xml:space="preserve"> MLPA for Charcot Marie Tooth 1A region, (SALSA® MLPA® </w:t>
      </w:r>
      <w:proofErr w:type="spellStart"/>
      <w:r w:rsidRPr="00EB5B38">
        <w:rPr>
          <w:rFonts w:ascii="Arial Narrow" w:hAnsi="Arial Narrow"/>
          <w:sz w:val="20"/>
          <w:szCs w:val="20"/>
          <w:lang w:val="en-US"/>
        </w:rPr>
        <w:t>probemixes</w:t>
      </w:r>
      <w:proofErr w:type="spellEnd"/>
      <w:r w:rsidRPr="00EB5B38">
        <w:rPr>
          <w:rFonts w:ascii="Arial Narrow" w:hAnsi="Arial Narrow"/>
          <w:sz w:val="20"/>
          <w:szCs w:val="20"/>
          <w:lang w:val="en-US"/>
        </w:rPr>
        <w:t xml:space="preserve"> PO33-B3 CMT1, MRC-Holland, MLPA™ ) in patient’s mother (A) and father (B), showing normal doses for </w:t>
      </w:r>
      <w:r w:rsidRPr="00D30A67">
        <w:rPr>
          <w:rFonts w:ascii="Arial Narrow" w:hAnsi="Arial Narrow"/>
          <w:i/>
          <w:sz w:val="20"/>
          <w:szCs w:val="20"/>
          <w:lang w:val="en-US"/>
        </w:rPr>
        <w:t>PMP22</w:t>
      </w:r>
      <w:r w:rsidRPr="00EB5B38">
        <w:rPr>
          <w:rFonts w:ascii="Arial Narrow" w:hAnsi="Arial Narrow"/>
          <w:sz w:val="20"/>
          <w:szCs w:val="20"/>
          <w:lang w:val="en-US"/>
        </w:rPr>
        <w:t xml:space="preserve"> gene and other </w:t>
      </w:r>
      <w:r w:rsidR="00D30A67" w:rsidRPr="00EB5B38">
        <w:rPr>
          <w:rFonts w:ascii="Arial Narrow" w:hAnsi="Arial Narrow"/>
          <w:sz w:val="20"/>
          <w:szCs w:val="20"/>
          <w:lang w:val="en-US"/>
        </w:rPr>
        <w:t>17p12 region-related loci</w:t>
      </w:r>
      <w:r w:rsidRPr="00EB5B38">
        <w:rPr>
          <w:rFonts w:ascii="Arial Narrow" w:hAnsi="Arial Narrow"/>
          <w:sz w:val="20"/>
          <w:szCs w:val="20"/>
          <w:lang w:val="en-US"/>
        </w:rPr>
        <w:t>.</w:t>
      </w:r>
    </w:p>
    <w:p w:rsidR="00EB5B38" w:rsidRDefault="00EB5B38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</w:p>
    <w:p w:rsidR="00EB5B38" w:rsidRDefault="00EB5B38" w:rsidP="00EB5B38">
      <w:pPr>
        <w:ind w:left="-1276"/>
        <w:jc w:val="center"/>
        <w:rPr>
          <w:rFonts w:ascii="Arial Narrow" w:hAnsi="Arial Narrow"/>
          <w:sz w:val="20"/>
          <w:szCs w:val="20"/>
          <w:lang w:val="en-US"/>
        </w:rPr>
      </w:pPr>
      <w:r w:rsidRPr="00EB5B38">
        <w:rPr>
          <w:noProof/>
          <w:lang w:val="es-MX" w:eastAsia="es-MX"/>
        </w:rPr>
        <w:drawing>
          <wp:inline distT="0" distB="0" distL="0" distR="0">
            <wp:extent cx="5610225" cy="16097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38" w:rsidRPr="00EB5B38" w:rsidRDefault="00EB5B38" w:rsidP="00EB5B38">
      <w:pPr>
        <w:ind w:left="-1276"/>
        <w:rPr>
          <w:rFonts w:ascii="Arial Narrow" w:hAnsi="Arial Narrow"/>
          <w:sz w:val="20"/>
          <w:szCs w:val="20"/>
          <w:lang w:val="en-US"/>
        </w:rPr>
      </w:pPr>
      <w:proofErr w:type="gramStart"/>
      <w:r w:rsidRPr="00EB5B38">
        <w:rPr>
          <w:rFonts w:ascii="Arial Narrow" w:hAnsi="Arial Narrow"/>
          <w:b/>
          <w:sz w:val="20"/>
          <w:szCs w:val="20"/>
          <w:lang w:val="en-US"/>
        </w:rPr>
        <w:t>SUPPLEMENTARY FIGURE 5.</w:t>
      </w:r>
      <w:proofErr w:type="gramEnd"/>
      <w:r w:rsidRPr="00EB5B38">
        <w:rPr>
          <w:rFonts w:ascii="Arial Narrow" w:hAnsi="Arial Narrow"/>
          <w:sz w:val="20"/>
          <w:szCs w:val="20"/>
          <w:lang w:val="en-US"/>
        </w:rPr>
        <w:t xml:space="preserve"> Informative genotypes for the </w:t>
      </w:r>
      <w:proofErr w:type="spellStart"/>
      <w:r w:rsidRPr="00EB5B38">
        <w:rPr>
          <w:rFonts w:ascii="Arial Narrow" w:hAnsi="Arial Narrow"/>
          <w:sz w:val="20"/>
          <w:szCs w:val="20"/>
          <w:lang w:val="en-US"/>
        </w:rPr>
        <w:t>tetranucleotide</w:t>
      </w:r>
      <w:proofErr w:type="spellEnd"/>
      <w:r w:rsidRPr="00EB5B38">
        <w:rPr>
          <w:rFonts w:ascii="Arial Narrow" w:hAnsi="Arial Narrow"/>
          <w:sz w:val="20"/>
          <w:szCs w:val="20"/>
          <w:lang w:val="en-US"/>
        </w:rPr>
        <w:t xml:space="preserve"> STR marker, </w:t>
      </w:r>
      <w:r w:rsidRPr="00741825">
        <w:rPr>
          <w:rFonts w:ascii="Arial Narrow" w:hAnsi="Arial Narrow"/>
          <w:i/>
          <w:sz w:val="20"/>
          <w:szCs w:val="20"/>
          <w:lang w:val="en-US"/>
        </w:rPr>
        <w:t>D17S2226</w:t>
      </w:r>
      <w:r w:rsidRPr="00EB5B38">
        <w:rPr>
          <w:rFonts w:ascii="Arial Narrow" w:hAnsi="Arial Narrow"/>
          <w:sz w:val="20"/>
          <w:szCs w:val="20"/>
          <w:lang w:val="en-US"/>
        </w:rPr>
        <w:t xml:space="preserve">, in A) the index case (6/12 repeats) and B) his mother (5/12 repeats) and C) his father (6/6 repeats). The index case exhibits an increase in the peak corresponding to the maternally derived 12-repeat allele (estimated dosage ratio: 1.7:1.0), indicating that the 17p12 de novo duplication is of maternal origin. </w:t>
      </w:r>
    </w:p>
    <w:p w:rsidR="00EB5B38" w:rsidRDefault="00EB5B38" w:rsidP="00EB5B38">
      <w:pPr>
        <w:ind w:left="-1276"/>
        <w:rPr>
          <w:rFonts w:ascii="Arial Narrow" w:hAnsi="Arial Narrow"/>
          <w:sz w:val="20"/>
          <w:szCs w:val="20"/>
          <w:lang w:val="en-US"/>
        </w:rPr>
      </w:pPr>
    </w:p>
    <w:p w:rsidR="00EB5B38" w:rsidRPr="00EB5B38" w:rsidRDefault="00EB5B38" w:rsidP="00EB5B38">
      <w:pPr>
        <w:ind w:left="-1276"/>
        <w:rPr>
          <w:rFonts w:ascii="Arial Narrow" w:hAnsi="Arial Narrow"/>
          <w:sz w:val="20"/>
          <w:szCs w:val="20"/>
          <w:lang w:val="en-US"/>
        </w:rPr>
      </w:pPr>
      <w:proofErr w:type="gramStart"/>
      <w:r w:rsidRPr="00EB5B38">
        <w:rPr>
          <w:rFonts w:ascii="Arial Narrow" w:hAnsi="Arial Narrow"/>
          <w:sz w:val="20"/>
          <w:szCs w:val="20"/>
          <w:lang w:val="en-US"/>
        </w:rPr>
        <w:t>REFERENCE.</w:t>
      </w:r>
      <w:proofErr w:type="gramEnd"/>
    </w:p>
    <w:p w:rsidR="00EB5B38" w:rsidRPr="00EB5B38" w:rsidRDefault="00EB5B38" w:rsidP="00EB5B38">
      <w:pPr>
        <w:ind w:left="-1276"/>
        <w:rPr>
          <w:rFonts w:ascii="Arial Narrow" w:hAnsi="Arial Narrow"/>
          <w:sz w:val="20"/>
          <w:szCs w:val="20"/>
          <w:lang w:val="en-US"/>
        </w:rPr>
      </w:pPr>
      <w:proofErr w:type="spellStart"/>
      <w:r w:rsidRPr="00EB5B38">
        <w:rPr>
          <w:rFonts w:ascii="Arial Narrow" w:hAnsi="Arial Narrow"/>
          <w:sz w:val="20"/>
          <w:szCs w:val="20"/>
          <w:lang w:val="en-US"/>
        </w:rPr>
        <w:t>Krausz</w:t>
      </w:r>
      <w:proofErr w:type="spellEnd"/>
      <w:r w:rsidRPr="00EB5B38">
        <w:rPr>
          <w:rFonts w:ascii="Arial Narrow" w:hAnsi="Arial Narrow"/>
          <w:sz w:val="20"/>
          <w:szCs w:val="20"/>
          <w:lang w:val="en-US"/>
        </w:rPr>
        <w:t xml:space="preserve"> C et al., 2014. “EAA/EMQN best practice guidelines for molecular diagnosis of Y chromosomal microdeletions: state-of-the-art.” </w:t>
      </w:r>
      <w:proofErr w:type="gramStart"/>
      <w:r w:rsidRPr="00EB5B38">
        <w:rPr>
          <w:rFonts w:ascii="Arial Narrow" w:hAnsi="Arial Narrow"/>
          <w:sz w:val="20"/>
          <w:szCs w:val="20"/>
          <w:lang w:val="en-US"/>
        </w:rPr>
        <w:t>Andrology ;2</w:t>
      </w:r>
      <w:proofErr w:type="gramEnd"/>
      <w:r w:rsidRPr="00EB5B38">
        <w:rPr>
          <w:rFonts w:ascii="Arial Narrow" w:hAnsi="Arial Narrow"/>
          <w:sz w:val="20"/>
          <w:szCs w:val="20"/>
          <w:lang w:val="en-US"/>
        </w:rPr>
        <w:t xml:space="preserve">(1):5-19.  </w:t>
      </w:r>
    </w:p>
    <w:p w:rsidR="00BB1A1E" w:rsidRDefault="00BB1A1E" w:rsidP="00EB5B38">
      <w:pPr>
        <w:rPr>
          <w:rFonts w:ascii="Arial Narrow" w:hAnsi="Arial Narrow"/>
          <w:sz w:val="20"/>
          <w:szCs w:val="20"/>
          <w:lang w:val="en-US"/>
        </w:rPr>
      </w:pPr>
    </w:p>
    <w:p w:rsidR="00BB1A1E" w:rsidRPr="00C42B4A" w:rsidRDefault="00BB1A1E" w:rsidP="00C42B4A">
      <w:pPr>
        <w:ind w:left="-1276"/>
        <w:rPr>
          <w:rFonts w:ascii="Arial Narrow" w:hAnsi="Arial Narrow"/>
          <w:sz w:val="20"/>
          <w:szCs w:val="20"/>
          <w:lang w:val="en-US"/>
        </w:rPr>
      </w:pPr>
    </w:p>
    <w:sectPr w:rsidR="00BB1A1E" w:rsidRPr="00C42B4A" w:rsidSect="00C42B4A">
      <w:pgSz w:w="12240" w:h="15840"/>
      <w:pgMar w:top="1418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C4"/>
    <w:rsid w:val="0010448E"/>
    <w:rsid w:val="003A526E"/>
    <w:rsid w:val="00480D3D"/>
    <w:rsid w:val="00741825"/>
    <w:rsid w:val="008821C0"/>
    <w:rsid w:val="00BB1A1E"/>
    <w:rsid w:val="00C42B4A"/>
    <w:rsid w:val="00C75DC4"/>
    <w:rsid w:val="00D30A67"/>
    <w:rsid w:val="00E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C4"/>
    <w:rPr>
      <w:rFonts w:ascii="Calibri" w:eastAsia="Calibri" w:hAnsi="Calibri" w:cs="Times New Roman"/>
      <w:lang w:val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C42B4A"/>
  </w:style>
  <w:style w:type="paragraph" w:styleId="Textodeglobo">
    <w:name w:val="Balloon Text"/>
    <w:basedOn w:val="Normal"/>
    <w:link w:val="TextodegloboCar"/>
    <w:uiPriority w:val="99"/>
    <w:semiHidden/>
    <w:unhideWhenUsed/>
    <w:rsid w:val="00B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A1E"/>
    <w:rPr>
      <w:rFonts w:ascii="Tahoma" w:eastAsia="Calibri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C4"/>
    <w:rPr>
      <w:rFonts w:ascii="Calibri" w:eastAsia="Calibri" w:hAnsi="Calibri" w:cs="Times New Roman"/>
      <w:lang w:val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C42B4A"/>
  </w:style>
  <w:style w:type="paragraph" w:styleId="Textodeglobo">
    <w:name w:val="Balloon Text"/>
    <w:basedOn w:val="Normal"/>
    <w:link w:val="TextodegloboCar"/>
    <w:uiPriority w:val="99"/>
    <w:semiHidden/>
    <w:unhideWhenUsed/>
    <w:rsid w:val="00B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A1E"/>
    <w:rPr>
      <w:rFonts w:ascii="Tahoma" w:eastAsia="Calibri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15026LFERNANDEZH</dc:creator>
  <cp:lastModifiedBy>15026LFERNANDEZH</cp:lastModifiedBy>
  <cp:revision>3</cp:revision>
  <dcterms:created xsi:type="dcterms:W3CDTF">2018-12-26T19:49:00Z</dcterms:created>
  <dcterms:modified xsi:type="dcterms:W3CDTF">2018-12-28T18:06:00Z</dcterms:modified>
</cp:coreProperties>
</file>