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832" w:tblpY="2718"/>
        <w:tblW w:w="14829" w:type="dxa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05"/>
        <w:gridCol w:w="1389"/>
        <w:gridCol w:w="1669"/>
        <w:gridCol w:w="1150"/>
        <w:gridCol w:w="2093"/>
        <w:gridCol w:w="1390"/>
        <w:gridCol w:w="1113"/>
        <w:gridCol w:w="1190"/>
        <w:gridCol w:w="1303"/>
      </w:tblGrid>
      <w:tr w:rsidR="00B67A01">
        <w:trPr>
          <w:trHeight w:val="562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517219926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561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Selection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Comparability of cohort</w:t>
            </w:r>
          </w:p>
        </w:tc>
        <w:tc>
          <w:tcPr>
            <w:tcW w:w="369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Outcome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Evidence quality</w:t>
            </w:r>
          </w:p>
        </w:tc>
      </w:tr>
      <w:tr w:rsidR="00B67A01">
        <w:trPr>
          <w:trHeight w:val="562"/>
        </w:trPr>
        <w:tc>
          <w:tcPr>
            <w:tcW w:w="212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67A01" w:rsidRDefault="00B67A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Exposed cohort representative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Non-exposed cohort selection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after="0"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Exposure ascertainment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Outcome not present at start</w:t>
            </w:r>
          </w:p>
        </w:tc>
        <w:tc>
          <w:tcPr>
            <w:tcW w:w="209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67A01" w:rsidRDefault="00B67A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Assessment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Follow-up length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Follow-up adequacy</w:t>
            </w:r>
          </w:p>
        </w:tc>
        <w:tc>
          <w:tcPr>
            <w:tcW w:w="1303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B67A0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7A01">
        <w:trPr>
          <w:trHeight w:val="377"/>
        </w:trPr>
        <w:tc>
          <w:tcPr>
            <w:tcW w:w="2127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2012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[17]</w:t>
            </w:r>
          </w:p>
        </w:tc>
        <w:tc>
          <w:tcPr>
            <w:tcW w:w="1405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9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tcBorders>
              <w:top w:val="single" w:sz="6" w:space="0" w:color="auto"/>
              <w:bottom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B67A01">
        <w:trPr>
          <w:trHeight w:val="377"/>
        </w:trPr>
        <w:tc>
          <w:tcPr>
            <w:tcW w:w="2127" w:type="dxa"/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Yap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[18]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</w:t>
            </w:r>
          </w:p>
        </w:tc>
      </w:tr>
      <w:tr w:rsidR="00B67A01">
        <w:trPr>
          <w:trHeight w:val="37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[19]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377"/>
        </w:trPr>
        <w:tc>
          <w:tcPr>
            <w:tcW w:w="2127" w:type="dxa"/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 2016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[20]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377"/>
        </w:trPr>
        <w:tc>
          <w:tcPr>
            <w:tcW w:w="2127" w:type="dxa"/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[21]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377"/>
        </w:trPr>
        <w:tc>
          <w:tcPr>
            <w:tcW w:w="2127" w:type="dxa"/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Naganuma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[22]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B67A01">
        <w:trPr>
          <w:trHeight w:val="37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Lai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[23]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377"/>
        </w:trPr>
        <w:tc>
          <w:tcPr>
            <w:tcW w:w="2127" w:type="dxa"/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Kohsaka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[24]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377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Hsu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[25]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</w:t>
            </w:r>
          </w:p>
        </w:tc>
      </w:tr>
      <w:tr w:rsidR="00B67A01">
        <w:trPr>
          <w:trHeight w:val="377"/>
        </w:trPr>
        <w:tc>
          <w:tcPr>
            <w:tcW w:w="2127" w:type="dxa"/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Deitelzweig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[26]</w:t>
            </w:r>
          </w:p>
        </w:tc>
        <w:tc>
          <w:tcPr>
            <w:tcW w:w="1405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402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Lee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[27]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402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Huang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[28]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402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[29]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402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Jeong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[30]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402"/>
        </w:trPr>
        <w:tc>
          <w:tcPr>
            <w:tcW w:w="212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Koretsune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[31]</w:t>
            </w:r>
          </w:p>
        </w:tc>
        <w:tc>
          <w:tcPr>
            <w:tcW w:w="14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tr w:rsidR="00B67A01">
        <w:trPr>
          <w:trHeight w:val="402"/>
        </w:trPr>
        <w:tc>
          <w:tcPr>
            <w:tcW w:w="2127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Cho 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[32]</w:t>
            </w:r>
          </w:p>
        </w:tc>
        <w:tc>
          <w:tcPr>
            <w:tcW w:w="1405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89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669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0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209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390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1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90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3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B67A01" w:rsidRDefault="00D2519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</w:t>
            </w:r>
          </w:p>
        </w:tc>
      </w:tr>
      <w:bookmarkEnd w:id="0"/>
    </w:tbl>
    <w:p w:rsidR="00B67A01" w:rsidRDefault="00B67A01">
      <w:pPr>
        <w:jc w:val="both"/>
      </w:pPr>
    </w:p>
    <w:p w:rsidR="00B67A01" w:rsidRDefault="00D25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Table S2</w:t>
      </w: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. Evidence Quality Assessment in the Included Studies</w:t>
      </w: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jc w:val="both"/>
      </w:pPr>
    </w:p>
    <w:p w:rsidR="00B67A01" w:rsidRDefault="00B67A01">
      <w:pPr>
        <w:spacing w:line="360" w:lineRule="auto"/>
      </w:pPr>
    </w:p>
    <w:p w:rsidR="00B67A01" w:rsidRDefault="00B67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A01" w:rsidRDefault="00B67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A01" w:rsidRDefault="00B67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A01" w:rsidRDefault="00B67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A01" w:rsidRDefault="00B67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A01" w:rsidRDefault="00B67A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7A01" w:rsidRDefault="00D251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Studies that achieved eight or more stars on the NOS were considered high </w:t>
      </w:r>
      <w:r>
        <w:rPr>
          <w:rFonts w:ascii="Times New Roman" w:hAnsi="Times New Roman" w:cs="Times New Roman"/>
          <w:sz w:val="28"/>
          <w:szCs w:val="28"/>
        </w:rPr>
        <w:t>quality and moderate quality was defined to achieve six to seven starts and less than six starts were considered as low quality.</w:t>
      </w:r>
    </w:p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p w:rsidR="00B67A01" w:rsidRDefault="00B67A01"/>
    <w:sectPr w:rsidR="00B67A01">
      <w:pgSz w:w="20639" w:h="29201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7658118F-3AC5-4BC1-84DA-A02A82D70D58}"/>
    <w:docVar w:name="KY_MEDREF_VERSION" w:val="3"/>
    <w:docVar w:name="Total_Editing_Time" w:val="55"/>
  </w:docVars>
  <w:rsids>
    <w:rsidRoot w:val="00F74F0D"/>
    <w:rsid w:val="0003441F"/>
    <w:rsid w:val="0004018F"/>
    <w:rsid w:val="00100E0B"/>
    <w:rsid w:val="001213C7"/>
    <w:rsid w:val="002A6FE1"/>
    <w:rsid w:val="002D458A"/>
    <w:rsid w:val="003B525C"/>
    <w:rsid w:val="003B558E"/>
    <w:rsid w:val="003D398A"/>
    <w:rsid w:val="00461C89"/>
    <w:rsid w:val="004664DC"/>
    <w:rsid w:val="0053228D"/>
    <w:rsid w:val="006B3F73"/>
    <w:rsid w:val="00703EC6"/>
    <w:rsid w:val="00740C72"/>
    <w:rsid w:val="00787660"/>
    <w:rsid w:val="007902BA"/>
    <w:rsid w:val="009147B1"/>
    <w:rsid w:val="00A546DF"/>
    <w:rsid w:val="00A74794"/>
    <w:rsid w:val="00B55BB4"/>
    <w:rsid w:val="00B6348D"/>
    <w:rsid w:val="00B67A01"/>
    <w:rsid w:val="00BB5255"/>
    <w:rsid w:val="00C1426D"/>
    <w:rsid w:val="00CA4D28"/>
    <w:rsid w:val="00CE1C75"/>
    <w:rsid w:val="00CE4726"/>
    <w:rsid w:val="00CF61E9"/>
    <w:rsid w:val="00D25197"/>
    <w:rsid w:val="00D31410"/>
    <w:rsid w:val="00EC48FF"/>
    <w:rsid w:val="00EF144A"/>
    <w:rsid w:val="00F74F0D"/>
    <w:rsid w:val="2DF74EB3"/>
    <w:rsid w:val="7AA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djustRightInd w:val="0"/>
      <w:snapToGrid w:val="0"/>
    </w:pPr>
    <w:rPr>
      <w:rFonts w:ascii="Tahoma" w:eastAsia="Microsoft YaHei" w:hAnsi="Tahoma" w:cs="Tahom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djustRightInd w:val="0"/>
      <w:snapToGrid w:val="0"/>
    </w:pPr>
    <w:rPr>
      <w:rFonts w:ascii="Tahoma" w:eastAsia="Microsoft YaHei" w:hAnsi="Tahoma" w:cs="Tahom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276E6-DA8D-4EEC-B783-34F7172D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262</Words>
  <Characters>895</Characters>
  <Application>Microsoft Office Word</Application>
  <DocSecurity>0</DocSecurity>
  <Lines>298</Lines>
  <Paragraphs>231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jczha</dc:creator>
  <cp:lastModifiedBy>LAMIRA</cp:lastModifiedBy>
  <cp:revision>15</cp:revision>
  <dcterms:created xsi:type="dcterms:W3CDTF">2019-03-24T15:56:00Z</dcterms:created>
  <dcterms:modified xsi:type="dcterms:W3CDTF">2019-07-23T04:58:00Z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