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4D7E" w14:textId="24BBB564" w:rsidR="00F71DBC" w:rsidRPr="00157596" w:rsidRDefault="00F71DBC" w:rsidP="00F71DBC">
      <w:pPr>
        <w:rPr>
          <w:b/>
        </w:rPr>
      </w:pPr>
      <w:r w:rsidRPr="00157596">
        <w:rPr>
          <w:b/>
        </w:rPr>
        <w:t xml:space="preserve">Appendix </w:t>
      </w:r>
      <w:r>
        <w:rPr>
          <w:b/>
        </w:rPr>
        <w:t>C</w:t>
      </w:r>
      <w:r w:rsidRPr="00157596">
        <w:rPr>
          <w:b/>
        </w:rPr>
        <w:t>: Consolidated Framework for Implementation Research Domains</w:t>
      </w:r>
      <w:r w:rsidR="0096270C">
        <w:rPr>
          <w:b/>
        </w:rPr>
        <w:t xml:space="preserve"> </w:t>
      </w:r>
      <w:r w:rsidR="0096270C">
        <w:rPr>
          <w:b/>
        </w:rPr>
        <w:fldChar w:fldCharType="begin"/>
      </w:r>
      <w:r w:rsidR="0096270C">
        <w:rPr>
          <w:b/>
        </w:rPr>
        <w:instrText xml:space="preserve"> ADDIN ZOTERO_ITEM CSL_CITATION {"citationID":"fAte5z4I","properties":{"formattedCitation":"(1)","plainCitation":"(1)","noteIndex":0},"citationItems":[{"id":4888,"uris":["http://zotero.org/users/965716/items/J8RVAXK3"],"uri":["http://zotero.org/users/965716/items/J8RVAXK3"],"itemData":{"id":4888,"type":"article-journal","title":"Fostering implementation of health services research findings into practice: a consolidated framework for advancing implementation science","container-title":"Implementation science: IS","page":"50","volume":"4","source":"PubMed","abstract":"BACKGROUND: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contexts.\nMETHODS: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concepts.\nRESULTS: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construct.\nCONCLUSION: The CFIR provides a pragmatic structure for approaching complex, interacting, multi-level, and transient states of constructs in the real world by embracing, consolidating, and unifying key constructs from published implementation theories. It can be used to guide formative evaluations and build the implementation knowledge base across multiple studies and settings.","DOI":"10.1186/1748-5908-4-50","ISSN":"1748-5908","title-short":"Fostering implementation of health services research findings into practice","journalAbbreviation":"Implement Sci","language":"eng","author":[{"family":"Damschroder","given":"Laura J."},{"family":"Aron","given":"David C."},{"family":"Keith","given":"Rosalind E."},{"family":"Kirsh","given":"Susan R."},{"family":"Alexander","given":"Jeffery A."},{"family":"Lowery","given":"Julie C."}],"issued":{"date-parts":[["2009",8,7]]}}}],"schema":"https://github.com/citation-style-language/schema/raw/master/csl-citation.json"} </w:instrText>
      </w:r>
      <w:r w:rsidR="0096270C">
        <w:rPr>
          <w:b/>
        </w:rPr>
        <w:fldChar w:fldCharType="separate"/>
      </w:r>
      <w:r w:rsidR="0096270C">
        <w:rPr>
          <w:b/>
          <w:noProof/>
        </w:rPr>
        <w:t>(1)</w:t>
      </w:r>
      <w:r w:rsidR="0096270C">
        <w:rPr>
          <w:b/>
        </w:rPr>
        <w:fldChar w:fldCharType="end"/>
      </w:r>
      <w:r w:rsidRPr="00157596">
        <w:rPr>
          <w:b/>
        </w:rPr>
        <w:t xml:space="preserve"> </w:t>
      </w:r>
    </w:p>
    <w:p w14:paraId="7458DDBF" w14:textId="77777777" w:rsidR="00F71DBC" w:rsidRPr="00157596" w:rsidRDefault="00F71DBC" w:rsidP="00F71DBC">
      <w:pPr>
        <w:rPr>
          <w:b/>
        </w:rPr>
      </w:pPr>
    </w:p>
    <w:p w14:paraId="103FE419" w14:textId="77777777" w:rsidR="00F71DBC" w:rsidRPr="00157596" w:rsidRDefault="00F71DBC" w:rsidP="00F71DBC">
      <w:pPr>
        <w:rPr>
          <w:b/>
        </w:rPr>
      </w:pPr>
    </w:p>
    <w:tbl>
      <w:tblPr>
        <w:tblStyle w:val="TableGrid"/>
        <w:tblW w:w="0" w:type="auto"/>
        <w:tblLook w:val="04A0" w:firstRow="1" w:lastRow="0" w:firstColumn="1" w:lastColumn="0" w:noHBand="0" w:noVBand="1"/>
      </w:tblPr>
      <w:tblGrid>
        <w:gridCol w:w="3325"/>
        <w:gridCol w:w="6025"/>
      </w:tblGrid>
      <w:tr w:rsidR="00F71DBC" w:rsidRPr="00157596" w14:paraId="171588C8" w14:textId="77777777" w:rsidTr="005E4450">
        <w:tc>
          <w:tcPr>
            <w:tcW w:w="3325" w:type="dxa"/>
          </w:tcPr>
          <w:p w14:paraId="7E1E425C" w14:textId="77777777" w:rsidR="00F71DBC" w:rsidRPr="004018A8" w:rsidRDefault="00F71DBC" w:rsidP="005E4450">
            <w:pPr>
              <w:rPr>
                <w:b/>
                <w:sz w:val="20"/>
                <w:szCs w:val="20"/>
              </w:rPr>
            </w:pPr>
            <w:r w:rsidRPr="004018A8">
              <w:rPr>
                <w:b/>
                <w:sz w:val="20"/>
                <w:szCs w:val="20"/>
              </w:rPr>
              <w:t>Domain</w:t>
            </w:r>
          </w:p>
          <w:p w14:paraId="69E4B4DC" w14:textId="77777777" w:rsidR="00F71DBC" w:rsidRPr="004018A8" w:rsidRDefault="00F71DBC" w:rsidP="005E4450">
            <w:pPr>
              <w:rPr>
                <w:b/>
                <w:sz w:val="20"/>
                <w:szCs w:val="20"/>
              </w:rPr>
            </w:pPr>
          </w:p>
        </w:tc>
        <w:tc>
          <w:tcPr>
            <w:tcW w:w="6025" w:type="dxa"/>
          </w:tcPr>
          <w:p w14:paraId="05FB5C6E" w14:textId="77777777" w:rsidR="00F71DBC" w:rsidRPr="004018A8" w:rsidRDefault="00F71DBC" w:rsidP="005E4450">
            <w:pPr>
              <w:rPr>
                <w:b/>
                <w:sz w:val="20"/>
                <w:szCs w:val="20"/>
              </w:rPr>
            </w:pPr>
            <w:r w:rsidRPr="004018A8">
              <w:rPr>
                <w:b/>
                <w:sz w:val="20"/>
                <w:szCs w:val="20"/>
              </w:rPr>
              <w:t>Examples</w:t>
            </w:r>
          </w:p>
        </w:tc>
      </w:tr>
      <w:tr w:rsidR="00F71DBC" w:rsidRPr="00157596" w14:paraId="5E10CA41" w14:textId="77777777" w:rsidTr="005E4450">
        <w:tc>
          <w:tcPr>
            <w:tcW w:w="3325" w:type="dxa"/>
          </w:tcPr>
          <w:p w14:paraId="302D2990" w14:textId="77777777" w:rsidR="00F71DBC" w:rsidRPr="004018A8" w:rsidRDefault="00F71DBC" w:rsidP="005E4450">
            <w:pPr>
              <w:rPr>
                <w:b/>
                <w:sz w:val="20"/>
                <w:szCs w:val="20"/>
              </w:rPr>
            </w:pPr>
            <w:r w:rsidRPr="004018A8">
              <w:rPr>
                <w:b/>
                <w:sz w:val="20"/>
                <w:szCs w:val="20"/>
              </w:rPr>
              <w:t>Outer Setting</w:t>
            </w:r>
          </w:p>
        </w:tc>
        <w:tc>
          <w:tcPr>
            <w:tcW w:w="6025" w:type="dxa"/>
          </w:tcPr>
          <w:p w14:paraId="4FA04909"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A broad construct that includes external strategies to spread interventions, including policy and regulations (governmental or other central entity), external mandates, recommendations and guidelines, pay-for-performance, collaboratives, and public or benchmark reporting</w:t>
            </w:r>
          </w:p>
          <w:p w14:paraId="531EC24C" w14:textId="77777777" w:rsidR="00F71DBC" w:rsidRPr="004018A8" w:rsidRDefault="00F71DBC" w:rsidP="005E4450">
            <w:pPr>
              <w:rPr>
                <w:color w:val="000000" w:themeColor="text1"/>
                <w:sz w:val="20"/>
                <w:szCs w:val="20"/>
              </w:rPr>
            </w:pPr>
          </w:p>
        </w:tc>
      </w:tr>
      <w:tr w:rsidR="00F71DBC" w:rsidRPr="00157596" w14:paraId="5FBE78AB" w14:textId="77777777" w:rsidTr="005E4450">
        <w:tc>
          <w:tcPr>
            <w:tcW w:w="3325" w:type="dxa"/>
          </w:tcPr>
          <w:p w14:paraId="452C07FD" w14:textId="77777777" w:rsidR="00F71DBC" w:rsidRPr="004018A8" w:rsidRDefault="00F71DBC" w:rsidP="005E4450">
            <w:pPr>
              <w:rPr>
                <w:b/>
                <w:sz w:val="20"/>
                <w:szCs w:val="20"/>
              </w:rPr>
            </w:pPr>
            <w:r w:rsidRPr="004018A8">
              <w:rPr>
                <w:b/>
                <w:sz w:val="20"/>
                <w:szCs w:val="20"/>
              </w:rPr>
              <w:t>Inner Setting</w:t>
            </w:r>
          </w:p>
        </w:tc>
        <w:tc>
          <w:tcPr>
            <w:tcW w:w="6025" w:type="dxa"/>
          </w:tcPr>
          <w:p w14:paraId="453B4FB9" w14:textId="77777777" w:rsidR="00F71DBC" w:rsidRPr="004018A8" w:rsidRDefault="00F71DBC" w:rsidP="005E4450">
            <w:pPr>
              <w:rPr>
                <w:rFonts w:eastAsia="Times New Roman"/>
                <w:color w:val="000000" w:themeColor="text1"/>
                <w:sz w:val="20"/>
                <w:szCs w:val="20"/>
                <w:shd w:val="clear" w:color="auto" w:fill="F5F5F5"/>
              </w:rPr>
            </w:pPr>
            <w:r w:rsidRPr="004018A8">
              <w:rPr>
                <w:rFonts w:eastAsia="Times New Roman"/>
                <w:color w:val="000000" w:themeColor="text1"/>
                <w:sz w:val="20"/>
                <w:szCs w:val="20"/>
                <w:shd w:val="clear" w:color="auto" w:fill="F5F5F5"/>
              </w:rPr>
              <w:t>The nature and quality of webs of social networks and the nature and quality of formal and informal communications within an organization.</w:t>
            </w:r>
          </w:p>
          <w:p w14:paraId="0F6E4BBE" w14:textId="77777777" w:rsidR="00F71DBC" w:rsidRPr="004018A8" w:rsidRDefault="00F71DBC" w:rsidP="005E4450">
            <w:pPr>
              <w:rPr>
                <w:rFonts w:eastAsia="Times New Roman"/>
                <w:color w:val="000000" w:themeColor="text1"/>
                <w:sz w:val="20"/>
                <w:szCs w:val="20"/>
                <w:shd w:val="clear" w:color="auto" w:fill="F5F5F5"/>
              </w:rPr>
            </w:pPr>
          </w:p>
          <w:p w14:paraId="155C8235"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The absorptive capacity for change, shared receptivity of involved individuals to an intervention, and the extent to which use of that intervention will be rewarded, supported, and expected within their organization.</w:t>
            </w:r>
          </w:p>
          <w:p w14:paraId="18FBD7FD" w14:textId="77777777" w:rsidR="00F71DBC" w:rsidRPr="004018A8" w:rsidRDefault="00F71DBC" w:rsidP="005E4450">
            <w:pPr>
              <w:rPr>
                <w:rFonts w:eastAsia="Times New Roman"/>
                <w:color w:val="000000" w:themeColor="text1"/>
                <w:sz w:val="20"/>
                <w:szCs w:val="20"/>
                <w:shd w:val="clear" w:color="auto" w:fill="F5F5F5"/>
              </w:rPr>
            </w:pPr>
          </w:p>
          <w:p w14:paraId="1099C93F"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The degree to which stakeholders perceive the current situation as intolerable or needing change.</w:t>
            </w:r>
          </w:p>
          <w:p w14:paraId="76CA4289" w14:textId="77777777" w:rsidR="00F71DBC" w:rsidRPr="004018A8" w:rsidRDefault="00F71DBC" w:rsidP="005E4450">
            <w:pPr>
              <w:rPr>
                <w:rFonts w:eastAsia="Times New Roman"/>
                <w:color w:val="000000" w:themeColor="text1"/>
                <w:sz w:val="20"/>
                <w:szCs w:val="20"/>
                <w:shd w:val="clear" w:color="auto" w:fill="F5F5F5"/>
              </w:rPr>
            </w:pPr>
          </w:p>
          <w:p w14:paraId="48677B01"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The degree of tangible fit between meaning and values attached to the intervention by involved individuals, how those align with individuals’ own norms, values, and perceived risks and needs, and how the intervention fits with existing workflows and systems.</w:t>
            </w:r>
          </w:p>
          <w:p w14:paraId="44E6AB4E" w14:textId="77777777" w:rsidR="00F71DBC" w:rsidRPr="004018A8" w:rsidRDefault="00F71DBC" w:rsidP="005E4450">
            <w:pPr>
              <w:rPr>
                <w:rFonts w:eastAsia="Times New Roman"/>
                <w:color w:val="000000" w:themeColor="text1"/>
                <w:sz w:val="20"/>
                <w:szCs w:val="20"/>
                <w:shd w:val="clear" w:color="auto" w:fill="F5F5F5"/>
              </w:rPr>
            </w:pPr>
          </w:p>
          <w:p w14:paraId="6046B649"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The degree to which goals are clearly communicated, acted upon, and fed back to staff, and alignment of that feedback with goals</w:t>
            </w:r>
          </w:p>
          <w:p w14:paraId="13CBFE64" w14:textId="77777777" w:rsidR="00F71DBC" w:rsidRPr="004018A8" w:rsidRDefault="00F71DBC" w:rsidP="005E4450">
            <w:pPr>
              <w:rPr>
                <w:rFonts w:eastAsia="Times New Roman"/>
                <w:color w:val="000000" w:themeColor="text1"/>
                <w:sz w:val="20"/>
                <w:szCs w:val="20"/>
                <w:shd w:val="clear" w:color="auto" w:fill="F5F5F5"/>
              </w:rPr>
            </w:pPr>
          </w:p>
          <w:p w14:paraId="13EAFD13"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Commitment, involvement, and accountability of leaders and managers with the implementation.</w:t>
            </w:r>
          </w:p>
          <w:p w14:paraId="38FB84F7" w14:textId="77777777" w:rsidR="00F71DBC" w:rsidRPr="004018A8" w:rsidRDefault="00F71DBC" w:rsidP="005E4450">
            <w:pPr>
              <w:rPr>
                <w:rFonts w:eastAsia="Times New Roman"/>
                <w:color w:val="000000" w:themeColor="text1"/>
                <w:sz w:val="20"/>
                <w:szCs w:val="20"/>
                <w:shd w:val="clear" w:color="auto" w:fill="F5F5F5"/>
              </w:rPr>
            </w:pPr>
          </w:p>
          <w:p w14:paraId="2428C103"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Ease of access to digestible information and knowledge about the intervention and how to incorporate it into work tasks.</w:t>
            </w:r>
          </w:p>
          <w:p w14:paraId="4A815C4B" w14:textId="77777777" w:rsidR="00F71DBC" w:rsidRPr="004018A8" w:rsidRDefault="00F71DBC" w:rsidP="005E4450">
            <w:pPr>
              <w:rPr>
                <w:color w:val="000000" w:themeColor="text1"/>
                <w:sz w:val="20"/>
                <w:szCs w:val="20"/>
              </w:rPr>
            </w:pPr>
          </w:p>
        </w:tc>
      </w:tr>
      <w:tr w:rsidR="00F71DBC" w:rsidRPr="00157596" w14:paraId="6C136055" w14:textId="77777777" w:rsidTr="005E4450">
        <w:tc>
          <w:tcPr>
            <w:tcW w:w="3325" w:type="dxa"/>
          </w:tcPr>
          <w:p w14:paraId="292826A4" w14:textId="77777777" w:rsidR="00F71DBC" w:rsidRPr="004018A8" w:rsidRDefault="00F71DBC" w:rsidP="005E4450">
            <w:pPr>
              <w:rPr>
                <w:b/>
                <w:sz w:val="20"/>
                <w:szCs w:val="20"/>
              </w:rPr>
            </w:pPr>
            <w:r w:rsidRPr="004018A8">
              <w:rPr>
                <w:b/>
                <w:sz w:val="20"/>
                <w:szCs w:val="20"/>
              </w:rPr>
              <w:t>Characteristics of Individuals</w:t>
            </w:r>
          </w:p>
        </w:tc>
        <w:tc>
          <w:tcPr>
            <w:tcW w:w="6025" w:type="dxa"/>
          </w:tcPr>
          <w:p w14:paraId="045F3859"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Individuals’ attitudes toward and value placed on the intervention as well as familiarity with facts, truths, and principles related to the intervention.</w:t>
            </w:r>
          </w:p>
          <w:p w14:paraId="54016ED8"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Individual belief in their own capabilities to execute courses of action to achieve implementation goals.</w:t>
            </w:r>
          </w:p>
          <w:p w14:paraId="56063D5E" w14:textId="77777777" w:rsidR="00F71DBC" w:rsidRPr="004018A8" w:rsidRDefault="00F71DBC" w:rsidP="005E4450">
            <w:pPr>
              <w:rPr>
                <w:rFonts w:eastAsia="Times New Roman"/>
                <w:color w:val="000000" w:themeColor="text1"/>
                <w:sz w:val="20"/>
                <w:szCs w:val="20"/>
                <w:shd w:val="clear" w:color="auto" w:fill="F5F5F5"/>
              </w:rPr>
            </w:pPr>
          </w:p>
          <w:p w14:paraId="486D2460"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A broad construct related to how individuals perceive the organization, and their relationship and degree of commitment with that organization.</w:t>
            </w:r>
          </w:p>
          <w:p w14:paraId="1E195FED" w14:textId="77777777" w:rsidR="00F71DBC" w:rsidRPr="004018A8" w:rsidRDefault="00F71DBC" w:rsidP="005E4450">
            <w:pPr>
              <w:rPr>
                <w:rFonts w:eastAsia="Times New Roman"/>
                <w:color w:val="000000" w:themeColor="text1"/>
                <w:sz w:val="20"/>
                <w:szCs w:val="20"/>
                <w:shd w:val="clear" w:color="auto" w:fill="F5F5F5"/>
              </w:rPr>
            </w:pPr>
          </w:p>
          <w:p w14:paraId="4E81D3E6" w14:textId="77777777" w:rsidR="00F71DBC" w:rsidRPr="004018A8" w:rsidRDefault="00F71DBC" w:rsidP="005E4450">
            <w:pPr>
              <w:rPr>
                <w:rFonts w:eastAsia="Times New Roman"/>
                <w:color w:val="000000" w:themeColor="text1"/>
                <w:sz w:val="20"/>
                <w:szCs w:val="20"/>
              </w:rPr>
            </w:pPr>
            <w:r w:rsidRPr="004018A8">
              <w:rPr>
                <w:rFonts w:eastAsia="Times New Roman"/>
                <w:color w:val="000000" w:themeColor="text1"/>
                <w:sz w:val="20"/>
                <w:szCs w:val="20"/>
                <w:shd w:val="clear" w:color="auto" w:fill="F5F5F5"/>
              </w:rPr>
              <w:t>A broad construct to include other personal traits such as tolerance of ambiguity, intellectual ability, motivation, values, competence, capacity, and learning style.</w:t>
            </w:r>
          </w:p>
          <w:p w14:paraId="65AAFF5C" w14:textId="77777777" w:rsidR="00F71DBC" w:rsidRPr="004018A8" w:rsidRDefault="00F71DBC" w:rsidP="005E4450">
            <w:pPr>
              <w:rPr>
                <w:color w:val="000000" w:themeColor="text1"/>
                <w:sz w:val="20"/>
                <w:szCs w:val="20"/>
              </w:rPr>
            </w:pPr>
          </w:p>
        </w:tc>
      </w:tr>
      <w:tr w:rsidR="00F71DBC" w:rsidRPr="003353D6" w14:paraId="06DFDEDC" w14:textId="77777777" w:rsidTr="005E4450">
        <w:tc>
          <w:tcPr>
            <w:tcW w:w="3325" w:type="dxa"/>
          </w:tcPr>
          <w:p w14:paraId="3E639D02" w14:textId="77777777" w:rsidR="00F71DBC" w:rsidRPr="004018A8" w:rsidRDefault="00F71DBC" w:rsidP="005E4450">
            <w:pPr>
              <w:rPr>
                <w:b/>
                <w:sz w:val="20"/>
                <w:szCs w:val="20"/>
              </w:rPr>
            </w:pPr>
            <w:r w:rsidRPr="004018A8">
              <w:rPr>
                <w:b/>
                <w:sz w:val="20"/>
                <w:szCs w:val="20"/>
              </w:rPr>
              <w:t>Process</w:t>
            </w:r>
          </w:p>
        </w:tc>
        <w:tc>
          <w:tcPr>
            <w:tcW w:w="6025" w:type="dxa"/>
          </w:tcPr>
          <w:p w14:paraId="0E8B2095" w14:textId="77777777" w:rsidR="00F71DBC" w:rsidRPr="00F71DBC" w:rsidRDefault="00F71DBC" w:rsidP="005E4450">
            <w:pPr>
              <w:spacing w:after="300"/>
              <w:rPr>
                <w:rFonts w:eastAsia="Times New Roman"/>
                <w:color w:val="000000" w:themeColor="text1"/>
                <w:sz w:val="20"/>
                <w:szCs w:val="20"/>
              </w:rPr>
            </w:pPr>
            <w:r w:rsidRPr="00F71DBC">
              <w:rPr>
                <w:rFonts w:eastAsia="Times New Roman"/>
                <w:color w:val="000000" w:themeColor="text1"/>
                <w:sz w:val="20"/>
                <w:szCs w:val="20"/>
              </w:rPr>
              <w:t>The degree to which a scheme or method of behavior and tasks for implementing an intervention are developed in advance, and the quality of those schemes or methods.</w:t>
            </w:r>
          </w:p>
          <w:p w14:paraId="0A6DB937"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 xml:space="preserve">Attracting and involving appropriate individuals in the implementation and use of the intervention through a combined strategy of social </w:t>
            </w:r>
            <w:r w:rsidRPr="00F71DBC">
              <w:rPr>
                <w:rFonts w:eastAsia="Times New Roman"/>
                <w:color w:val="000000" w:themeColor="text1"/>
                <w:sz w:val="20"/>
                <w:szCs w:val="20"/>
                <w:shd w:val="clear" w:color="auto" w:fill="F5F5F5"/>
              </w:rPr>
              <w:lastRenderedPageBreak/>
              <w:t>marketing, education, role modeling, training, and other similar activities.</w:t>
            </w:r>
          </w:p>
          <w:p w14:paraId="2E673897"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Individuals in an organization who have formal or informal influence on the attitudes and beliefs of their colleagues with respect to implementing the intervention.</w:t>
            </w:r>
          </w:p>
          <w:p w14:paraId="48F2C8E1"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Individuals from within the organization who have been formally appointed with responsibility for implementing an intervention as coordinator, project manager, team leader, or other similar role.</w:t>
            </w:r>
          </w:p>
          <w:p w14:paraId="25113948" w14:textId="77777777" w:rsidR="00F71DBC" w:rsidRPr="00F71DBC" w:rsidRDefault="00F71DBC" w:rsidP="005E4450">
            <w:pPr>
              <w:spacing w:after="300"/>
              <w:rPr>
                <w:rFonts w:eastAsia="Times New Roman"/>
                <w:color w:val="000000" w:themeColor="text1"/>
                <w:sz w:val="20"/>
                <w:szCs w:val="20"/>
              </w:rPr>
            </w:pPr>
            <w:r w:rsidRPr="00F71DBC">
              <w:rPr>
                <w:rFonts w:eastAsia="Times New Roman"/>
                <w:color w:val="000000" w:themeColor="text1"/>
                <w:sz w:val="20"/>
                <w:szCs w:val="20"/>
              </w:rPr>
              <w:br/>
              <w:t>Individuals who dedicate themselves to supporting, marketing, and ‘driving through’ an implementation, overcoming indifference or resistance that the intervention may provoke in an organization.</w:t>
            </w:r>
          </w:p>
          <w:p w14:paraId="20CF34F5"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Individuals who are affiliated with an outside entity who formally influence or facilitate intervention decisions in a desirable direction.</w:t>
            </w:r>
          </w:p>
          <w:p w14:paraId="482F5E84" w14:textId="77777777" w:rsidR="00F71DBC" w:rsidRPr="00F71DBC" w:rsidRDefault="00F71DBC" w:rsidP="005E4450">
            <w:pPr>
              <w:rPr>
                <w:rFonts w:eastAsia="Times New Roman"/>
                <w:color w:val="000000" w:themeColor="text1"/>
                <w:sz w:val="20"/>
                <w:szCs w:val="20"/>
                <w:shd w:val="clear" w:color="auto" w:fill="F5F5F5"/>
              </w:rPr>
            </w:pPr>
          </w:p>
          <w:p w14:paraId="5C49BAAE"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Carrying out or accomplishing the implementation according to plan.</w:t>
            </w:r>
          </w:p>
          <w:p w14:paraId="138B7F0E" w14:textId="77777777" w:rsidR="00F71DBC" w:rsidRPr="00F71DBC" w:rsidRDefault="00F71DBC" w:rsidP="005E4450">
            <w:pPr>
              <w:rPr>
                <w:rFonts w:eastAsia="Times New Roman"/>
                <w:color w:val="000000" w:themeColor="text1"/>
                <w:sz w:val="20"/>
                <w:szCs w:val="20"/>
                <w:shd w:val="clear" w:color="auto" w:fill="F5F5F5"/>
              </w:rPr>
            </w:pPr>
          </w:p>
          <w:p w14:paraId="6995E764"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Quantitative and qualitative feedback about the progress and quality of implementation accompanied with regular personal and team debriefing about progress and experience.</w:t>
            </w:r>
          </w:p>
          <w:p w14:paraId="36DAE715" w14:textId="77777777" w:rsidR="00F71DBC" w:rsidRPr="00F71DBC" w:rsidRDefault="00F71DBC" w:rsidP="005E4450">
            <w:pPr>
              <w:rPr>
                <w:color w:val="000000" w:themeColor="text1"/>
                <w:sz w:val="20"/>
                <w:szCs w:val="20"/>
              </w:rPr>
            </w:pPr>
          </w:p>
        </w:tc>
      </w:tr>
      <w:tr w:rsidR="00F71DBC" w:rsidRPr="003353D6" w14:paraId="53D4C102" w14:textId="77777777" w:rsidTr="005E4450">
        <w:tc>
          <w:tcPr>
            <w:tcW w:w="3325" w:type="dxa"/>
          </w:tcPr>
          <w:p w14:paraId="5575434F" w14:textId="77777777" w:rsidR="00F71DBC" w:rsidRPr="004018A8" w:rsidRDefault="00F71DBC" w:rsidP="005E4450">
            <w:pPr>
              <w:rPr>
                <w:b/>
                <w:sz w:val="20"/>
                <w:szCs w:val="20"/>
              </w:rPr>
            </w:pPr>
            <w:r w:rsidRPr="004018A8">
              <w:rPr>
                <w:b/>
                <w:sz w:val="20"/>
                <w:szCs w:val="20"/>
              </w:rPr>
              <w:lastRenderedPageBreak/>
              <w:t>Intervention</w:t>
            </w:r>
          </w:p>
        </w:tc>
        <w:tc>
          <w:tcPr>
            <w:tcW w:w="6025" w:type="dxa"/>
          </w:tcPr>
          <w:p w14:paraId="0EA4200B"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Perception of key stakeholders about whether the intervention is externally or internally developed.</w:t>
            </w:r>
          </w:p>
          <w:p w14:paraId="496E0084" w14:textId="77777777" w:rsidR="00F71DBC" w:rsidRPr="00F71DBC" w:rsidRDefault="00F71DBC" w:rsidP="005E4450">
            <w:pPr>
              <w:rPr>
                <w:rFonts w:eastAsia="Times New Roman"/>
                <w:color w:val="000000" w:themeColor="text1"/>
                <w:sz w:val="20"/>
                <w:szCs w:val="20"/>
                <w:shd w:val="clear" w:color="auto" w:fill="F5F5F5"/>
              </w:rPr>
            </w:pPr>
          </w:p>
          <w:p w14:paraId="1C169C7A"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Stakeholders’ perceptions of the quality and validity of evidence supporting the belief that the intervention will have desired outcomes.</w:t>
            </w:r>
          </w:p>
          <w:p w14:paraId="2A7DA39A" w14:textId="77777777" w:rsidR="00F71DBC" w:rsidRPr="00F71DBC" w:rsidRDefault="00F71DBC" w:rsidP="005E4450">
            <w:pPr>
              <w:rPr>
                <w:rFonts w:eastAsia="Times New Roman"/>
                <w:color w:val="000000" w:themeColor="text1"/>
                <w:sz w:val="20"/>
                <w:szCs w:val="20"/>
                <w:shd w:val="clear" w:color="auto" w:fill="F5F5F5"/>
              </w:rPr>
            </w:pPr>
          </w:p>
          <w:p w14:paraId="30FA1606"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Stakeholders’ perception of the advantage of implementing the intervention versus an alternative solution.</w:t>
            </w:r>
          </w:p>
          <w:p w14:paraId="052BBE2C" w14:textId="77777777" w:rsidR="00F71DBC" w:rsidRPr="00F71DBC" w:rsidRDefault="00F71DBC" w:rsidP="005E4450">
            <w:pPr>
              <w:rPr>
                <w:rFonts w:eastAsia="Times New Roman"/>
                <w:color w:val="000000" w:themeColor="text1"/>
                <w:sz w:val="20"/>
                <w:szCs w:val="20"/>
                <w:shd w:val="clear" w:color="auto" w:fill="F5F5F5"/>
              </w:rPr>
            </w:pPr>
          </w:p>
          <w:p w14:paraId="7A2B573A"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The degree to which an intervention can be adapted, tailored, refined, or reinvented to meet local needs.</w:t>
            </w:r>
          </w:p>
          <w:p w14:paraId="6BBE4394" w14:textId="77777777" w:rsidR="00F71DBC" w:rsidRPr="00F71DBC" w:rsidRDefault="00F71DBC" w:rsidP="005E4450">
            <w:pPr>
              <w:rPr>
                <w:rFonts w:eastAsia="Times New Roman"/>
                <w:color w:val="000000" w:themeColor="text1"/>
                <w:sz w:val="20"/>
                <w:szCs w:val="20"/>
                <w:shd w:val="clear" w:color="auto" w:fill="F5F5F5"/>
              </w:rPr>
            </w:pPr>
          </w:p>
          <w:p w14:paraId="7D337A2D"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Perceived difficulty of implementation, reflected by duration, scope, radicalness, disruptiveness, centrality, and intricacy and number of steps required to implement.</w:t>
            </w:r>
          </w:p>
          <w:p w14:paraId="3AE30277" w14:textId="77777777" w:rsidR="00F71DBC" w:rsidRPr="00F71DBC" w:rsidRDefault="00F71DBC" w:rsidP="005E4450">
            <w:pPr>
              <w:rPr>
                <w:rFonts w:eastAsia="Times New Roman"/>
                <w:color w:val="000000" w:themeColor="text1"/>
                <w:sz w:val="20"/>
                <w:szCs w:val="20"/>
                <w:shd w:val="clear" w:color="auto" w:fill="F5F5F5"/>
              </w:rPr>
            </w:pPr>
          </w:p>
          <w:p w14:paraId="31E25B49" w14:textId="77777777" w:rsidR="00F71DBC" w:rsidRPr="00F71DBC" w:rsidRDefault="00F71DBC" w:rsidP="005E4450">
            <w:pPr>
              <w:rPr>
                <w:rFonts w:eastAsia="Times New Roman"/>
                <w:color w:val="000000" w:themeColor="text1"/>
                <w:sz w:val="20"/>
                <w:szCs w:val="20"/>
              </w:rPr>
            </w:pPr>
            <w:r w:rsidRPr="00F71DBC">
              <w:rPr>
                <w:rFonts w:eastAsia="Times New Roman"/>
                <w:color w:val="000000" w:themeColor="text1"/>
                <w:sz w:val="20"/>
                <w:szCs w:val="20"/>
                <w:shd w:val="clear" w:color="auto" w:fill="F5F5F5"/>
              </w:rPr>
              <w:t>Perceived excellence in how the intervention is bundled, presented, and assembled.</w:t>
            </w:r>
          </w:p>
        </w:tc>
      </w:tr>
    </w:tbl>
    <w:p w14:paraId="23FD3A20" w14:textId="77777777" w:rsidR="00F71DBC" w:rsidRPr="00F14EC2" w:rsidRDefault="00F71DBC" w:rsidP="00F71DBC"/>
    <w:bookmarkStart w:id="0" w:name="_GoBack"/>
    <w:bookmarkEnd w:id="0"/>
    <w:p w14:paraId="21018519" w14:textId="77777777" w:rsidR="0096270C" w:rsidRPr="0096270C" w:rsidRDefault="0096270C" w:rsidP="0096270C">
      <w:pPr>
        <w:pStyle w:val="Bibliography"/>
      </w:pPr>
      <w:r>
        <w:fldChar w:fldCharType="begin"/>
      </w:r>
      <w:r>
        <w:instrText xml:space="preserve"> ADDIN ZOTERO_BIBL {"uncited":[],"omitted":[],"custom":[]} CSL_BIBLIOGRAPHY </w:instrText>
      </w:r>
      <w:r>
        <w:fldChar w:fldCharType="separate"/>
      </w:r>
      <w:r w:rsidRPr="0096270C">
        <w:t xml:space="preserve">1. </w:t>
      </w:r>
      <w:r w:rsidRPr="0096270C">
        <w:tab/>
        <w:t xml:space="preserve">Damschroder LJ, Aron DC, Keith RE, Kirsh SR, Alexander JA, Lowery JC. Fostering implementation of health services research findings into practice: a consolidated framework for advancing implementation science. Implement Sci IS. 2009 Aug 7;4:50. </w:t>
      </w:r>
    </w:p>
    <w:p w14:paraId="72C75BE1" w14:textId="525BE713" w:rsidR="00F72604" w:rsidRDefault="0096270C">
      <w:r>
        <w:fldChar w:fldCharType="end"/>
      </w:r>
    </w:p>
    <w:sectPr w:rsidR="00F72604" w:rsidSect="00366004">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B3A5" w14:textId="77777777" w:rsidR="007A0028" w:rsidRDefault="0096270C" w:rsidP="002448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78880" w14:textId="77777777" w:rsidR="007A0028" w:rsidRDefault="0096270C" w:rsidP="00B85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CE95" w14:textId="77777777" w:rsidR="007A0028" w:rsidRDefault="0096270C" w:rsidP="002448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7AB1008" w14:textId="77777777" w:rsidR="007A0028" w:rsidRDefault="0096270C" w:rsidP="00B8549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BC"/>
    <w:rsid w:val="00024689"/>
    <w:rsid w:val="000500E7"/>
    <w:rsid w:val="000C1CF0"/>
    <w:rsid w:val="000E744D"/>
    <w:rsid w:val="001B6DFC"/>
    <w:rsid w:val="001F1650"/>
    <w:rsid w:val="00222EF6"/>
    <w:rsid w:val="00263B7C"/>
    <w:rsid w:val="002A414F"/>
    <w:rsid w:val="002C41A8"/>
    <w:rsid w:val="002C7C26"/>
    <w:rsid w:val="00336FF8"/>
    <w:rsid w:val="00366004"/>
    <w:rsid w:val="00366102"/>
    <w:rsid w:val="003A5C3E"/>
    <w:rsid w:val="003C3F92"/>
    <w:rsid w:val="003C6A9D"/>
    <w:rsid w:val="004552F3"/>
    <w:rsid w:val="00487F79"/>
    <w:rsid w:val="004C4AB4"/>
    <w:rsid w:val="00533B65"/>
    <w:rsid w:val="005340C5"/>
    <w:rsid w:val="00550580"/>
    <w:rsid w:val="00553269"/>
    <w:rsid w:val="006856DF"/>
    <w:rsid w:val="006B4664"/>
    <w:rsid w:val="007326D2"/>
    <w:rsid w:val="00785726"/>
    <w:rsid w:val="007B2B64"/>
    <w:rsid w:val="007F6BBC"/>
    <w:rsid w:val="008352BD"/>
    <w:rsid w:val="00860CFC"/>
    <w:rsid w:val="008B2EA7"/>
    <w:rsid w:val="00952A55"/>
    <w:rsid w:val="0095337F"/>
    <w:rsid w:val="0096270C"/>
    <w:rsid w:val="009E1F3C"/>
    <w:rsid w:val="00A05920"/>
    <w:rsid w:val="00AD2D27"/>
    <w:rsid w:val="00B00A2B"/>
    <w:rsid w:val="00B25936"/>
    <w:rsid w:val="00B36614"/>
    <w:rsid w:val="00B90074"/>
    <w:rsid w:val="00BA5EE6"/>
    <w:rsid w:val="00BC3E3F"/>
    <w:rsid w:val="00BD20AC"/>
    <w:rsid w:val="00C76BDF"/>
    <w:rsid w:val="00C826EB"/>
    <w:rsid w:val="00C97D7D"/>
    <w:rsid w:val="00CD36B7"/>
    <w:rsid w:val="00D03A40"/>
    <w:rsid w:val="00D16BC1"/>
    <w:rsid w:val="00E656DA"/>
    <w:rsid w:val="00E734AD"/>
    <w:rsid w:val="00EF2F42"/>
    <w:rsid w:val="00F2730C"/>
    <w:rsid w:val="00F71DBC"/>
    <w:rsid w:val="00F90899"/>
    <w:rsid w:val="00F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C141"/>
  <w14:defaultImageDpi w14:val="32767"/>
  <w15:chartTrackingRefBased/>
  <w15:docId w15:val="{D282B01F-73DE-6940-A6C2-5F52ECF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DBC"/>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DBC"/>
    <w:pPr>
      <w:tabs>
        <w:tab w:val="center" w:pos="4680"/>
        <w:tab w:val="right" w:pos="9360"/>
      </w:tabs>
    </w:pPr>
  </w:style>
  <w:style w:type="character" w:customStyle="1" w:styleId="FooterChar">
    <w:name w:val="Footer Char"/>
    <w:basedOn w:val="DefaultParagraphFont"/>
    <w:link w:val="Footer"/>
    <w:uiPriority w:val="99"/>
    <w:rsid w:val="00F71DBC"/>
    <w:rPr>
      <w:rFonts w:eastAsiaTheme="minorEastAsia"/>
      <w:sz w:val="22"/>
      <w:szCs w:val="22"/>
    </w:rPr>
  </w:style>
  <w:style w:type="character" w:styleId="PageNumber">
    <w:name w:val="page number"/>
    <w:basedOn w:val="DefaultParagraphFont"/>
    <w:uiPriority w:val="99"/>
    <w:semiHidden/>
    <w:unhideWhenUsed/>
    <w:rsid w:val="00F71DBC"/>
  </w:style>
  <w:style w:type="table" w:styleId="TableGrid">
    <w:name w:val="Table Grid"/>
    <w:basedOn w:val="TableNormal"/>
    <w:uiPriority w:val="39"/>
    <w:rsid w:val="00F7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6270C"/>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Goff</dc:creator>
  <cp:keywords/>
  <dc:description/>
  <cp:lastModifiedBy>Sarah Goff</cp:lastModifiedBy>
  <cp:revision>2</cp:revision>
  <dcterms:created xsi:type="dcterms:W3CDTF">2019-05-14T00:28:00Z</dcterms:created>
  <dcterms:modified xsi:type="dcterms:W3CDTF">2019-05-14T00:29:00Z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id="CcL1zHs1"/&gt;&lt;style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