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3" w:rsidRPr="00966273" w:rsidRDefault="00966273" w:rsidP="00966273">
      <w:pPr>
        <w:pageBreakBefore/>
        <w:spacing w:after="120" w:line="540" w:lineRule="atLeast"/>
        <w:contextualSpacing/>
        <w:outlineLvl w:val="0"/>
        <w:rPr>
          <w:rFonts w:asciiTheme="majorHAnsi" w:hAnsiTheme="majorHAnsi" w:cstheme="majorHAnsi"/>
          <w:sz w:val="38"/>
          <w:szCs w:val="32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sz w:val="38"/>
          <w:szCs w:val="32"/>
          <w:lang w:val="en-US"/>
        </w:rPr>
        <w:t>Quality Appraisal Checklist</w:t>
      </w:r>
    </w:p>
    <w:p w:rsidR="00966273" w:rsidRPr="00966273" w:rsidRDefault="00966273" w:rsidP="00966273">
      <w:pPr>
        <w:spacing w:before="60" w:after="160" w:line="300" w:lineRule="atLeast"/>
      </w:pPr>
    </w:p>
    <w:p w:rsidR="00F31A6E" w:rsidRPr="00F31A6E" w:rsidRDefault="00F31A6E" w:rsidP="00F31A6E">
      <w:pPr>
        <w:numPr>
          <w:ilvl w:val="0"/>
          <w:numId w:val="13"/>
        </w:numPr>
        <w:spacing w:before="60" w:after="160" w:line="300" w:lineRule="atLeast"/>
        <w:rPr>
          <w:i/>
          <w:lang w:val="en-US"/>
        </w:rPr>
      </w:pPr>
      <w:r w:rsidRPr="00F31A6E">
        <w:rPr>
          <w:lang w:val="en-US"/>
        </w:rPr>
        <w:t>Study design</w:t>
      </w:r>
    </w:p>
    <w:p w:rsidR="00F31A6E" w:rsidRPr="00F31A6E" w:rsidRDefault="00F31A6E" w:rsidP="00F31A6E">
      <w:p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>The study is preferably primarily designed to analyze intersectional inequalities (e.g. stated as aim or objective and not included as post hoc analysis).</w:t>
      </w:r>
    </w:p>
    <w:p w:rsidR="00F31A6E" w:rsidRPr="00F31A6E" w:rsidRDefault="00F31A6E" w:rsidP="00F31A6E">
      <w:pPr>
        <w:numPr>
          <w:ilvl w:val="0"/>
          <w:numId w:val="13"/>
        </w:num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 xml:space="preserve">Data collection </w:t>
      </w:r>
    </w:p>
    <w:p w:rsidR="00F31A6E" w:rsidRPr="00F31A6E" w:rsidRDefault="00F31A6E" w:rsidP="00F31A6E">
      <w:p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 xml:space="preserve">The study population is randomly selected and preferably representable of the general population. The collection of data on background characteristics such as income and social class is preferably based on </w:t>
      </w:r>
      <w:proofErr w:type="gramStart"/>
      <w:r w:rsidRPr="00F31A6E">
        <w:rPr>
          <w:lang w:val="en-US"/>
        </w:rPr>
        <w:t>registers,</w:t>
      </w:r>
      <w:proofErr w:type="gramEnd"/>
      <w:r w:rsidRPr="00F31A6E">
        <w:rPr>
          <w:lang w:val="en-US"/>
        </w:rPr>
        <w:t xml:space="preserve"> and personal characteristics such as sexual orientation is based on validated questions or questionnaires. </w:t>
      </w:r>
    </w:p>
    <w:p w:rsidR="00F31A6E" w:rsidRPr="00F31A6E" w:rsidRDefault="00F31A6E" w:rsidP="00F31A6E">
      <w:pPr>
        <w:numPr>
          <w:ilvl w:val="0"/>
          <w:numId w:val="13"/>
        </w:num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 xml:space="preserve">Outcome measures </w:t>
      </w:r>
    </w:p>
    <w:p w:rsidR="00F31A6E" w:rsidRPr="00F31A6E" w:rsidRDefault="00F31A6E" w:rsidP="00F31A6E">
      <w:p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>Validated scales or diagnostic tools should be used to measure the outcome.</w:t>
      </w:r>
    </w:p>
    <w:p w:rsidR="00F31A6E" w:rsidRPr="00F31A6E" w:rsidRDefault="00F31A6E" w:rsidP="00F31A6E">
      <w:pPr>
        <w:numPr>
          <w:ilvl w:val="0"/>
          <w:numId w:val="13"/>
        </w:num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 xml:space="preserve">Statistical methods </w:t>
      </w:r>
    </w:p>
    <w:p w:rsidR="00F31A6E" w:rsidRPr="00F31A6E" w:rsidRDefault="00F31A6E" w:rsidP="00F31A6E">
      <w:p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 xml:space="preserve">Preferably statistical methods yielding results corresponding to the intersectional inequalities described in </w:t>
      </w:r>
      <w:r w:rsidRPr="00F31A6E">
        <w:rPr>
          <w:lang w:val="en-US"/>
        </w:rPr>
        <w:fldChar w:fldCharType="begin"/>
      </w:r>
      <w:r w:rsidRPr="00F31A6E">
        <w:rPr>
          <w:lang w:val="en-US"/>
        </w:rPr>
        <w:instrText xml:space="preserve"> ADDIN EN.CITE &lt;EndNote&gt;&lt;Cite&gt;&lt;Author&gt;Jackson&lt;/Author&gt;&lt;Year&gt;2016&lt;/Year&gt;&lt;RecNum&gt;65&lt;/RecNum&gt;&lt;DisplayText&gt;(29)&lt;/DisplayText&gt;&lt;record&gt;&lt;rec-number&gt;65&lt;/rec-number&gt;&lt;foreign-keys&gt;&lt;key app="EN" db-id="2evd0ps0vw5trteev9n5r0vppawx9zfrxa5d" timestamp="1560537762"&gt;65&lt;/key&gt;&lt;/foreign-keys&gt;&lt;ref-type name="Journal Article"&gt;17&lt;/ref-type&gt;&lt;contributors&gt;&lt;authors&gt;&lt;author&gt;Jackson, John W&lt;/author&gt;&lt;author&gt;Williams, David R&lt;/author&gt;&lt;author&gt;VanderWeele, Tyler J&lt;/author&gt;&lt;/authors&gt;&lt;/contributors&gt;&lt;titles&gt;&lt;title&gt;Disparities at the intersection of marginalized groups&lt;/title&gt;&lt;secondary-title&gt;Social psychiatry and psychiatric epidemiology&lt;/secondary-title&gt;&lt;/titles&gt;&lt;periodical&gt;&lt;full-title&gt;Soc Psychiatry Psychiatr Epidemiol&lt;/full-title&gt;&lt;abbr-1&gt;Social psychiatry and psychiatric epidemiology&lt;/abbr-1&gt;&lt;/periodical&gt;&lt;pages&gt;1349-1359&lt;/pages&gt;&lt;volume&gt;51&lt;/volume&gt;&lt;number&gt;10&lt;/number&gt;&lt;dates&gt;&lt;year&gt;2016&lt;/year&gt;&lt;/dates&gt;&lt;isbn&gt;0933-7954&lt;/isbn&gt;&lt;urls&gt;&lt;/urls&gt;&lt;/record&gt;&lt;/Cite&gt;&lt;/EndNote&gt;</w:instrText>
      </w:r>
      <w:r w:rsidRPr="00F31A6E">
        <w:rPr>
          <w:lang w:val="en-US"/>
        </w:rPr>
        <w:fldChar w:fldCharType="separate"/>
      </w:r>
      <w:r w:rsidRPr="00F31A6E">
        <w:rPr>
          <w:lang w:val="en-US"/>
        </w:rPr>
        <w:t>(29)</w:t>
      </w:r>
      <w:r w:rsidRPr="00F31A6E">
        <w:rPr>
          <w:lang w:val="en-US"/>
        </w:rPr>
        <w:fldChar w:fldCharType="end"/>
      </w:r>
      <w:r w:rsidRPr="00F31A6E">
        <w:rPr>
          <w:lang w:val="en-US"/>
        </w:rPr>
        <w:t xml:space="preserve"> are applied.</w:t>
      </w:r>
    </w:p>
    <w:p w:rsidR="00F31A6E" w:rsidRPr="00F31A6E" w:rsidRDefault="00F31A6E" w:rsidP="00F31A6E">
      <w:pPr>
        <w:numPr>
          <w:ilvl w:val="0"/>
          <w:numId w:val="13"/>
        </w:numPr>
        <w:spacing w:before="60" w:after="160" w:line="300" w:lineRule="atLeast"/>
        <w:rPr>
          <w:lang w:val="en-US"/>
        </w:rPr>
      </w:pPr>
      <w:r w:rsidRPr="00F31A6E">
        <w:rPr>
          <w:lang w:val="en-US"/>
        </w:rPr>
        <w:t xml:space="preserve">Reporting of intersectional inequalities </w:t>
      </w:r>
    </w:p>
    <w:p w:rsidR="00F31A6E" w:rsidRPr="00F31A6E" w:rsidRDefault="00F31A6E" w:rsidP="00F31A6E">
      <w:pPr>
        <w:spacing w:before="60" w:after="160" w:line="300" w:lineRule="atLeast"/>
        <w:rPr>
          <w:i/>
          <w:lang w:val="en-US"/>
        </w:rPr>
      </w:pPr>
      <w:r w:rsidRPr="00F31A6E">
        <w:rPr>
          <w:lang w:val="en-US"/>
        </w:rPr>
        <w:t>Preferably, all results, not only significant estimates, are reported.</w:t>
      </w:r>
    </w:p>
    <w:p w:rsidR="00966273" w:rsidRPr="00966273" w:rsidRDefault="00966273" w:rsidP="00966273">
      <w:pPr>
        <w:spacing w:line="259" w:lineRule="auto"/>
        <w:ind w:left="720"/>
        <w:contextualSpacing/>
        <w:rPr>
          <w:lang w:val="en-US"/>
        </w:rPr>
      </w:pPr>
    </w:p>
    <w:tbl>
      <w:tblPr>
        <w:tblStyle w:val="Tabellrutnt1"/>
        <w:tblW w:w="5000" w:type="pct"/>
        <w:tblLook w:val="04A0" w:firstRow="1" w:lastRow="0" w:firstColumn="1" w:lastColumn="0" w:noHBand="0" w:noVBand="1"/>
      </w:tblPr>
      <w:tblGrid>
        <w:gridCol w:w="3791"/>
        <w:gridCol w:w="1900"/>
        <w:gridCol w:w="1137"/>
        <w:gridCol w:w="1936"/>
        <w:gridCol w:w="1561"/>
        <w:gridCol w:w="2249"/>
        <w:gridCol w:w="1644"/>
      </w:tblGrid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spacing w:after="160" w:line="30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Study</w:t>
            </w:r>
            <w:r w:rsidRPr="0096627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  <w:rPr>
                <w:b/>
              </w:rPr>
            </w:pPr>
            <w:r w:rsidRPr="00966273">
              <w:rPr>
                <w:b/>
              </w:rPr>
              <w:t xml:space="preserve">1 </w:t>
            </w:r>
            <w:r>
              <w:rPr>
                <w:b/>
              </w:rPr>
              <w:t>study design</w:t>
            </w:r>
            <w:r w:rsidRPr="00966273">
              <w:rPr>
                <w:b/>
              </w:rPr>
              <w:t xml:space="preserve"> 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  <w:rPr>
                <w:b/>
              </w:rPr>
            </w:pPr>
            <w:r>
              <w:rPr>
                <w:b/>
              </w:rPr>
              <w:t>2 data collection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  <w:rPr>
                <w:b/>
              </w:rPr>
            </w:pPr>
            <w:r w:rsidRPr="00966273">
              <w:rPr>
                <w:b/>
              </w:rPr>
              <w:t xml:space="preserve">3 </w:t>
            </w:r>
            <w:r>
              <w:rPr>
                <w:b/>
              </w:rPr>
              <w:t>outcome measure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  <w:rPr>
                <w:b/>
              </w:rPr>
            </w:pPr>
            <w:r w:rsidRPr="00966273">
              <w:rPr>
                <w:b/>
              </w:rPr>
              <w:t xml:space="preserve">4 </w:t>
            </w:r>
            <w:r>
              <w:rPr>
                <w:b/>
              </w:rPr>
              <w:t>statistical methods</w:t>
            </w:r>
          </w:p>
        </w:tc>
        <w:tc>
          <w:tcPr>
            <w:tcW w:w="791" w:type="pct"/>
          </w:tcPr>
          <w:p w:rsidR="00966273" w:rsidRPr="00966273" w:rsidRDefault="00966273" w:rsidP="003A5D4D">
            <w:pPr>
              <w:spacing w:after="160" w:line="300" w:lineRule="atLeast"/>
              <w:rPr>
                <w:b/>
              </w:rPr>
            </w:pPr>
            <w:r w:rsidRPr="00966273">
              <w:rPr>
                <w:b/>
              </w:rPr>
              <w:t xml:space="preserve">5 </w:t>
            </w:r>
            <w:r>
              <w:rPr>
                <w:b/>
              </w:rPr>
              <w:t>reporting of results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  <w:rPr>
                <w:b/>
              </w:rPr>
            </w:pPr>
            <w:r>
              <w:rPr>
                <w:b/>
              </w:rPr>
              <w:t>Total score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Becker, M., Cortina, K. S., Tsai, Y.-M. &amp; Eccles, J. S. 2014. Sexual orientation, psychological well-being, and mental health: A longitudinal analysis from adolescence to young 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adulthood.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Psychology of Sexual Orientation and Gender Diversity,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1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132-145.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lastRenderedPageBreak/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 xml:space="preserve">1 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Cohen, J. M.,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Blasey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C., Barr Taylor, C., Weiss, B. J. &amp; Newman, M. G. 2016. Anxiety and Related Disorders and Concealment in Sexual Minority Young Adults.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Behav Ther,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47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91-101.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rPr>
                <w:sz w:val="20"/>
              </w:rPr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rPr>
                <w:sz w:val="20"/>
              </w:rPr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rPr>
                <w:sz w:val="20"/>
              </w:rPr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rPr>
                <w:sz w:val="20"/>
              </w:rPr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rPr>
                <w:sz w:val="20"/>
              </w:rPr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Davids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C. M. &amp; Green, M. A. 2011. A preliminary investigation of body dissatisfaction and eating disorder symptomatology with bisexual individuals.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Sex Roles,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65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533-547.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0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4/5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F63364" w:rsidP="00F633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Evans CR, Williams DR, </w:t>
            </w:r>
            <w:proofErr w:type="spellStart"/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Onnela</w:t>
            </w:r>
            <w:proofErr w:type="spellEnd"/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J-P, Subramanian S. A multilevel approach to modeling health inequalities at the intersection of multiple social identities. </w:t>
            </w:r>
            <w:r w:rsidRPr="00F63364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Social Science &amp; Medicine</w:t>
            </w:r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 2018</w:t>
            </w:r>
            <w:proofErr w:type="gramStart"/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;203:64</w:t>
            </w:r>
            <w:proofErr w:type="gramEnd"/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-73.</w:t>
            </w:r>
          </w:p>
        </w:tc>
        <w:tc>
          <w:tcPr>
            <w:tcW w:w="668" w:type="pct"/>
          </w:tcPr>
          <w:p w:rsidR="00966273" w:rsidRPr="00966273" w:rsidRDefault="00F63364" w:rsidP="00966273">
            <w:pPr>
              <w:spacing w:after="160" w:line="300" w:lineRule="atLeast"/>
            </w:pPr>
            <w:r>
              <w:t>1</w:t>
            </w:r>
          </w:p>
        </w:tc>
        <w:tc>
          <w:tcPr>
            <w:tcW w:w="400" w:type="pct"/>
          </w:tcPr>
          <w:p w:rsidR="00966273" w:rsidRPr="00966273" w:rsidRDefault="00F63364" w:rsidP="00966273">
            <w:pPr>
              <w:spacing w:after="160" w:line="300" w:lineRule="atLeast"/>
            </w:pPr>
            <w:r>
              <w:t>1</w:t>
            </w:r>
          </w:p>
        </w:tc>
        <w:tc>
          <w:tcPr>
            <w:tcW w:w="681" w:type="pct"/>
          </w:tcPr>
          <w:p w:rsidR="00966273" w:rsidRPr="00966273" w:rsidRDefault="00F63364" w:rsidP="00966273">
            <w:pPr>
              <w:spacing w:after="160" w:line="300" w:lineRule="atLeast"/>
            </w:pPr>
            <w:r>
              <w:t>1</w:t>
            </w:r>
          </w:p>
        </w:tc>
        <w:tc>
          <w:tcPr>
            <w:tcW w:w="549" w:type="pct"/>
          </w:tcPr>
          <w:p w:rsidR="00966273" w:rsidRPr="00966273" w:rsidRDefault="00F63364" w:rsidP="00966273">
            <w:pPr>
              <w:spacing w:after="160" w:line="300" w:lineRule="atLeast"/>
            </w:pPr>
            <w:r>
              <w:t>1</w:t>
            </w:r>
          </w:p>
        </w:tc>
        <w:tc>
          <w:tcPr>
            <w:tcW w:w="791" w:type="pct"/>
          </w:tcPr>
          <w:p w:rsidR="00966273" w:rsidRPr="00966273" w:rsidRDefault="00F63364" w:rsidP="00966273">
            <w:pPr>
              <w:spacing w:after="160" w:line="300" w:lineRule="atLeast"/>
            </w:pPr>
            <w:r>
              <w:t>1</w:t>
            </w:r>
          </w:p>
        </w:tc>
        <w:tc>
          <w:tcPr>
            <w:tcW w:w="578" w:type="pct"/>
          </w:tcPr>
          <w:p w:rsidR="00966273" w:rsidRPr="00966273" w:rsidRDefault="00F63364" w:rsidP="00966273">
            <w:pPr>
              <w:spacing w:after="160" w:line="300" w:lineRule="atLeast"/>
            </w:pPr>
            <w:r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Garratt, E. A.,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Chandola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T.,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Purdam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K. &amp; Wood, A. M. 2016. The interactive role of income (material position) and income rank (psychosocial position) in psychological distress: a 9-year longitudinal study of 30,000 UK parents.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Soc Psychiatry Psychiatr Epidemiol,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51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1361-1372.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F63364" w:rsidP="00F63364">
            <w:pPr>
              <w:numPr>
                <w:ilvl w:val="0"/>
                <w:numId w:val="10"/>
              </w:numPr>
              <w:spacing w:after="160" w:line="300" w:lineRule="atLeast"/>
              <w:rPr>
                <w:color w:val="000000" w:themeColor="text1"/>
                <w:lang w:val="en-US"/>
              </w:rPr>
            </w:pPr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Gibson PA, Baker EH, Milner AN. The role of sex, gender, and education on depressive symptoms among young adults in the United States. Journal of affective disorders. 2016</w:t>
            </w:r>
            <w:proofErr w:type="gramStart"/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;189:306</w:t>
            </w:r>
            <w:proofErr w:type="gramEnd"/>
            <w:r w:rsidRPr="00F6336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-13.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0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4/5</w:t>
            </w:r>
          </w:p>
        </w:tc>
      </w:tr>
      <w:tr w:rsidR="00966273" w:rsidRPr="00966273" w:rsidTr="00F13DB0">
        <w:trPr>
          <w:trHeight w:val="893"/>
        </w:trPr>
        <w:tc>
          <w:tcPr>
            <w:tcW w:w="1333" w:type="pct"/>
            <w:vMerge w:val="restar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Green, M. J. &amp;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Benzeval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M. 2011. Ageing, social class and common mental disorders: Longitudinal evidence from three cohorts in the West of Scotland.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Psychological Medicine,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41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565-574.</w:t>
            </w:r>
          </w:p>
        </w:tc>
        <w:tc>
          <w:tcPr>
            <w:tcW w:w="668" w:type="pct"/>
            <w:vMerge w:val="restar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0</w:t>
            </w:r>
          </w:p>
        </w:tc>
        <w:tc>
          <w:tcPr>
            <w:tcW w:w="400" w:type="pct"/>
            <w:vMerge w:val="restar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  <w:vMerge w:val="restar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  <w:vMerge w:val="restar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 xml:space="preserve">1 anxiety, 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4/5</w:t>
            </w:r>
          </w:p>
        </w:tc>
      </w:tr>
      <w:tr w:rsidR="00966273" w:rsidRPr="00966273" w:rsidTr="00F13DB0">
        <w:trPr>
          <w:trHeight w:val="893"/>
        </w:trPr>
        <w:tc>
          <w:tcPr>
            <w:tcW w:w="1333" w:type="pct"/>
            <w:vMerge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vMerge/>
          </w:tcPr>
          <w:p w:rsidR="00966273" w:rsidRPr="00966273" w:rsidRDefault="00966273" w:rsidP="00966273">
            <w:pPr>
              <w:spacing w:after="160" w:line="300" w:lineRule="atLeast"/>
            </w:pPr>
          </w:p>
        </w:tc>
        <w:tc>
          <w:tcPr>
            <w:tcW w:w="400" w:type="pct"/>
            <w:vMerge/>
          </w:tcPr>
          <w:p w:rsidR="00966273" w:rsidRPr="00966273" w:rsidRDefault="00966273" w:rsidP="00966273">
            <w:pPr>
              <w:spacing w:after="160" w:line="300" w:lineRule="atLeast"/>
            </w:pPr>
          </w:p>
        </w:tc>
        <w:tc>
          <w:tcPr>
            <w:tcW w:w="681" w:type="pct"/>
            <w:vMerge/>
          </w:tcPr>
          <w:p w:rsidR="00966273" w:rsidRPr="00966273" w:rsidRDefault="00966273" w:rsidP="00966273">
            <w:pPr>
              <w:spacing w:after="160" w:line="300" w:lineRule="atLeast"/>
            </w:pPr>
          </w:p>
        </w:tc>
        <w:tc>
          <w:tcPr>
            <w:tcW w:w="549" w:type="pct"/>
            <w:vMerge/>
          </w:tcPr>
          <w:p w:rsidR="00966273" w:rsidRPr="00966273" w:rsidRDefault="00966273" w:rsidP="00966273">
            <w:pPr>
              <w:spacing w:after="160" w:line="300" w:lineRule="atLeast"/>
            </w:pP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0 depression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3/5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Green, M. J.,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Espie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C. A. &amp;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Benzeval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M. 2014. Social class and gender patterning of insomnia symptoms and psychiatric distress: A 20-year prospective cohort study.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BMC Psychiatry,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14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9.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0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4/5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Gustafsson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P. E., Sebastian, M. S. &amp; Mosquera, P. A. 2016. Meddling with middle modalities: a decomposition approach to mental health inequalities between intersectional gender and economic middle groups in northern Sweden.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Glob Health Action,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9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32819.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Hardeman, R. R.,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Przedworski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J. M., Burke, S. E., Burgess, D. J., Phelan, S. M., Dovidio, J. F., Nelson, D., Rockwood, T. &amp; van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Ryn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M. 2015. 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Mental Well-Being in First Year Medical Students: A Comparison by Race and Gender: A Report from the Medical Student CHANGE Study.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J Racial Ethn Health Disparities,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2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403-13.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lastRenderedPageBreak/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Li, G., Pollitt, A. M. &amp; Russell, S. T. 2016. Depression and Sexual Orientation </w:t>
            </w:r>
            <w:proofErr w:type="gram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During</w:t>
            </w:r>
            <w:proofErr w:type="gram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Young Adulthood: Diversity Among Sexual Minority Subgroups and the Role of Gender Nonconformity.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Arch Sex Behav,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45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697-711.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  <w:rPr>
                <w:highlight w:val="yellow"/>
              </w:rPr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 xml:space="preserve">5/5 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Lundberg, J., Kristenson, M. &amp; Starrin, B. 2009. 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Status incongruence revisited: associations with shame and mental wellbeing.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Sociol Health Illn,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31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478-93.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Mair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C. A. 2010. Social ties and depression: An intersectional examination of black and white community-dwelling older adults. </w:t>
            </w:r>
            <w:r w:rsidRPr="00966273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Journal of Applied Gerontology,</w:t>
            </w:r>
            <w:r w:rsidRPr="0096627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29</w:t>
            </w:r>
            <w:r w:rsidRPr="0096627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,</w:t>
            </w:r>
            <w:r w:rsidRPr="0096627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667-696.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0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4/5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Rosenfield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S. 2012. Triple jeopardy? Mental health at the intersection of gender, race, and class.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Soc Sci Med,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74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1791-801.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641C48" w:rsidP="00641C48">
            <w:pPr>
              <w:numPr>
                <w:ilvl w:val="0"/>
                <w:numId w:val="10"/>
              </w:numPr>
              <w:spacing w:after="160" w:line="300" w:lineRule="atLeast"/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Ross CE, </w:t>
            </w:r>
            <w:proofErr w:type="spellStart"/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Mirowsky</w:t>
            </w:r>
            <w:proofErr w:type="spellEnd"/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J. Sex differences in the effect of education on </w:t>
            </w:r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depression: resource multiplication or resource substitution? </w:t>
            </w:r>
            <w:r w:rsidRPr="00641C48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Social science &amp; medicine</w:t>
            </w:r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 2006</w:t>
            </w:r>
            <w:proofErr w:type="gramStart"/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;63</w:t>
            </w:r>
            <w:proofErr w:type="gramEnd"/>
            <w:r w:rsidRPr="00641C4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(5):1400-13.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lastRenderedPageBreak/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  <w:rPr>
                <w:lang w:val="en-US"/>
              </w:rPr>
            </w:pPr>
            <w:r w:rsidRPr="00966273">
              <w:rPr>
                <w:lang w:val="en-US"/>
              </w:rPr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Roxburgh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S. 2009. Untangling inequalities: Gender, race, and socioeconomic differences in depression. </w:t>
            </w:r>
            <w:proofErr w:type="spellStart"/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Sociologica</w:t>
            </w:r>
            <w:proofErr w:type="spellEnd"/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 Forum,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24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357-381.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Schieman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S. 2002. Socioeconomic Status, Job Conditions, and Well-being: Self-Concept Explanations for Gender-Contingent Effects.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 Sociological Quarterly,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43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627-646.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Strong, S. M., Williamson, D. A.,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Netemeyer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R. G. &amp; Geer, J. H. 2000. Eating disorder symptoms and concerns about body differ as a function of gender and sexual orientation.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Journal of Social and Clinical Psychology,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19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240-255.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 xml:space="preserve">1 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  <w:rPr>
                <w:highlight w:val="yellow"/>
              </w:rPr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Valdez, L. A. &amp; </w:t>
            </w:r>
            <w:proofErr w:type="spellStart"/>
            <w:r w:rsidRPr="00966273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Langellier</w:t>
            </w:r>
            <w:proofErr w:type="spellEnd"/>
            <w:r w:rsidRPr="00966273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, B. A. 2015. 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Racial/Ethnic and Socioeconomic Disparities in Mental Health in Arizona.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Front </w:t>
            </w:r>
            <w:proofErr w:type="spellStart"/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Publ</w:t>
            </w:r>
            <w:proofErr w:type="spellEnd"/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ic Health,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3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170.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0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 xml:space="preserve">1 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4/5</w:t>
            </w:r>
          </w:p>
        </w:tc>
      </w:tr>
      <w:tr w:rsidR="00966273" w:rsidRPr="00966273" w:rsidTr="00F13DB0">
        <w:tc>
          <w:tcPr>
            <w:tcW w:w="1333" w:type="pct"/>
          </w:tcPr>
          <w:p w:rsidR="00966273" w:rsidRPr="00966273" w:rsidRDefault="00966273" w:rsidP="009662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30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Wamala, S., Ahnquist, J. &amp; Månsdotter, A. 2009. </w:t>
            </w:r>
            <w:r w:rsidRPr="009662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How do gender, class and ethnicity interact to determine health status? </w:t>
            </w:r>
            <w:r w:rsidRPr="0096627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Journal of Gender Studies,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18</w:t>
            </w:r>
            <w:r w:rsidRPr="009662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966273">
              <w:rPr>
                <w:rFonts w:asciiTheme="majorHAnsi" w:hAnsiTheme="majorHAnsi" w:cstheme="majorHAnsi"/>
                <w:sz w:val="18"/>
                <w:szCs w:val="18"/>
              </w:rPr>
              <w:t xml:space="preserve"> 115-129.</w:t>
            </w:r>
          </w:p>
        </w:tc>
        <w:tc>
          <w:tcPr>
            <w:tcW w:w="66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400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68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49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791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1</w:t>
            </w:r>
          </w:p>
        </w:tc>
        <w:tc>
          <w:tcPr>
            <w:tcW w:w="578" w:type="pct"/>
          </w:tcPr>
          <w:p w:rsidR="00966273" w:rsidRPr="00966273" w:rsidRDefault="00966273" w:rsidP="00966273">
            <w:pPr>
              <w:spacing w:after="160" w:line="300" w:lineRule="atLeast"/>
            </w:pPr>
            <w:r w:rsidRPr="00966273">
              <w:t>5/5</w:t>
            </w:r>
          </w:p>
        </w:tc>
      </w:tr>
    </w:tbl>
    <w:p w:rsidR="00966273" w:rsidRPr="00966273" w:rsidRDefault="00966273" w:rsidP="00966273">
      <w:pPr>
        <w:spacing w:before="60" w:after="160" w:line="300" w:lineRule="atLeast"/>
      </w:pPr>
    </w:p>
    <w:p w:rsidR="00F353EA" w:rsidRPr="00292BBA" w:rsidRDefault="00F353EA" w:rsidP="00292BBA"/>
    <w:sectPr w:rsidR="00F353EA" w:rsidRPr="00292BBA" w:rsidSect="0096627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1F" w:rsidRDefault="00B8641F" w:rsidP="001A1FDF">
      <w:r>
        <w:separator/>
      </w:r>
    </w:p>
  </w:endnote>
  <w:endnote w:type="continuationSeparator" w:id="0">
    <w:p w:rsidR="00B8641F" w:rsidRDefault="00B8641F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1F" w:rsidRDefault="00B8641F" w:rsidP="001A1FDF">
      <w:r>
        <w:separator/>
      </w:r>
    </w:p>
  </w:footnote>
  <w:footnote w:type="continuationSeparator" w:id="0">
    <w:p w:rsidR="00B8641F" w:rsidRDefault="00B8641F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2D7E"/>
    <w:multiLevelType w:val="hybridMultilevel"/>
    <w:tmpl w:val="FA88E1D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4811"/>
    <w:multiLevelType w:val="multilevel"/>
    <w:tmpl w:val="954AC72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6D0B65"/>
    <w:multiLevelType w:val="hybridMultilevel"/>
    <w:tmpl w:val="7C4E3D82"/>
    <w:lvl w:ilvl="0" w:tplc="16F40A8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3C65"/>
    <w:multiLevelType w:val="hybridMultilevel"/>
    <w:tmpl w:val="0AC0BD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7DAC"/>
    <w:multiLevelType w:val="hybridMultilevel"/>
    <w:tmpl w:val="B26E9A4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458BE"/>
    <w:multiLevelType w:val="multilevel"/>
    <w:tmpl w:val="D9A89FA0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ja Trygg">
    <w15:presenceInfo w15:providerId="AD" w15:userId="S-1-5-21-1634941473-1398440489-521539862-5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66273"/>
    <w:rsid w:val="0001655E"/>
    <w:rsid w:val="00017F59"/>
    <w:rsid w:val="000246BE"/>
    <w:rsid w:val="000437D6"/>
    <w:rsid w:val="00052138"/>
    <w:rsid w:val="00065A05"/>
    <w:rsid w:val="00076BCA"/>
    <w:rsid w:val="00076D59"/>
    <w:rsid w:val="00077CE6"/>
    <w:rsid w:val="000816EA"/>
    <w:rsid w:val="000948AE"/>
    <w:rsid w:val="000B1B90"/>
    <w:rsid w:val="000B6FCA"/>
    <w:rsid w:val="000E2C84"/>
    <w:rsid w:val="000F3585"/>
    <w:rsid w:val="000F78C3"/>
    <w:rsid w:val="00112CA9"/>
    <w:rsid w:val="00160D48"/>
    <w:rsid w:val="0016661E"/>
    <w:rsid w:val="001827DE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F58E4"/>
    <w:rsid w:val="00261FDA"/>
    <w:rsid w:val="0026249D"/>
    <w:rsid w:val="00264636"/>
    <w:rsid w:val="0026620D"/>
    <w:rsid w:val="00282E79"/>
    <w:rsid w:val="00284B58"/>
    <w:rsid w:val="00284E59"/>
    <w:rsid w:val="00285704"/>
    <w:rsid w:val="00292BBA"/>
    <w:rsid w:val="002A2CA0"/>
    <w:rsid w:val="002B4F36"/>
    <w:rsid w:val="002D6B41"/>
    <w:rsid w:val="002D7A7C"/>
    <w:rsid w:val="00300FD0"/>
    <w:rsid w:val="00305022"/>
    <w:rsid w:val="00312C86"/>
    <w:rsid w:val="003274F1"/>
    <w:rsid w:val="0033140C"/>
    <w:rsid w:val="003347B8"/>
    <w:rsid w:val="00335C6B"/>
    <w:rsid w:val="00345A3A"/>
    <w:rsid w:val="00345AA1"/>
    <w:rsid w:val="00346CF3"/>
    <w:rsid w:val="00357098"/>
    <w:rsid w:val="0037599F"/>
    <w:rsid w:val="00393D01"/>
    <w:rsid w:val="003A5D4D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5A75"/>
    <w:rsid w:val="00490319"/>
    <w:rsid w:val="004B6DB2"/>
    <w:rsid w:val="004C2F7B"/>
    <w:rsid w:val="004E4163"/>
    <w:rsid w:val="00501AE5"/>
    <w:rsid w:val="00510F62"/>
    <w:rsid w:val="00530DAB"/>
    <w:rsid w:val="00537CE0"/>
    <w:rsid w:val="00542FCE"/>
    <w:rsid w:val="00545E77"/>
    <w:rsid w:val="00551D8E"/>
    <w:rsid w:val="00560E5C"/>
    <w:rsid w:val="0057439C"/>
    <w:rsid w:val="00584F35"/>
    <w:rsid w:val="005A6ED7"/>
    <w:rsid w:val="005B1F52"/>
    <w:rsid w:val="005B228B"/>
    <w:rsid w:val="005C4913"/>
    <w:rsid w:val="005C59E2"/>
    <w:rsid w:val="005D0CAB"/>
    <w:rsid w:val="005D3805"/>
    <w:rsid w:val="005D71B1"/>
    <w:rsid w:val="005F4A00"/>
    <w:rsid w:val="006015EA"/>
    <w:rsid w:val="006028FD"/>
    <w:rsid w:val="006273F3"/>
    <w:rsid w:val="00641C48"/>
    <w:rsid w:val="006710D5"/>
    <w:rsid w:val="0067454A"/>
    <w:rsid w:val="00696CE2"/>
    <w:rsid w:val="006B4D39"/>
    <w:rsid w:val="006B77DC"/>
    <w:rsid w:val="006C56E6"/>
    <w:rsid w:val="006C7615"/>
    <w:rsid w:val="006F234C"/>
    <w:rsid w:val="0070235E"/>
    <w:rsid w:val="00710A1E"/>
    <w:rsid w:val="0071246E"/>
    <w:rsid w:val="00712E2A"/>
    <w:rsid w:val="00721DBA"/>
    <w:rsid w:val="007276E0"/>
    <w:rsid w:val="00734139"/>
    <w:rsid w:val="007345AA"/>
    <w:rsid w:val="007367C4"/>
    <w:rsid w:val="00743B03"/>
    <w:rsid w:val="00777067"/>
    <w:rsid w:val="0078548C"/>
    <w:rsid w:val="007859EF"/>
    <w:rsid w:val="00785A16"/>
    <w:rsid w:val="007B5199"/>
    <w:rsid w:val="007C6776"/>
    <w:rsid w:val="007D438E"/>
    <w:rsid w:val="007D61BB"/>
    <w:rsid w:val="00805C0E"/>
    <w:rsid w:val="008123B5"/>
    <w:rsid w:val="00842F6D"/>
    <w:rsid w:val="00854939"/>
    <w:rsid w:val="00885A25"/>
    <w:rsid w:val="00886987"/>
    <w:rsid w:val="0089444F"/>
    <w:rsid w:val="008B0F84"/>
    <w:rsid w:val="008B6BA3"/>
    <w:rsid w:val="008D3A2F"/>
    <w:rsid w:val="008D3B56"/>
    <w:rsid w:val="008D5386"/>
    <w:rsid w:val="008E16F8"/>
    <w:rsid w:val="008E3004"/>
    <w:rsid w:val="00905629"/>
    <w:rsid w:val="00907279"/>
    <w:rsid w:val="009122E3"/>
    <w:rsid w:val="00923F9B"/>
    <w:rsid w:val="00936C91"/>
    <w:rsid w:val="0094100F"/>
    <w:rsid w:val="00954068"/>
    <w:rsid w:val="00954318"/>
    <w:rsid w:val="009549BC"/>
    <w:rsid w:val="00961631"/>
    <w:rsid w:val="00964C25"/>
    <w:rsid w:val="00966086"/>
    <w:rsid w:val="00966273"/>
    <w:rsid w:val="00987532"/>
    <w:rsid w:val="00987BD9"/>
    <w:rsid w:val="009E45B5"/>
    <w:rsid w:val="009F6F05"/>
    <w:rsid w:val="00A02CF2"/>
    <w:rsid w:val="00A14A39"/>
    <w:rsid w:val="00A22D10"/>
    <w:rsid w:val="00A64439"/>
    <w:rsid w:val="00A71679"/>
    <w:rsid w:val="00A80EC7"/>
    <w:rsid w:val="00A8443D"/>
    <w:rsid w:val="00A930D5"/>
    <w:rsid w:val="00A94209"/>
    <w:rsid w:val="00A9786A"/>
    <w:rsid w:val="00A97E3A"/>
    <w:rsid w:val="00AA74F9"/>
    <w:rsid w:val="00AF11A6"/>
    <w:rsid w:val="00AF4F1A"/>
    <w:rsid w:val="00B0454F"/>
    <w:rsid w:val="00B048D6"/>
    <w:rsid w:val="00B26372"/>
    <w:rsid w:val="00B32509"/>
    <w:rsid w:val="00B55759"/>
    <w:rsid w:val="00B74A45"/>
    <w:rsid w:val="00B8641F"/>
    <w:rsid w:val="00BC1770"/>
    <w:rsid w:val="00BC2E55"/>
    <w:rsid w:val="00BE7FD7"/>
    <w:rsid w:val="00C01E66"/>
    <w:rsid w:val="00C22195"/>
    <w:rsid w:val="00C22C7B"/>
    <w:rsid w:val="00C8563B"/>
    <w:rsid w:val="00CA2D87"/>
    <w:rsid w:val="00CC026D"/>
    <w:rsid w:val="00D130F0"/>
    <w:rsid w:val="00D22830"/>
    <w:rsid w:val="00D265FF"/>
    <w:rsid w:val="00D6017A"/>
    <w:rsid w:val="00D76761"/>
    <w:rsid w:val="00D773DD"/>
    <w:rsid w:val="00D85157"/>
    <w:rsid w:val="00DA2F5C"/>
    <w:rsid w:val="00DA429E"/>
    <w:rsid w:val="00DB28AA"/>
    <w:rsid w:val="00DE02BF"/>
    <w:rsid w:val="00E00BB0"/>
    <w:rsid w:val="00E0256A"/>
    <w:rsid w:val="00E16C4A"/>
    <w:rsid w:val="00E17055"/>
    <w:rsid w:val="00E246B9"/>
    <w:rsid w:val="00E2665E"/>
    <w:rsid w:val="00E46561"/>
    <w:rsid w:val="00E569AA"/>
    <w:rsid w:val="00E62C26"/>
    <w:rsid w:val="00E63188"/>
    <w:rsid w:val="00E73A6D"/>
    <w:rsid w:val="00E747D6"/>
    <w:rsid w:val="00E92B25"/>
    <w:rsid w:val="00E94305"/>
    <w:rsid w:val="00E9746C"/>
    <w:rsid w:val="00EB58D2"/>
    <w:rsid w:val="00ED2A68"/>
    <w:rsid w:val="00EE6544"/>
    <w:rsid w:val="00EF7A7B"/>
    <w:rsid w:val="00F116F0"/>
    <w:rsid w:val="00F224B1"/>
    <w:rsid w:val="00F2509B"/>
    <w:rsid w:val="00F26EEF"/>
    <w:rsid w:val="00F26F76"/>
    <w:rsid w:val="00F31A6E"/>
    <w:rsid w:val="00F353EA"/>
    <w:rsid w:val="00F404FC"/>
    <w:rsid w:val="00F55BD1"/>
    <w:rsid w:val="00F613EC"/>
    <w:rsid w:val="00F62EBF"/>
    <w:rsid w:val="00F63364"/>
    <w:rsid w:val="00F74CA7"/>
    <w:rsid w:val="00F750E7"/>
    <w:rsid w:val="00F86228"/>
    <w:rsid w:val="00F86F10"/>
    <w:rsid w:val="00FA2858"/>
    <w:rsid w:val="00FB6771"/>
    <w:rsid w:val="00FF0165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 w:unhideWhenUsed="0"/>
    <w:lsdException w:name="footer" w:semiHidden="0" w:uiPriority="8" w:unhideWhenUsed="0"/>
    <w:lsdException w:name="caption" w:uiPriority="35" w:qFormat="1"/>
    <w:lsdException w:name="envelope address" w:semiHidden="0" w:unhideWhenUsed="0"/>
    <w:lsdException w:name="page number" w:semiHidden="0" w:uiPriority="8" w:unhideWhenUsed="0"/>
    <w:lsdException w:name="List Bullet" w:semiHidden="0" w:uiPriority="5" w:unhideWhenUsed="0" w:qFormat="1"/>
    <w:lsdException w:name="List Number" w:semiHidden="0" w:uiPriority="5" w:unhideWhenUsed="0" w:qFormat="1"/>
    <w:lsdException w:name="List Bullet 2" w:semiHidden="0" w:uiPriority="5" w:unhideWhenUsed="0"/>
    <w:lsdException w:name="List Bullet 3" w:semiHidden="0" w:uiPriority="5" w:unhideWhenUsed="0"/>
    <w:lsdException w:name="List Number 2" w:semiHidden="0" w:uiPriority="5" w:unhideWhenUsed="0"/>
    <w:lsdException w:name="List Number 3" w:semiHidden="0" w:uiPriority="5" w:unhideWhenUsed="0"/>
    <w:lsdException w:name="Title" w:uiPriority="2" w:unhideWhenUsed="0"/>
    <w:lsdException w:name="Default Paragraph Font" w:uiPriority="1"/>
    <w:lsdException w:name="Body Text" w:semiHidden="0" w:uiPriority="0" w:unhideWhenUsed="0" w:qFormat="1"/>
    <w:lsdException w:name="Subtitle" w:uiPriority="2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92BBA"/>
  </w:style>
  <w:style w:type="paragraph" w:styleId="Heading1">
    <w:name w:val="heading 1"/>
    <w:basedOn w:val="Normal"/>
    <w:next w:val="BodyText"/>
    <w:link w:val="Heading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Heading4">
    <w:name w:val="heading 4"/>
    <w:basedOn w:val="Normal"/>
    <w:next w:val="BodyText"/>
    <w:link w:val="Heading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HeaderChar">
    <w:name w:val="Header Char"/>
    <w:basedOn w:val="DefaultParagraphFont"/>
    <w:link w:val="Header"/>
    <w:uiPriority w:val="8"/>
    <w:rsid w:val="00E94305"/>
    <w:rPr>
      <w:rFonts w:asciiTheme="majorHAnsi" w:hAnsiTheme="majorHAnsi"/>
      <w:noProof/>
      <w:sz w:val="12"/>
    </w:rPr>
  </w:style>
  <w:style w:type="paragraph" w:styleId="Footer">
    <w:name w:val="footer"/>
    <w:basedOn w:val="Normal"/>
    <w:link w:val="Footer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odyText">
    <w:name w:val="Body Text"/>
    <w:aliases w:val="Brödtext - F"/>
    <w:basedOn w:val="Normal"/>
    <w:link w:val="BodyTextChar"/>
    <w:qFormat/>
    <w:rsid w:val="0071246E"/>
    <w:pPr>
      <w:spacing w:line="260" w:lineRule="atLeast"/>
    </w:pPr>
  </w:style>
  <w:style w:type="character" w:customStyle="1" w:styleId="BodyTextChar">
    <w:name w:val="Body Text Char"/>
    <w:aliases w:val="Brödtext - F Char"/>
    <w:basedOn w:val="DefaultParagraphFont"/>
    <w:link w:val="BodyText"/>
    <w:rsid w:val="0071246E"/>
  </w:style>
  <w:style w:type="table" w:styleId="TableGrid">
    <w:name w:val="Table Grid"/>
    <w:basedOn w:val="TableNorma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EnvelopeAddress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ListNumber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ListBullet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ListBullet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ListBullet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ListNumber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ListNumber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Paragraph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PageNumber">
    <w:name w:val="page number"/>
    <w:basedOn w:val="DefaultParagraphFont"/>
    <w:uiPriority w:val="8"/>
    <w:rsid w:val="00954318"/>
    <w:rPr>
      <w:rFonts w:asciiTheme="majorHAnsi" w:hAnsiTheme="majorHAns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87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TableNormal"/>
    <w:next w:val="TableGrid"/>
    <w:uiPriority w:val="39"/>
    <w:rsid w:val="00966273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 w:unhideWhenUsed="0"/>
    <w:lsdException w:name="footer" w:semiHidden="0" w:uiPriority="8" w:unhideWhenUsed="0"/>
    <w:lsdException w:name="caption" w:uiPriority="35" w:qFormat="1"/>
    <w:lsdException w:name="envelope address" w:semiHidden="0" w:unhideWhenUsed="0"/>
    <w:lsdException w:name="page number" w:semiHidden="0" w:uiPriority="8" w:unhideWhenUsed="0"/>
    <w:lsdException w:name="List Bullet" w:semiHidden="0" w:uiPriority="5" w:unhideWhenUsed="0" w:qFormat="1"/>
    <w:lsdException w:name="List Number" w:semiHidden="0" w:uiPriority="5" w:unhideWhenUsed="0" w:qFormat="1"/>
    <w:lsdException w:name="List Bullet 2" w:semiHidden="0" w:uiPriority="5" w:unhideWhenUsed="0"/>
    <w:lsdException w:name="List Bullet 3" w:semiHidden="0" w:uiPriority="5" w:unhideWhenUsed="0"/>
    <w:lsdException w:name="List Number 2" w:semiHidden="0" w:uiPriority="5" w:unhideWhenUsed="0"/>
    <w:lsdException w:name="List Number 3" w:semiHidden="0" w:uiPriority="5" w:unhideWhenUsed="0"/>
    <w:lsdException w:name="Title" w:uiPriority="2" w:unhideWhenUsed="0"/>
    <w:lsdException w:name="Default Paragraph Font" w:uiPriority="1"/>
    <w:lsdException w:name="Body Text" w:semiHidden="0" w:uiPriority="0" w:unhideWhenUsed="0" w:qFormat="1"/>
    <w:lsdException w:name="Subtitle" w:uiPriority="2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92BBA"/>
  </w:style>
  <w:style w:type="paragraph" w:styleId="Heading1">
    <w:name w:val="heading 1"/>
    <w:basedOn w:val="Normal"/>
    <w:next w:val="BodyText"/>
    <w:link w:val="Heading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Heading4">
    <w:name w:val="heading 4"/>
    <w:basedOn w:val="Normal"/>
    <w:next w:val="BodyText"/>
    <w:link w:val="Heading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HeaderChar">
    <w:name w:val="Header Char"/>
    <w:basedOn w:val="DefaultParagraphFont"/>
    <w:link w:val="Header"/>
    <w:uiPriority w:val="8"/>
    <w:rsid w:val="00E94305"/>
    <w:rPr>
      <w:rFonts w:asciiTheme="majorHAnsi" w:hAnsiTheme="majorHAnsi"/>
      <w:noProof/>
      <w:sz w:val="12"/>
    </w:rPr>
  </w:style>
  <w:style w:type="paragraph" w:styleId="Footer">
    <w:name w:val="footer"/>
    <w:basedOn w:val="Normal"/>
    <w:link w:val="Footer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odyText">
    <w:name w:val="Body Text"/>
    <w:aliases w:val="Brödtext - F"/>
    <w:basedOn w:val="Normal"/>
    <w:link w:val="BodyTextChar"/>
    <w:qFormat/>
    <w:rsid w:val="0071246E"/>
    <w:pPr>
      <w:spacing w:line="260" w:lineRule="atLeast"/>
    </w:pPr>
  </w:style>
  <w:style w:type="character" w:customStyle="1" w:styleId="BodyTextChar">
    <w:name w:val="Body Text Char"/>
    <w:aliases w:val="Brödtext - F Char"/>
    <w:basedOn w:val="DefaultParagraphFont"/>
    <w:link w:val="BodyText"/>
    <w:rsid w:val="0071246E"/>
  </w:style>
  <w:style w:type="table" w:styleId="TableGrid">
    <w:name w:val="Table Grid"/>
    <w:basedOn w:val="TableNorma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EnvelopeAddress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ListNumber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ListBullet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ListBullet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ListBullet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ListNumber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ListNumber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Paragraph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PageNumber">
    <w:name w:val="page number"/>
    <w:basedOn w:val="DefaultParagraphFont"/>
    <w:uiPriority w:val="8"/>
    <w:rsid w:val="00954318"/>
    <w:rPr>
      <w:rFonts w:asciiTheme="majorHAnsi" w:hAnsiTheme="majorHAns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87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TableNormal"/>
    <w:next w:val="TableGrid"/>
    <w:uiPriority w:val="39"/>
    <w:rsid w:val="00966273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xmlns="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5189</Characters>
  <Application>Microsoft Office Word</Application>
  <DocSecurity>0</DocSecurity>
  <Lines>324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Trygg</dc:creator>
  <cp:keywords/>
  <dc:description/>
  <cp:lastModifiedBy>JLAPOY</cp:lastModifiedBy>
  <cp:revision>4</cp:revision>
  <cp:lastPrinted>2019-03-04T10:59:00Z</cp:lastPrinted>
  <dcterms:created xsi:type="dcterms:W3CDTF">2019-06-15T10:50:00Z</dcterms:created>
  <dcterms:modified xsi:type="dcterms:W3CDTF">2019-07-02T18:10:00Z</dcterms:modified>
</cp:coreProperties>
</file>