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E1D" w:rsidRDefault="00E94775" w:rsidP="009C1E1D">
      <w:pPr>
        <w:spacing w:after="240" w:line="480" w:lineRule="auto"/>
        <w:jc w:val="both"/>
        <w:rPr>
          <w:rFonts w:ascii="Times New Roman" w:hAnsi="Times New Roman" w:cs="Times New Roman"/>
          <w:b/>
        </w:rPr>
      </w:pPr>
      <w:r>
        <w:rPr>
          <w:rFonts w:ascii="Times New Roman" w:hAnsi="Times New Roman" w:cs="Times New Roman"/>
          <w:b/>
        </w:rPr>
        <w:t xml:space="preserve">Extended Materials and </w:t>
      </w:r>
      <w:r w:rsidR="009C1E1D" w:rsidRPr="008E4DDA">
        <w:rPr>
          <w:rFonts w:ascii="Times New Roman" w:hAnsi="Times New Roman" w:cs="Times New Roman"/>
          <w:b/>
        </w:rPr>
        <w:t>Methods</w:t>
      </w:r>
    </w:p>
    <w:p w:rsidR="009C1E1D" w:rsidRPr="0014258E" w:rsidRDefault="009C1E1D" w:rsidP="009C1E1D">
      <w:pPr>
        <w:spacing w:after="240" w:line="480" w:lineRule="auto"/>
        <w:jc w:val="both"/>
        <w:rPr>
          <w:rFonts w:ascii="Times New Roman" w:hAnsi="Times New Roman" w:cs="Times New Roman"/>
          <w:b/>
        </w:rPr>
      </w:pPr>
      <w:r w:rsidRPr="0014258E">
        <w:rPr>
          <w:rFonts w:ascii="Times New Roman" w:hAnsi="Times New Roman" w:cs="Times New Roman"/>
          <w:b/>
        </w:rPr>
        <w:t>Cell Culture</w:t>
      </w:r>
    </w:p>
    <w:p w:rsidR="009C1E1D" w:rsidRPr="00FB799E" w:rsidRDefault="009C1E1D" w:rsidP="009C1E1D">
      <w:pPr>
        <w:spacing w:after="240" w:line="480" w:lineRule="auto"/>
        <w:jc w:val="both"/>
        <w:rPr>
          <w:rFonts w:ascii="Times New Roman" w:hAnsi="Times New Roman" w:cs="Times New Roman"/>
        </w:rPr>
      </w:pPr>
      <w:r>
        <w:rPr>
          <w:rFonts w:ascii="Times New Roman" w:hAnsi="Times New Roman" w:cs="Times New Roman"/>
        </w:rPr>
        <w:t xml:space="preserve">Cryopreserved G-CSF-mobilized, CD34+ enriched peripheral blood mononuclear cells from healthy adult human donors purchased from Fred Hutch CCEH - </w:t>
      </w:r>
      <w:r w:rsidRPr="001A48C0">
        <w:rPr>
          <w:rFonts w:ascii="Times New Roman" w:hAnsi="Times New Roman" w:cs="Times New Roman"/>
        </w:rPr>
        <w:t>Hematopoietic Cell Procurement and Processing Services</w:t>
      </w:r>
      <w:r>
        <w:rPr>
          <w:rFonts w:ascii="Times New Roman" w:hAnsi="Times New Roman" w:cs="Times New Roman"/>
        </w:rPr>
        <w:t xml:space="preserve"> (Seattle, WA, US</w:t>
      </w:r>
      <w:bookmarkStart w:id="0" w:name="_GoBack"/>
      <w:bookmarkEnd w:id="0"/>
      <w:r>
        <w:rPr>
          <w:rFonts w:ascii="Times New Roman" w:hAnsi="Times New Roman" w:cs="Times New Roman"/>
        </w:rPr>
        <w:t xml:space="preserve">A) were thawed rapidly at 37 ºC, resuspended in PBS + 0.5% BSA and centrifuged at 250 </w:t>
      </w:r>
      <w:r>
        <w:rPr>
          <w:rFonts w:ascii="Times New Roman" w:hAnsi="Times New Roman" w:cs="Times New Roman"/>
          <w:i/>
        </w:rPr>
        <w:t xml:space="preserve">x </w:t>
      </w:r>
      <w:r>
        <w:rPr>
          <w:rFonts w:ascii="Times New Roman" w:hAnsi="Times New Roman" w:cs="Times New Roman"/>
        </w:rPr>
        <w:t xml:space="preserve">g for 10 min. The cell pellet is then resuspended in serum-free media containing </w:t>
      </w:r>
      <w:proofErr w:type="spellStart"/>
      <w:r>
        <w:rPr>
          <w:rFonts w:ascii="Times New Roman" w:hAnsi="Times New Roman" w:cs="Times New Roman"/>
        </w:rPr>
        <w:t>StemSpan</w:t>
      </w:r>
      <w:proofErr w:type="spellEnd"/>
      <w:r>
        <w:rPr>
          <w:rFonts w:ascii="Times New Roman" w:hAnsi="Times New Roman" w:cs="Times New Roman"/>
        </w:rPr>
        <w:t xml:space="preserve"> H3000 (</w:t>
      </w:r>
      <w:proofErr w:type="spellStart"/>
      <w:r>
        <w:rPr>
          <w:rFonts w:ascii="Times New Roman" w:hAnsi="Times New Roman" w:cs="Times New Roman"/>
        </w:rPr>
        <w:t>StemCell</w:t>
      </w:r>
      <w:proofErr w:type="spellEnd"/>
      <w:r>
        <w:rPr>
          <w:rFonts w:ascii="Times New Roman" w:hAnsi="Times New Roman" w:cs="Times New Roman"/>
        </w:rPr>
        <w:t xml:space="preserve"> Technologies, Vancouver BC, Canada), supplemented with 1x penicillin/streptomycin (Gibco) and 1x </w:t>
      </w:r>
      <w:proofErr w:type="spellStart"/>
      <w:r>
        <w:rPr>
          <w:rFonts w:ascii="Times New Roman" w:hAnsi="Times New Roman" w:cs="Times New Roman"/>
        </w:rPr>
        <w:t>StemSpan</w:t>
      </w:r>
      <w:proofErr w:type="spellEnd"/>
      <w:r>
        <w:rPr>
          <w:rFonts w:ascii="Times New Roman" w:hAnsi="Times New Roman" w:cs="Times New Roman"/>
        </w:rPr>
        <w:t xml:space="preserve"> CC110 (</w:t>
      </w:r>
      <w:proofErr w:type="spellStart"/>
      <w:r>
        <w:rPr>
          <w:rFonts w:ascii="Times New Roman" w:hAnsi="Times New Roman" w:cs="Times New Roman"/>
        </w:rPr>
        <w:t>StemCell</w:t>
      </w:r>
      <w:proofErr w:type="spellEnd"/>
      <w:r>
        <w:rPr>
          <w:rFonts w:ascii="Times New Roman" w:hAnsi="Times New Roman" w:cs="Times New Roman"/>
        </w:rPr>
        <w:t xml:space="preserve"> Technologies, Vancouver BC, Canada) and allowed to recover overnight before transfer to primary culture or index sorting. For the custom permissive media, single cells were sorted into an optically clear 384-well microplate (Greiner-Bio) containing 60 µL of serum-free base media </w:t>
      </w:r>
      <w:proofErr w:type="spellStart"/>
      <w:r>
        <w:rPr>
          <w:rFonts w:ascii="Times New Roman" w:hAnsi="Times New Roman" w:cs="Times New Roman"/>
        </w:rPr>
        <w:t>StemSpan</w:t>
      </w:r>
      <w:proofErr w:type="spellEnd"/>
      <w:r>
        <w:rPr>
          <w:rFonts w:ascii="Times New Roman" w:hAnsi="Times New Roman" w:cs="Times New Roman"/>
        </w:rPr>
        <w:t xml:space="preserve"> H3000 (</w:t>
      </w:r>
      <w:proofErr w:type="spellStart"/>
      <w:r>
        <w:rPr>
          <w:rFonts w:ascii="Times New Roman" w:hAnsi="Times New Roman" w:cs="Times New Roman"/>
        </w:rPr>
        <w:t>StemCell</w:t>
      </w:r>
      <w:proofErr w:type="spellEnd"/>
      <w:r>
        <w:rPr>
          <w:rFonts w:ascii="Times New Roman" w:hAnsi="Times New Roman" w:cs="Times New Roman"/>
        </w:rPr>
        <w:t xml:space="preserve"> Technologies, Vancouver BC, Canada)  supplemented with 25 ng/mL Stem Cell Factor (SCF), 10 ng/mL Interleukin-3 (IL-3), 10 ng/mL Interleukin-6 (IL-6), 3 IU/mL Erythropoietin (EPO), and 50 ng/mL Thrombopoietin (TPO). During the 14-day culture, media were added to wells with evident evaporation to avoid “edge-effects”. Colony growth was monitored using the </w:t>
      </w:r>
      <w:proofErr w:type="spellStart"/>
      <w:r>
        <w:rPr>
          <w:rFonts w:ascii="Times New Roman" w:hAnsi="Times New Roman" w:cs="Times New Roman"/>
        </w:rPr>
        <w:t>Celigo</w:t>
      </w:r>
      <w:proofErr w:type="spellEnd"/>
      <w:r>
        <w:rPr>
          <w:rFonts w:ascii="Times New Roman" w:hAnsi="Times New Roman" w:cs="Times New Roman"/>
        </w:rPr>
        <w:t xml:space="preserve"> Imaging Cytometer (</w:t>
      </w:r>
      <w:proofErr w:type="spellStart"/>
      <w:r>
        <w:rPr>
          <w:rFonts w:ascii="Times New Roman" w:hAnsi="Times New Roman" w:cs="Times New Roman"/>
        </w:rPr>
        <w:t>Nexcelcom</w:t>
      </w:r>
      <w:proofErr w:type="spellEnd"/>
      <w:r>
        <w:rPr>
          <w:rFonts w:ascii="Times New Roman" w:hAnsi="Times New Roman" w:cs="Times New Roman"/>
        </w:rPr>
        <w:t xml:space="preserve"> Bioscience).</w:t>
      </w:r>
    </w:p>
    <w:p w:rsidR="009C1E1D" w:rsidRDefault="009C1E1D" w:rsidP="009C1E1D">
      <w:pPr>
        <w:spacing w:after="240" w:line="480" w:lineRule="auto"/>
        <w:jc w:val="both"/>
        <w:rPr>
          <w:rFonts w:ascii="Times New Roman" w:hAnsi="Times New Roman" w:cs="Times New Roman"/>
        </w:rPr>
      </w:pPr>
      <w:r>
        <w:rPr>
          <w:rFonts w:ascii="Times New Roman" w:hAnsi="Times New Roman" w:cs="Times New Roman"/>
        </w:rPr>
        <w:t xml:space="preserve">Human erythroid differentiation was induced </w:t>
      </w:r>
      <w:r>
        <w:rPr>
          <w:rFonts w:ascii="Times New Roman" w:hAnsi="Times New Roman" w:cs="Times New Roman"/>
          <w:i/>
        </w:rPr>
        <w:t>ex vivo</w:t>
      </w:r>
      <w:r>
        <w:rPr>
          <w:rFonts w:ascii="Times New Roman" w:hAnsi="Times New Roman" w:cs="Times New Roman"/>
        </w:rPr>
        <w:t xml:space="preserve"> from recovered CD34+ cells for 12 days according to the protocol developed the Douay L. group </w:t>
      </w:r>
      <w:r>
        <w:rPr>
          <w:rFonts w:ascii="Times New Roman" w:hAnsi="Times New Roman" w:cs="Times New Roman"/>
        </w:rPr>
        <w:fldChar w:fldCharType="begin" w:fldLock="1"/>
      </w:r>
      <w:r>
        <w:rPr>
          <w:rFonts w:ascii="Times New Roman" w:hAnsi="Times New Roman" w:cs="Times New Roman"/>
        </w:rPr>
        <w:instrText>ADDIN CSL_CITATION {"citationItems":[{"id":"ITEM-1","itemData":{"DOI":"10.1038/nbt1047","ISSN":"1087-0156","PMID":"15619619","abstract":"We describe here the large-scale ex vivo production of mature human red blood cells (RBCs) from hematopoietic stem cells of diverse origins. By mimicking the marrow microenvironment through the application of cytokines and coculture on stromal cells, we coupled substantial amplification of CD34(+) stem cells (up to 1.95 x 10(6)-fold) with 100% terminal differentiation into fully mature, functional RBCs. These cells survived in nonobese diabetic/severe combined immunodeficient mice, as do native RBCs. Our system for producing 'cultured RBCs' lends itself to a fundamental analysis of erythropoiesis and provides a simple in vitro model for studying important human viral or parasitic infections that target erythroid cells. Further development of large-scale production of cultured RBCs will have implications for gene therapy, blood transfusion and tropical medicine.","author":[{"dropping-particle":"","family":"Giarratana","given":"Marie-Catherine","non-dropping-particle":"","parse-names":false,"suffix":""},{"dropping-particle":"","family":"Kobari","given":"Ladan","non-dropping-particle":"","parse-names":false,"suffix":""},{"dropping-particle":"","family":"Lapillonne","given":"Hélène","non-dropping-particle":"","parse-names":false,"suffix":""},{"dropping-particle":"","family":"Chalmers","given":"David","non-dropping-particle":"","parse-names":false,"suffix":""},{"dropping-particle":"","family":"Kiger","given":"Laurent","non-dropping-particle":"","parse-names":false,"suffix":""},{"dropping-particle":"","family":"Cynober","given":"Thérèse","non-dropping-particle":"","parse-names":false,"suffix":""},{"dropping-particle":"","family":"Marden","given":"Michael C","non-dropping-particle":"","parse-names":false,"suffix":""},{"dropping-particle":"","family":"Wajcman","given":"Henri","non-dropping-particle":"","parse-names":false,"suffix":""},{"dropping-particle":"","family":"Douay","given":"Luc","non-dropping-particle":"","parse-names":false,"suffix":""}],"container-title":"Nature biotechnology","id":"ITEM-1","issue":"1","issued":{"date-parts":[["2005","1"]]},"page":"69-74","publisher":"Nature Publishing Group","title":"Ex vivo generation of fully mature human red blood cells from hematopoietic stem cells.","title-short":"Nat Biotech","type":"article-journal","volume":"23"},"uris":["http://www.mendeley.com/documents/?uuid=c08d627d-7e1a-4f7d-89d4-21107d09483e"]}],"mendeley":{"formattedCitation":"[1]","plainTextFormattedCitation":"[1]","previouslyFormattedCitation":"[1]"},"properties":{"noteIndex":0},"schema":"https://github.com/citation-style-language/schema/raw/master/csl-citation.json"}</w:instrText>
      </w:r>
      <w:r>
        <w:rPr>
          <w:rFonts w:ascii="Times New Roman" w:hAnsi="Times New Roman" w:cs="Times New Roman"/>
        </w:rPr>
        <w:fldChar w:fldCharType="separate"/>
      </w:r>
      <w:r w:rsidRPr="0014258E">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Briefly, cells for the first 7 days were cultured in serum-free IMDM-based media in the presence of 3 IU/mL EPO, 5 ng/mL IL-3, 100 ng/mL SCF, and 1 µM Hydrocortisone, supplemented with 5% human plasma, 2 U/mL heparin, 10 µg/mL insulin (Sigma), and 330 µg/mL human Holo-Transferrin (Sigma). After 7 days, IL-3 </w:t>
      </w:r>
      <w:r>
        <w:rPr>
          <w:rFonts w:ascii="Times New Roman" w:hAnsi="Times New Roman" w:cs="Times New Roman"/>
        </w:rPr>
        <w:lastRenderedPageBreak/>
        <w:t xml:space="preserve">and Hydrocortisone are withdrawn from the media and cell culture is continued for 5 more days. All cytokines were purchased from </w:t>
      </w:r>
      <w:proofErr w:type="spellStart"/>
      <w:r>
        <w:rPr>
          <w:rFonts w:ascii="Times New Roman" w:hAnsi="Times New Roman" w:cs="Times New Roman"/>
        </w:rPr>
        <w:t>PeproTech</w:t>
      </w:r>
      <w:proofErr w:type="spellEnd"/>
      <w:r>
        <w:rPr>
          <w:rFonts w:ascii="Times New Roman" w:hAnsi="Times New Roman" w:cs="Times New Roman"/>
        </w:rPr>
        <w:t xml:space="preserve"> (</w:t>
      </w:r>
      <w:r w:rsidRPr="00FB799E">
        <w:rPr>
          <w:rFonts w:ascii="Times New Roman" w:hAnsi="Times New Roman" w:cs="Times New Roman"/>
        </w:rPr>
        <w:t>Rocky Hill, NJ</w:t>
      </w:r>
      <w:r>
        <w:rPr>
          <w:rFonts w:ascii="Times New Roman" w:hAnsi="Times New Roman" w:cs="Times New Roman"/>
        </w:rPr>
        <w:t xml:space="preserve">, USA). </w:t>
      </w:r>
    </w:p>
    <w:p w:rsidR="009C1E1D" w:rsidRPr="0014258E" w:rsidRDefault="009C1E1D" w:rsidP="009C1E1D">
      <w:pPr>
        <w:spacing w:after="240" w:line="480" w:lineRule="auto"/>
        <w:jc w:val="both"/>
        <w:rPr>
          <w:rFonts w:ascii="Times New Roman" w:hAnsi="Times New Roman" w:cs="Times New Roman"/>
          <w:b/>
        </w:rPr>
      </w:pPr>
      <w:r w:rsidRPr="0014258E">
        <w:rPr>
          <w:rFonts w:ascii="Times New Roman" w:hAnsi="Times New Roman" w:cs="Times New Roman"/>
          <w:b/>
        </w:rPr>
        <w:t>Flow Cytometry</w:t>
      </w:r>
    </w:p>
    <w:p w:rsidR="009C1E1D" w:rsidRPr="002F1195" w:rsidRDefault="009C1E1D" w:rsidP="009C1E1D">
      <w:pPr>
        <w:spacing w:after="240" w:line="480" w:lineRule="auto"/>
        <w:jc w:val="both"/>
        <w:rPr>
          <w:rFonts w:ascii="Times New Roman" w:hAnsi="Times New Roman" w:cs="Times New Roman"/>
        </w:rPr>
      </w:pPr>
      <w:r>
        <w:rPr>
          <w:rFonts w:ascii="Times New Roman" w:hAnsi="Times New Roman" w:cs="Times New Roman"/>
        </w:rPr>
        <w:t xml:space="preserve">For index sorting, cells are harvested and washed with PBS + 0.5% BSA. The cell pellet is then resuspended in staining buffer (PBS + 0.5% BSA) containing CD34 APC, CD38 PerCP-Cy5.5, CD45RA FITC, CD123 </w:t>
      </w:r>
      <w:proofErr w:type="spellStart"/>
      <w:r>
        <w:rPr>
          <w:rFonts w:ascii="Times New Roman" w:hAnsi="Times New Roman" w:cs="Times New Roman"/>
        </w:rPr>
        <w:t>VioGreen</w:t>
      </w:r>
      <w:proofErr w:type="spellEnd"/>
      <w:r>
        <w:rPr>
          <w:rFonts w:ascii="Times New Roman" w:hAnsi="Times New Roman" w:cs="Times New Roman"/>
        </w:rPr>
        <w:t xml:space="preserve">, CD117 BV421, CD71 PE-Cy7, CD36,  APC-Cy7, and CD41 PE (ST1) in final concentration as per manufacturer’s instructions. Cells are incubated at 4 ºC for 30min and then washed and resuspended in staining buffer. The sample is then acquired with </w:t>
      </w:r>
      <w:proofErr w:type="spellStart"/>
      <w:r>
        <w:rPr>
          <w:rFonts w:ascii="Times New Roman" w:hAnsi="Times New Roman" w:cs="Times New Roman"/>
        </w:rPr>
        <w:t>MoFlo</w:t>
      </w:r>
      <w:proofErr w:type="spellEnd"/>
      <w:r>
        <w:rPr>
          <w:rFonts w:ascii="Times New Roman" w:hAnsi="Times New Roman" w:cs="Times New Roman"/>
        </w:rPr>
        <w:t xml:space="preserve"> </w:t>
      </w:r>
      <w:proofErr w:type="spellStart"/>
      <w:r>
        <w:rPr>
          <w:rFonts w:ascii="Times New Roman" w:hAnsi="Times New Roman" w:cs="Times New Roman"/>
        </w:rPr>
        <w:t>Astrios</w:t>
      </w:r>
      <w:proofErr w:type="spellEnd"/>
      <w:r>
        <w:rPr>
          <w:rFonts w:ascii="Times New Roman" w:hAnsi="Times New Roman" w:cs="Times New Roman"/>
        </w:rPr>
        <w:t xml:space="preserve"> EQ (Beckman Coulter) and single-cells are sorted into the 384-well microplate. The MFI for each marker and the well for each cell are exported in a table. Bulk population analysis was performed using FlowJo</w:t>
      </w:r>
      <w:r w:rsidRPr="002F1195">
        <w:rPr>
          <w:rFonts w:ascii="Times New Roman" w:hAnsi="Times New Roman" w:cs="Times New Roman"/>
          <w:vertAlign w:val="superscript"/>
        </w:rPr>
        <w:t>TM</w:t>
      </w:r>
      <w:r>
        <w:rPr>
          <w:rFonts w:ascii="Times New Roman" w:hAnsi="Times New Roman" w:cs="Times New Roman"/>
        </w:rPr>
        <w:t>10 (Beckton Dickinson).</w:t>
      </w:r>
    </w:p>
    <w:p w:rsidR="009C1E1D" w:rsidRDefault="009C1E1D" w:rsidP="009C1E1D">
      <w:pPr>
        <w:spacing w:after="240" w:line="480" w:lineRule="auto"/>
        <w:jc w:val="both"/>
        <w:rPr>
          <w:rFonts w:ascii="Times New Roman" w:hAnsi="Times New Roman" w:cs="Times New Roman"/>
        </w:rPr>
      </w:pPr>
      <w:r>
        <w:rPr>
          <w:rFonts w:ascii="Times New Roman" w:hAnsi="Times New Roman" w:cs="Times New Roman"/>
        </w:rPr>
        <w:t xml:space="preserve">For colony phenotyping, CD235a FITC, CD41 PE, and CD42b APC (ST1) were added directly to the microplate well in a volume proportional to the well volume so that final antibody concentration is according to manufacturer’s recommendations, without prior washing of the cells. After 30 minutes incubation at room temperature, staining buffer was added to the well for final volume of 250 µL. Samples were then acquired using </w:t>
      </w:r>
      <w:proofErr w:type="spellStart"/>
      <w:r>
        <w:rPr>
          <w:rFonts w:ascii="Times New Roman" w:hAnsi="Times New Roman" w:cs="Times New Roman"/>
        </w:rPr>
        <w:t>CytoFLEX</w:t>
      </w:r>
      <w:proofErr w:type="spellEnd"/>
      <w:r>
        <w:rPr>
          <w:rFonts w:ascii="Times New Roman" w:hAnsi="Times New Roman" w:cs="Times New Roman"/>
        </w:rPr>
        <w:t xml:space="preserve"> S (Beckman Coulter) and analyzed using a demo version of FCS Express 6 (De Novo Software).</w:t>
      </w:r>
    </w:p>
    <w:p w:rsidR="009C1E1D" w:rsidRPr="002F1195" w:rsidRDefault="009C1E1D" w:rsidP="009C1E1D">
      <w:pPr>
        <w:spacing w:after="240" w:line="480" w:lineRule="auto"/>
        <w:jc w:val="both"/>
        <w:rPr>
          <w:rFonts w:ascii="Times New Roman" w:hAnsi="Times New Roman" w:cs="Times New Roman"/>
        </w:rPr>
      </w:pPr>
      <w:r>
        <w:rPr>
          <w:rFonts w:ascii="Times New Roman" w:hAnsi="Times New Roman" w:cs="Times New Roman"/>
        </w:rPr>
        <w:t xml:space="preserve">To test IL3Ra expression during </w:t>
      </w:r>
      <w:r>
        <w:rPr>
          <w:rFonts w:ascii="Times New Roman" w:hAnsi="Times New Roman" w:cs="Times New Roman"/>
          <w:i/>
        </w:rPr>
        <w:t>ex vivo</w:t>
      </w:r>
      <w:r>
        <w:rPr>
          <w:rFonts w:ascii="Times New Roman" w:hAnsi="Times New Roman" w:cs="Times New Roman"/>
        </w:rPr>
        <w:t xml:space="preserve"> erythropoiesis, primary erythroid culture was sample daily for the first 6 days and cells were washed with staining buffer. Pellet was resuspended in 50 µL staining buffer containing 5 µL of CD123 Alexa Fluor 700 (ST1) and incubated for 30 min at 4 ºC. Cells were then washed with staining buffer and the pellet was resuspended in staining buffer containing 1% paraformaldehyde and stored at 4 ºC until flow cytometric analysis. Samples were </w:t>
      </w:r>
      <w:r>
        <w:rPr>
          <w:rFonts w:ascii="Times New Roman" w:hAnsi="Times New Roman" w:cs="Times New Roman"/>
        </w:rPr>
        <w:lastRenderedPageBreak/>
        <w:t xml:space="preserve">acquired using </w:t>
      </w:r>
      <w:proofErr w:type="spellStart"/>
      <w:r>
        <w:rPr>
          <w:rFonts w:ascii="Times New Roman" w:hAnsi="Times New Roman" w:cs="Times New Roman"/>
        </w:rPr>
        <w:t>CytoFLEX</w:t>
      </w:r>
      <w:proofErr w:type="spellEnd"/>
      <w:r>
        <w:rPr>
          <w:rFonts w:ascii="Times New Roman" w:hAnsi="Times New Roman" w:cs="Times New Roman"/>
        </w:rPr>
        <w:t xml:space="preserve"> S (Beckman Coulter). Analysis was performed using FlowJo</w:t>
      </w:r>
      <w:r w:rsidRPr="002F1195">
        <w:rPr>
          <w:rFonts w:ascii="Times New Roman" w:hAnsi="Times New Roman" w:cs="Times New Roman"/>
          <w:vertAlign w:val="superscript"/>
        </w:rPr>
        <w:t>TM</w:t>
      </w:r>
      <w:r>
        <w:rPr>
          <w:rFonts w:ascii="Times New Roman" w:hAnsi="Times New Roman" w:cs="Times New Roman"/>
        </w:rPr>
        <w:t>10 (Beckton Dickinson).</w:t>
      </w:r>
    </w:p>
    <w:p w:rsidR="009C1E1D" w:rsidRPr="009C1E1D" w:rsidRDefault="009C1E1D" w:rsidP="009C1E1D">
      <w:pPr>
        <w:pStyle w:val="Caption"/>
        <w:keepNext/>
        <w:rPr>
          <w:rFonts w:ascii="Times New Roman" w:hAnsi="Times New Roman" w:cs="Times New Roman"/>
          <w:i w:val="0"/>
          <w:color w:val="000000" w:themeColor="text1"/>
        </w:rPr>
      </w:pPr>
      <w:r w:rsidRPr="009C1E1D">
        <w:rPr>
          <w:rFonts w:ascii="Times New Roman" w:hAnsi="Times New Roman" w:cs="Times New Roman"/>
          <w:b/>
          <w:i w:val="0"/>
          <w:color w:val="000000" w:themeColor="text1"/>
        </w:rPr>
        <w:t xml:space="preserve">Table </w:t>
      </w:r>
      <w:r w:rsidRPr="009C1E1D">
        <w:rPr>
          <w:rFonts w:ascii="Times New Roman" w:hAnsi="Times New Roman" w:cs="Times New Roman"/>
          <w:b/>
          <w:i w:val="0"/>
          <w:color w:val="000000" w:themeColor="text1"/>
        </w:rPr>
        <w:fldChar w:fldCharType="begin"/>
      </w:r>
      <w:r w:rsidRPr="009C1E1D">
        <w:rPr>
          <w:rFonts w:ascii="Times New Roman" w:hAnsi="Times New Roman" w:cs="Times New Roman"/>
          <w:b/>
          <w:i w:val="0"/>
          <w:color w:val="000000" w:themeColor="text1"/>
        </w:rPr>
        <w:instrText xml:space="preserve"> SEQ Supplementary_Table \* ARABIC </w:instrText>
      </w:r>
      <w:r w:rsidRPr="009C1E1D">
        <w:rPr>
          <w:rFonts w:ascii="Times New Roman" w:hAnsi="Times New Roman" w:cs="Times New Roman"/>
          <w:b/>
          <w:i w:val="0"/>
          <w:color w:val="000000" w:themeColor="text1"/>
        </w:rPr>
        <w:fldChar w:fldCharType="separate"/>
      </w:r>
      <w:r w:rsidR="001857DC">
        <w:rPr>
          <w:rFonts w:ascii="Times New Roman" w:hAnsi="Times New Roman" w:cs="Times New Roman"/>
          <w:b/>
          <w:i w:val="0"/>
          <w:noProof/>
          <w:color w:val="000000" w:themeColor="text1"/>
        </w:rPr>
        <w:t>1</w:t>
      </w:r>
      <w:r w:rsidRPr="009C1E1D">
        <w:rPr>
          <w:rFonts w:ascii="Times New Roman" w:hAnsi="Times New Roman" w:cs="Times New Roman"/>
          <w:b/>
          <w:i w:val="0"/>
          <w:color w:val="000000" w:themeColor="text1"/>
        </w:rPr>
        <w:fldChar w:fldCharType="end"/>
      </w:r>
      <w:r w:rsidRPr="009C1E1D">
        <w:rPr>
          <w:rFonts w:ascii="Times New Roman" w:hAnsi="Times New Roman" w:cs="Times New Roman"/>
          <w:b/>
          <w:i w:val="0"/>
          <w:color w:val="000000" w:themeColor="text1"/>
        </w:rPr>
        <w:t>.</w:t>
      </w:r>
      <w:r w:rsidRPr="009C1E1D">
        <w:rPr>
          <w:rFonts w:ascii="Times New Roman" w:hAnsi="Times New Roman" w:cs="Times New Roman"/>
          <w:i w:val="0"/>
          <w:color w:val="000000" w:themeColor="text1"/>
        </w:rPr>
        <w:t xml:space="preserve"> List of antibodies used.</w:t>
      </w:r>
    </w:p>
    <w:tbl>
      <w:tblPr>
        <w:tblStyle w:val="TableGridLight"/>
        <w:tblW w:w="9351" w:type="dxa"/>
        <w:tblLayout w:type="fixed"/>
        <w:tblLook w:val="04A0" w:firstRow="1" w:lastRow="0" w:firstColumn="1" w:lastColumn="0" w:noHBand="0" w:noVBand="1"/>
      </w:tblPr>
      <w:tblGrid>
        <w:gridCol w:w="1129"/>
        <w:gridCol w:w="1560"/>
        <w:gridCol w:w="1701"/>
        <w:gridCol w:w="992"/>
        <w:gridCol w:w="1417"/>
        <w:gridCol w:w="1560"/>
        <w:gridCol w:w="992"/>
      </w:tblGrid>
      <w:tr w:rsidR="009C1E1D" w:rsidRPr="004744DF" w:rsidTr="00B45A24">
        <w:trPr>
          <w:trHeight w:val="320"/>
        </w:trPr>
        <w:tc>
          <w:tcPr>
            <w:tcW w:w="1129" w:type="dxa"/>
            <w:noWrap/>
            <w:hideMark/>
          </w:tcPr>
          <w:p w:rsidR="009C1E1D" w:rsidRPr="001A48C0" w:rsidRDefault="009C1E1D" w:rsidP="00B45A24">
            <w:pPr>
              <w:rPr>
                <w:rFonts w:ascii="Helvetica" w:eastAsia="Times New Roman" w:hAnsi="Helvetica" w:cs="Calibri"/>
                <w:b/>
                <w:bCs/>
                <w:sz w:val="18"/>
              </w:rPr>
            </w:pPr>
            <w:r w:rsidRPr="001A48C0">
              <w:rPr>
                <w:rFonts w:ascii="Helvetica" w:eastAsia="Times New Roman" w:hAnsi="Helvetica" w:cs="Calibri"/>
                <w:b/>
                <w:bCs/>
                <w:sz w:val="18"/>
              </w:rPr>
              <w:t>Antibody</w:t>
            </w:r>
          </w:p>
        </w:tc>
        <w:tc>
          <w:tcPr>
            <w:tcW w:w="1560" w:type="dxa"/>
            <w:noWrap/>
            <w:hideMark/>
          </w:tcPr>
          <w:p w:rsidR="009C1E1D" w:rsidRPr="001A48C0" w:rsidRDefault="009C1E1D" w:rsidP="00B45A24">
            <w:pPr>
              <w:rPr>
                <w:rFonts w:ascii="Helvetica" w:eastAsia="Times New Roman" w:hAnsi="Helvetica" w:cs="Calibri"/>
                <w:b/>
                <w:bCs/>
                <w:sz w:val="18"/>
              </w:rPr>
            </w:pPr>
            <w:r w:rsidRPr="001A48C0">
              <w:rPr>
                <w:rFonts w:ascii="Helvetica" w:eastAsia="Times New Roman" w:hAnsi="Helvetica" w:cs="Calibri"/>
                <w:b/>
                <w:bCs/>
                <w:sz w:val="18"/>
              </w:rPr>
              <w:t>Conjugate</w:t>
            </w:r>
          </w:p>
        </w:tc>
        <w:tc>
          <w:tcPr>
            <w:tcW w:w="1701" w:type="dxa"/>
            <w:noWrap/>
            <w:hideMark/>
          </w:tcPr>
          <w:p w:rsidR="009C1E1D" w:rsidRPr="001A48C0" w:rsidRDefault="009C1E1D" w:rsidP="00B45A24">
            <w:pPr>
              <w:rPr>
                <w:rFonts w:ascii="Helvetica" w:eastAsia="Times New Roman" w:hAnsi="Helvetica" w:cs="Calibri"/>
                <w:b/>
                <w:bCs/>
                <w:sz w:val="18"/>
              </w:rPr>
            </w:pPr>
            <w:r w:rsidRPr="001A48C0">
              <w:rPr>
                <w:rFonts w:ascii="Helvetica" w:eastAsia="Times New Roman" w:hAnsi="Helvetica" w:cs="Calibri"/>
                <w:b/>
                <w:bCs/>
                <w:sz w:val="18"/>
              </w:rPr>
              <w:t>Host/</w:t>
            </w:r>
          </w:p>
          <w:p w:rsidR="009C1E1D" w:rsidRPr="001A48C0" w:rsidRDefault="009C1E1D" w:rsidP="00B45A24">
            <w:pPr>
              <w:rPr>
                <w:rFonts w:ascii="Helvetica" w:eastAsia="Times New Roman" w:hAnsi="Helvetica" w:cs="Calibri"/>
                <w:b/>
                <w:bCs/>
                <w:sz w:val="18"/>
              </w:rPr>
            </w:pPr>
            <w:r w:rsidRPr="001A48C0">
              <w:rPr>
                <w:rFonts w:ascii="Helvetica" w:eastAsia="Times New Roman" w:hAnsi="Helvetica" w:cs="Calibri"/>
                <w:b/>
                <w:bCs/>
                <w:sz w:val="18"/>
              </w:rPr>
              <w:t>Specificity</w:t>
            </w:r>
          </w:p>
        </w:tc>
        <w:tc>
          <w:tcPr>
            <w:tcW w:w="992" w:type="dxa"/>
            <w:noWrap/>
            <w:hideMark/>
          </w:tcPr>
          <w:p w:rsidR="009C1E1D" w:rsidRPr="001A48C0" w:rsidRDefault="009C1E1D" w:rsidP="00B45A24">
            <w:pPr>
              <w:rPr>
                <w:rFonts w:ascii="Helvetica" w:eastAsia="Times New Roman" w:hAnsi="Helvetica" w:cs="Calibri"/>
                <w:b/>
                <w:bCs/>
                <w:sz w:val="18"/>
              </w:rPr>
            </w:pPr>
            <w:r w:rsidRPr="001A48C0">
              <w:rPr>
                <w:rFonts w:ascii="Helvetica" w:eastAsia="Times New Roman" w:hAnsi="Helvetica" w:cs="Calibri"/>
                <w:b/>
                <w:bCs/>
                <w:sz w:val="18"/>
              </w:rPr>
              <w:t>Isotype</w:t>
            </w:r>
          </w:p>
        </w:tc>
        <w:tc>
          <w:tcPr>
            <w:tcW w:w="1417" w:type="dxa"/>
            <w:noWrap/>
            <w:hideMark/>
          </w:tcPr>
          <w:p w:rsidR="009C1E1D" w:rsidRPr="001A48C0" w:rsidRDefault="009C1E1D" w:rsidP="00B45A24">
            <w:pPr>
              <w:rPr>
                <w:rFonts w:ascii="Helvetica" w:eastAsia="Times New Roman" w:hAnsi="Helvetica" w:cs="Calibri"/>
                <w:b/>
                <w:bCs/>
                <w:sz w:val="18"/>
              </w:rPr>
            </w:pPr>
            <w:r w:rsidRPr="001A48C0">
              <w:rPr>
                <w:rFonts w:ascii="Helvetica" w:eastAsia="Times New Roman" w:hAnsi="Helvetica" w:cs="Calibri"/>
                <w:b/>
                <w:bCs/>
                <w:sz w:val="18"/>
              </w:rPr>
              <w:t>Clone</w:t>
            </w:r>
          </w:p>
        </w:tc>
        <w:tc>
          <w:tcPr>
            <w:tcW w:w="1560" w:type="dxa"/>
            <w:noWrap/>
            <w:hideMark/>
          </w:tcPr>
          <w:p w:rsidR="009C1E1D" w:rsidRPr="001A48C0" w:rsidRDefault="009C1E1D" w:rsidP="00B45A24">
            <w:pPr>
              <w:rPr>
                <w:rFonts w:ascii="Helvetica" w:eastAsia="Times New Roman" w:hAnsi="Helvetica" w:cs="Calibri"/>
                <w:b/>
                <w:bCs/>
                <w:sz w:val="18"/>
              </w:rPr>
            </w:pPr>
            <w:r w:rsidRPr="001A48C0">
              <w:rPr>
                <w:rFonts w:ascii="Helvetica" w:eastAsia="Times New Roman" w:hAnsi="Helvetica" w:cs="Calibri"/>
                <w:b/>
                <w:bCs/>
                <w:sz w:val="18"/>
              </w:rPr>
              <w:t>Company</w:t>
            </w:r>
          </w:p>
        </w:tc>
        <w:tc>
          <w:tcPr>
            <w:tcW w:w="992" w:type="dxa"/>
            <w:noWrap/>
            <w:hideMark/>
          </w:tcPr>
          <w:p w:rsidR="009C1E1D" w:rsidRPr="001A48C0" w:rsidRDefault="009C1E1D" w:rsidP="00B45A24">
            <w:pPr>
              <w:rPr>
                <w:rFonts w:ascii="Helvetica" w:eastAsia="Times New Roman" w:hAnsi="Helvetica" w:cs="Calibri"/>
                <w:b/>
                <w:bCs/>
                <w:sz w:val="18"/>
              </w:rPr>
            </w:pPr>
            <w:r w:rsidRPr="001A48C0">
              <w:rPr>
                <w:rFonts w:ascii="Helvetica" w:eastAsia="Times New Roman" w:hAnsi="Helvetica" w:cs="Calibri"/>
                <w:b/>
                <w:bCs/>
                <w:sz w:val="18"/>
              </w:rPr>
              <w:t>Catalog Number</w:t>
            </w:r>
          </w:p>
        </w:tc>
      </w:tr>
      <w:tr w:rsidR="009C1E1D" w:rsidRPr="004744DF" w:rsidTr="00B45A24">
        <w:trPr>
          <w:trHeight w:val="320"/>
        </w:trPr>
        <w:tc>
          <w:tcPr>
            <w:tcW w:w="1129" w:type="dxa"/>
            <w:noWrap/>
            <w:hideMark/>
          </w:tcPr>
          <w:p w:rsidR="009C1E1D" w:rsidRPr="004744DF" w:rsidRDefault="009C1E1D" w:rsidP="00B45A24">
            <w:pPr>
              <w:rPr>
                <w:rFonts w:ascii="Helvetica" w:eastAsia="Times New Roman" w:hAnsi="Helvetica" w:cs="Calibri"/>
                <w:color w:val="000000"/>
                <w:sz w:val="18"/>
              </w:rPr>
            </w:pPr>
            <w:r w:rsidRPr="004744DF">
              <w:rPr>
                <w:rFonts w:ascii="Helvetica" w:eastAsia="Times New Roman" w:hAnsi="Helvetica" w:cs="Calibri"/>
                <w:color w:val="000000"/>
                <w:sz w:val="18"/>
              </w:rPr>
              <w:t>CD34</w:t>
            </w:r>
          </w:p>
        </w:tc>
        <w:tc>
          <w:tcPr>
            <w:tcW w:w="1560" w:type="dxa"/>
            <w:noWrap/>
            <w:hideMark/>
          </w:tcPr>
          <w:p w:rsidR="009C1E1D" w:rsidRPr="004744DF" w:rsidRDefault="009C1E1D" w:rsidP="00B45A24">
            <w:pPr>
              <w:rPr>
                <w:rFonts w:ascii="Helvetica" w:eastAsia="Times New Roman" w:hAnsi="Helvetica" w:cs="Calibri"/>
                <w:color w:val="000000"/>
                <w:sz w:val="18"/>
              </w:rPr>
            </w:pPr>
            <w:r w:rsidRPr="004744DF">
              <w:rPr>
                <w:rFonts w:ascii="Helvetica" w:eastAsia="Times New Roman" w:hAnsi="Helvetica" w:cs="Calibri"/>
                <w:color w:val="000000"/>
                <w:sz w:val="18"/>
              </w:rPr>
              <w:t>APC</w:t>
            </w:r>
          </w:p>
        </w:tc>
        <w:tc>
          <w:tcPr>
            <w:tcW w:w="1701" w:type="dxa"/>
            <w:noWrap/>
            <w:hideMark/>
          </w:tcPr>
          <w:p w:rsidR="009C1E1D" w:rsidRPr="004744DF" w:rsidRDefault="009C1E1D" w:rsidP="00B45A24">
            <w:pPr>
              <w:rPr>
                <w:rFonts w:ascii="Helvetica" w:eastAsia="Times New Roman" w:hAnsi="Helvetica" w:cs="Calibri"/>
                <w:color w:val="000000"/>
                <w:sz w:val="18"/>
              </w:rPr>
            </w:pPr>
            <w:r w:rsidRPr="004744DF">
              <w:rPr>
                <w:rFonts w:ascii="Helvetica" w:eastAsia="Times New Roman" w:hAnsi="Helvetica" w:cs="Calibri"/>
                <w:color w:val="000000"/>
                <w:sz w:val="18"/>
              </w:rPr>
              <w:t>Mouse α-Human</w:t>
            </w:r>
          </w:p>
        </w:tc>
        <w:tc>
          <w:tcPr>
            <w:tcW w:w="992" w:type="dxa"/>
            <w:noWrap/>
            <w:hideMark/>
          </w:tcPr>
          <w:p w:rsidR="009C1E1D" w:rsidRPr="004744DF" w:rsidRDefault="009C1E1D" w:rsidP="00B45A24">
            <w:pPr>
              <w:rPr>
                <w:rFonts w:ascii="Helvetica" w:eastAsia="Times New Roman" w:hAnsi="Helvetica" w:cs="Calibri"/>
                <w:color w:val="000000"/>
                <w:sz w:val="18"/>
              </w:rPr>
            </w:pPr>
            <w:r w:rsidRPr="004744DF">
              <w:rPr>
                <w:rFonts w:ascii="Helvetica" w:eastAsia="Times New Roman" w:hAnsi="Helvetica" w:cs="Calibri"/>
                <w:color w:val="000000"/>
                <w:sz w:val="18"/>
              </w:rPr>
              <w:t>IgG1 κ</w:t>
            </w:r>
          </w:p>
        </w:tc>
        <w:tc>
          <w:tcPr>
            <w:tcW w:w="1417" w:type="dxa"/>
            <w:noWrap/>
            <w:hideMark/>
          </w:tcPr>
          <w:p w:rsidR="009C1E1D" w:rsidRPr="004744DF" w:rsidRDefault="009C1E1D" w:rsidP="00B45A24">
            <w:pPr>
              <w:rPr>
                <w:rFonts w:ascii="Helvetica" w:eastAsia="Times New Roman" w:hAnsi="Helvetica" w:cs="Calibri"/>
                <w:color w:val="000000"/>
                <w:sz w:val="18"/>
              </w:rPr>
            </w:pPr>
            <w:r w:rsidRPr="004744DF">
              <w:rPr>
                <w:rFonts w:ascii="Helvetica" w:eastAsia="Times New Roman" w:hAnsi="Helvetica" w:cs="Calibri"/>
                <w:color w:val="000000"/>
                <w:sz w:val="18"/>
              </w:rPr>
              <w:t>581</w:t>
            </w:r>
          </w:p>
        </w:tc>
        <w:tc>
          <w:tcPr>
            <w:tcW w:w="1560" w:type="dxa"/>
            <w:noWrap/>
            <w:hideMark/>
          </w:tcPr>
          <w:p w:rsidR="009C1E1D" w:rsidRPr="004744DF" w:rsidRDefault="009C1E1D" w:rsidP="00B45A24">
            <w:pPr>
              <w:rPr>
                <w:rFonts w:ascii="Helvetica" w:eastAsia="Times New Roman" w:hAnsi="Helvetica" w:cs="Calibri"/>
                <w:color w:val="000000"/>
                <w:sz w:val="18"/>
              </w:rPr>
            </w:pPr>
            <w:r w:rsidRPr="004744DF">
              <w:rPr>
                <w:rFonts w:ascii="Helvetica" w:eastAsia="Times New Roman" w:hAnsi="Helvetica" w:cs="Calibri"/>
                <w:color w:val="000000"/>
                <w:sz w:val="18"/>
              </w:rPr>
              <w:t>BD Biosciences</w:t>
            </w:r>
          </w:p>
        </w:tc>
        <w:tc>
          <w:tcPr>
            <w:tcW w:w="992" w:type="dxa"/>
            <w:noWrap/>
            <w:hideMark/>
          </w:tcPr>
          <w:p w:rsidR="009C1E1D" w:rsidRPr="004744DF" w:rsidRDefault="009C1E1D" w:rsidP="00B45A24">
            <w:pPr>
              <w:jc w:val="right"/>
              <w:rPr>
                <w:rFonts w:ascii="Helvetica" w:eastAsia="Times New Roman" w:hAnsi="Helvetica" w:cs="Calibri"/>
                <w:color w:val="000000"/>
                <w:sz w:val="18"/>
              </w:rPr>
            </w:pPr>
            <w:r w:rsidRPr="004744DF">
              <w:rPr>
                <w:rFonts w:ascii="Helvetica" w:eastAsia="Times New Roman" w:hAnsi="Helvetica" w:cs="Calibri"/>
                <w:color w:val="000000"/>
                <w:sz w:val="18"/>
              </w:rPr>
              <w:t>560940</w:t>
            </w:r>
          </w:p>
        </w:tc>
      </w:tr>
      <w:tr w:rsidR="009C1E1D" w:rsidRPr="004744DF" w:rsidTr="00B45A24">
        <w:trPr>
          <w:trHeight w:val="320"/>
        </w:trPr>
        <w:tc>
          <w:tcPr>
            <w:tcW w:w="1129" w:type="dxa"/>
            <w:noWrap/>
            <w:hideMark/>
          </w:tcPr>
          <w:p w:rsidR="009C1E1D" w:rsidRPr="004744DF" w:rsidRDefault="009C1E1D" w:rsidP="00B45A24">
            <w:pPr>
              <w:rPr>
                <w:rFonts w:ascii="Helvetica" w:eastAsia="Times New Roman" w:hAnsi="Helvetica" w:cs="Calibri"/>
                <w:color w:val="000000"/>
                <w:sz w:val="18"/>
              </w:rPr>
            </w:pPr>
            <w:r w:rsidRPr="004744DF">
              <w:rPr>
                <w:rFonts w:ascii="Helvetica" w:eastAsia="Times New Roman" w:hAnsi="Helvetica" w:cs="Calibri"/>
                <w:color w:val="000000"/>
                <w:sz w:val="18"/>
              </w:rPr>
              <w:t>CD38</w:t>
            </w:r>
          </w:p>
        </w:tc>
        <w:tc>
          <w:tcPr>
            <w:tcW w:w="1560" w:type="dxa"/>
            <w:noWrap/>
            <w:hideMark/>
          </w:tcPr>
          <w:p w:rsidR="009C1E1D" w:rsidRPr="004744DF" w:rsidRDefault="009C1E1D" w:rsidP="00B45A24">
            <w:pPr>
              <w:rPr>
                <w:rFonts w:ascii="Helvetica" w:eastAsia="Times New Roman" w:hAnsi="Helvetica" w:cs="Calibri"/>
                <w:color w:val="000000"/>
                <w:sz w:val="18"/>
              </w:rPr>
            </w:pPr>
            <w:r w:rsidRPr="004744DF">
              <w:rPr>
                <w:rFonts w:ascii="Helvetica" w:eastAsia="Times New Roman" w:hAnsi="Helvetica" w:cs="Calibri"/>
                <w:color w:val="000000"/>
                <w:sz w:val="18"/>
              </w:rPr>
              <w:t>PerCP-Cy5.5</w:t>
            </w:r>
          </w:p>
        </w:tc>
        <w:tc>
          <w:tcPr>
            <w:tcW w:w="1701" w:type="dxa"/>
            <w:noWrap/>
            <w:hideMark/>
          </w:tcPr>
          <w:p w:rsidR="009C1E1D" w:rsidRPr="004744DF" w:rsidRDefault="009C1E1D" w:rsidP="00B45A24">
            <w:pPr>
              <w:rPr>
                <w:rFonts w:ascii="Helvetica" w:eastAsia="Times New Roman" w:hAnsi="Helvetica" w:cs="Calibri"/>
                <w:color w:val="000000"/>
                <w:sz w:val="18"/>
              </w:rPr>
            </w:pPr>
            <w:r w:rsidRPr="004744DF">
              <w:rPr>
                <w:rFonts w:ascii="Helvetica" w:eastAsia="Times New Roman" w:hAnsi="Helvetica" w:cs="Calibri"/>
                <w:color w:val="000000"/>
                <w:sz w:val="18"/>
              </w:rPr>
              <w:t>Mouse α-Human</w:t>
            </w:r>
          </w:p>
        </w:tc>
        <w:tc>
          <w:tcPr>
            <w:tcW w:w="992" w:type="dxa"/>
            <w:noWrap/>
            <w:hideMark/>
          </w:tcPr>
          <w:p w:rsidR="009C1E1D" w:rsidRPr="004744DF" w:rsidRDefault="009C1E1D" w:rsidP="00B45A24">
            <w:pPr>
              <w:rPr>
                <w:rFonts w:ascii="Helvetica" w:eastAsia="Times New Roman" w:hAnsi="Helvetica" w:cs="Calibri"/>
                <w:color w:val="000000"/>
                <w:sz w:val="18"/>
              </w:rPr>
            </w:pPr>
            <w:r w:rsidRPr="004744DF">
              <w:rPr>
                <w:rFonts w:ascii="Helvetica" w:eastAsia="Times New Roman" w:hAnsi="Helvetica" w:cs="Calibri"/>
                <w:color w:val="000000"/>
                <w:sz w:val="18"/>
              </w:rPr>
              <w:t>IgG1 κ</w:t>
            </w:r>
          </w:p>
        </w:tc>
        <w:tc>
          <w:tcPr>
            <w:tcW w:w="1417" w:type="dxa"/>
            <w:noWrap/>
            <w:hideMark/>
          </w:tcPr>
          <w:p w:rsidR="009C1E1D" w:rsidRPr="004744DF" w:rsidRDefault="009C1E1D" w:rsidP="00B45A24">
            <w:pPr>
              <w:rPr>
                <w:rFonts w:ascii="Helvetica" w:eastAsia="Times New Roman" w:hAnsi="Helvetica" w:cs="Calibri"/>
                <w:color w:val="000000"/>
                <w:sz w:val="18"/>
              </w:rPr>
            </w:pPr>
            <w:r w:rsidRPr="004744DF">
              <w:rPr>
                <w:rFonts w:ascii="Helvetica" w:eastAsia="Times New Roman" w:hAnsi="Helvetica" w:cs="Calibri"/>
                <w:color w:val="000000"/>
                <w:sz w:val="18"/>
              </w:rPr>
              <w:t>HIT2</w:t>
            </w:r>
          </w:p>
        </w:tc>
        <w:tc>
          <w:tcPr>
            <w:tcW w:w="1560" w:type="dxa"/>
            <w:noWrap/>
            <w:hideMark/>
          </w:tcPr>
          <w:p w:rsidR="009C1E1D" w:rsidRPr="004744DF" w:rsidRDefault="009C1E1D" w:rsidP="00B45A24">
            <w:pPr>
              <w:rPr>
                <w:rFonts w:ascii="Helvetica" w:eastAsia="Times New Roman" w:hAnsi="Helvetica" w:cs="Calibri"/>
                <w:color w:val="000000"/>
                <w:sz w:val="18"/>
              </w:rPr>
            </w:pPr>
            <w:r w:rsidRPr="004744DF">
              <w:rPr>
                <w:rFonts w:ascii="Helvetica" w:eastAsia="Times New Roman" w:hAnsi="Helvetica" w:cs="Calibri"/>
                <w:color w:val="000000"/>
                <w:sz w:val="18"/>
              </w:rPr>
              <w:t>BD Biosciences</w:t>
            </w:r>
          </w:p>
        </w:tc>
        <w:tc>
          <w:tcPr>
            <w:tcW w:w="992" w:type="dxa"/>
            <w:noWrap/>
            <w:hideMark/>
          </w:tcPr>
          <w:p w:rsidR="009C1E1D" w:rsidRPr="004744DF" w:rsidRDefault="009C1E1D" w:rsidP="00B45A24">
            <w:pPr>
              <w:jc w:val="right"/>
              <w:rPr>
                <w:rFonts w:ascii="Helvetica" w:eastAsia="Times New Roman" w:hAnsi="Helvetica" w:cs="Calibri"/>
                <w:color w:val="000000"/>
                <w:sz w:val="18"/>
              </w:rPr>
            </w:pPr>
            <w:r w:rsidRPr="004744DF">
              <w:rPr>
                <w:rFonts w:ascii="Helvetica" w:eastAsia="Times New Roman" w:hAnsi="Helvetica" w:cs="Calibri"/>
                <w:color w:val="000000"/>
                <w:sz w:val="18"/>
              </w:rPr>
              <w:t>561106</w:t>
            </w:r>
          </w:p>
        </w:tc>
      </w:tr>
      <w:tr w:rsidR="009C1E1D" w:rsidRPr="004744DF" w:rsidTr="00B45A24">
        <w:trPr>
          <w:trHeight w:val="320"/>
        </w:trPr>
        <w:tc>
          <w:tcPr>
            <w:tcW w:w="1129" w:type="dxa"/>
            <w:noWrap/>
            <w:hideMark/>
          </w:tcPr>
          <w:p w:rsidR="009C1E1D" w:rsidRPr="004744DF" w:rsidRDefault="009C1E1D" w:rsidP="00B45A24">
            <w:pPr>
              <w:rPr>
                <w:rFonts w:ascii="Helvetica" w:eastAsia="Times New Roman" w:hAnsi="Helvetica" w:cs="Calibri"/>
                <w:color w:val="000000"/>
                <w:sz w:val="18"/>
              </w:rPr>
            </w:pPr>
            <w:r w:rsidRPr="004744DF">
              <w:rPr>
                <w:rFonts w:ascii="Helvetica" w:eastAsia="Times New Roman" w:hAnsi="Helvetica" w:cs="Calibri"/>
                <w:color w:val="000000"/>
                <w:sz w:val="18"/>
              </w:rPr>
              <w:t>CD117</w:t>
            </w:r>
          </w:p>
        </w:tc>
        <w:tc>
          <w:tcPr>
            <w:tcW w:w="1560" w:type="dxa"/>
            <w:noWrap/>
            <w:hideMark/>
          </w:tcPr>
          <w:p w:rsidR="009C1E1D" w:rsidRPr="004744DF" w:rsidRDefault="009C1E1D" w:rsidP="00B45A24">
            <w:pPr>
              <w:rPr>
                <w:rFonts w:ascii="Helvetica" w:eastAsia="Times New Roman" w:hAnsi="Helvetica" w:cs="Calibri"/>
                <w:color w:val="000000"/>
                <w:sz w:val="18"/>
              </w:rPr>
            </w:pPr>
            <w:r w:rsidRPr="004744DF">
              <w:rPr>
                <w:rFonts w:ascii="Helvetica" w:eastAsia="Times New Roman" w:hAnsi="Helvetica" w:cs="Calibri"/>
                <w:color w:val="000000"/>
                <w:sz w:val="18"/>
              </w:rPr>
              <w:t>Brilliant Violet 421</w:t>
            </w:r>
          </w:p>
        </w:tc>
        <w:tc>
          <w:tcPr>
            <w:tcW w:w="1701" w:type="dxa"/>
            <w:noWrap/>
            <w:hideMark/>
          </w:tcPr>
          <w:p w:rsidR="009C1E1D" w:rsidRPr="004744DF" w:rsidRDefault="009C1E1D" w:rsidP="00B45A24">
            <w:pPr>
              <w:rPr>
                <w:rFonts w:ascii="Helvetica" w:eastAsia="Times New Roman" w:hAnsi="Helvetica" w:cs="Calibri"/>
                <w:color w:val="000000"/>
                <w:sz w:val="18"/>
              </w:rPr>
            </w:pPr>
            <w:r w:rsidRPr="004744DF">
              <w:rPr>
                <w:rFonts w:ascii="Helvetica" w:eastAsia="Times New Roman" w:hAnsi="Helvetica" w:cs="Calibri"/>
                <w:color w:val="000000"/>
                <w:sz w:val="18"/>
              </w:rPr>
              <w:t>Mouse α-Human</w:t>
            </w:r>
          </w:p>
        </w:tc>
        <w:tc>
          <w:tcPr>
            <w:tcW w:w="992" w:type="dxa"/>
            <w:noWrap/>
            <w:hideMark/>
          </w:tcPr>
          <w:p w:rsidR="009C1E1D" w:rsidRPr="004744DF" w:rsidRDefault="009C1E1D" w:rsidP="00B45A24">
            <w:pPr>
              <w:rPr>
                <w:rFonts w:ascii="Helvetica" w:eastAsia="Times New Roman" w:hAnsi="Helvetica" w:cs="Calibri"/>
                <w:color w:val="000000"/>
                <w:sz w:val="18"/>
              </w:rPr>
            </w:pPr>
            <w:r w:rsidRPr="004744DF">
              <w:rPr>
                <w:rFonts w:ascii="Helvetica" w:eastAsia="Times New Roman" w:hAnsi="Helvetica" w:cs="Calibri"/>
                <w:color w:val="000000"/>
                <w:sz w:val="18"/>
              </w:rPr>
              <w:t>IgG1 κ</w:t>
            </w:r>
          </w:p>
        </w:tc>
        <w:tc>
          <w:tcPr>
            <w:tcW w:w="1417" w:type="dxa"/>
            <w:noWrap/>
            <w:hideMark/>
          </w:tcPr>
          <w:p w:rsidR="009C1E1D" w:rsidRPr="004744DF" w:rsidRDefault="009C1E1D" w:rsidP="00B45A24">
            <w:pPr>
              <w:rPr>
                <w:rFonts w:ascii="Helvetica" w:eastAsia="Times New Roman" w:hAnsi="Helvetica" w:cs="Calibri"/>
                <w:color w:val="000000"/>
                <w:sz w:val="18"/>
              </w:rPr>
            </w:pPr>
            <w:r w:rsidRPr="004744DF">
              <w:rPr>
                <w:rFonts w:ascii="Helvetica" w:eastAsia="Times New Roman" w:hAnsi="Helvetica" w:cs="Calibri"/>
                <w:color w:val="000000"/>
                <w:sz w:val="18"/>
              </w:rPr>
              <w:t>104D2</w:t>
            </w:r>
          </w:p>
        </w:tc>
        <w:tc>
          <w:tcPr>
            <w:tcW w:w="1560" w:type="dxa"/>
            <w:noWrap/>
            <w:hideMark/>
          </w:tcPr>
          <w:p w:rsidR="009C1E1D" w:rsidRPr="004744DF" w:rsidRDefault="009C1E1D" w:rsidP="00B45A24">
            <w:pPr>
              <w:rPr>
                <w:rFonts w:ascii="Helvetica" w:eastAsia="Times New Roman" w:hAnsi="Helvetica" w:cs="Calibri"/>
                <w:color w:val="000000"/>
                <w:sz w:val="18"/>
              </w:rPr>
            </w:pPr>
            <w:proofErr w:type="spellStart"/>
            <w:r w:rsidRPr="004744DF">
              <w:rPr>
                <w:rFonts w:ascii="Helvetica" w:eastAsia="Times New Roman" w:hAnsi="Helvetica" w:cs="Calibri"/>
                <w:color w:val="000000"/>
                <w:sz w:val="18"/>
              </w:rPr>
              <w:t>BioLegend</w:t>
            </w:r>
            <w:proofErr w:type="spellEnd"/>
          </w:p>
        </w:tc>
        <w:tc>
          <w:tcPr>
            <w:tcW w:w="992" w:type="dxa"/>
            <w:noWrap/>
            <w:hideMark/>
          </w:tcPr>
          <w:p w:rsidR="009C1E1D" w:rsidRPr="004744DF" w:rsidRDefault="009C1E1D" w:rsidP="00B45A24">
            <w:pPr>
              <w:jc w:val="right"/>
              <w:rPr>
                <w:rFonts w:ascii="Helvetica" w:eastAsia="Times New Roman" w:hAnsi="Helvetica" w:cs="Calibri"/>
                <w:color w:val="000000"/>
                <w:sz w:val="18"/>
              </w:rPr>
            </w:pPr>
            <w:r w:rsidRPr="004744DF">
              <w:rPr>
                <w:rFonts w:ascii="Helvetica" w:eastAsia="Times New Roman" w:hAnsi="Helvetica" w:cs="Calibri"/>
                <w:color w:val="000000"/>
                <w:sz w:val="18"/>
              </w:rPr>
              <w:t>313215</w:t>
            </w:r>
          </w:p>
        </w:tc>
      </w:tr>
      <w:tr w:rsidR="009C1E1D" w:rsidRPr="004744DF" w:rsidTr="00B45A24">
        <w:trPr>
          <w:trHeight w:val="320"/>
        </w:trPr>
        <w:tc>
          <w:tcPr>
            <w:tcW w:w="1129" w:type="dxa"/>
            <w:noWrap/>
            <w:hideMark/>
          </w:tcPr>
          <w:p w:rsidR="009C1E1D" w:rsidRPr="004744DF" w:rsidRDefault="009C1E1D" w:rsidP="00B45A24">
            <w:pPr>
              <w:rPr>
                <w:rFonts w:ascii="Helvetica" w:eastAsia="Times New Roman" w:hAnsi="Helvetica" w:cs="Calibri"/>
                <w:color w:val="000000"/>
                <w:sz w:val="18"/>
              </w:rPr>
            </w:pPr>
            <w:r w:rsidRPr="004744DF">
              <w:rPr>
                <w:rFonts w:ascii="Helvetica" w:eastAsia="Times New Roman" w:hAnsi="Helvetica" w:cs="Calibri"/>
                <w:color w:val="000000"/>
                <w:sz w:val="18"/>
              </w:rPr>
              <w:t>CD45RA</w:t>
            </w:r>
          </w:p>
        </w:tc>
        <w:tc>
          <w:tcPr>
            <w:tcW w:w="1560" w:type="dxa"/>
            <w:noWrap/>
            <w:hideMark/>
          </w:tcPr>
          <w:p w:rsidR="009C1E1D" w:rsidRPr="004744DF" w:rsidRDefault="009C1E1D" w:rsidP="00B45A24">
            <w:pPr>
              <w:rPr>
                <w:rFonts w:ascii="Helvetica" w:eastAsia="Times New Roman" w:hAnsi="Helvetica" w:cs="Calibri"/>
                <w:color w:val="000000"/>
                <w:sz w:val="18"/>
              </w:rPr>
            </w:pPr>
            <w:r w:rsidRPr="004744DF">
              <w:rPr>
                <w:rFonts w:ascii="Helvetica" w:eastAsia="Times New Roman" w:hAnsi="Helvetica" w:cs="Calibri"/>
                <w:color w:val="000000"/>
                <w:sz w:val="18"/>
              </w:rPr>
              <w:t>FITC</w:t>
            </w:r>
          </w:p>
        </w:tc>
        <w:tc>
          <w:tcPr>
            <w:tcW w:w="1701" w:type="dxa"/>
            <w:noWrap/>
            <w:hideMark/>
          </w:tcPr>
          <w:p w:rsidR="009C1E1D" w:rsidRPr="004744DF" w:rsidRDefault="009C1E1D" w:rsidP="00B45A24">
            <w:pPr>
              <w:rPr>
                <w:rFonts w:ascii="Helvetica" w:eastAsia="Times New Roman" w:hAnsi="Helvetica" w:cs="Calibri"/>
                <w:color w:val="000000"/>
                <w:sz w:val="18"/>
              </w:rPr>
            </w:pPr>
            <w:r w:rsidRPr="004744DF">
              <w:rPr>
                <w:rFonts w:ascii="Helvetica" w:eastAsia="Times New Roman" w:hAnsi="Helvetica" w:cs="Calibri"/>
                <w:color w:val="000000"/>
                <w:sz w:val="18"/>
              </w:rPr>
              <w:t>Mouse α-Human</w:t>
            </w:r>
          </w:p>
        </w:tc>
        <w:tc>
          <w:tcPr>
            <w:tcW w:w="992" w:type="dxa"/>
            <w:noWrap/>
            <w:hideMark/>
          </w:tcPr>
          <w:p w:rsidR="009C1E1D" w:rsidRPr="004744DF" w:rsidRDefault="009C1E1D" w:rsidP="00B45A24">
            <w:pPr>
              <w:rPr>
                <w:rFonts w:ascii="Helvetica" w:eastAsia="Times New Roman" w:hAnsi="Helvetica" w:cs="Calibri"/>
                <w:color w:val="000000"/>
                <w:sz w:val="18"/>
              </w:rPr>
            </w:pPr>
            <w:r w:rsidRPr="004744DF">
              <w:rPr>
                <w:rFonts w:ascii="Helvetica" w:eastAsia="Times New Roman" w:hAnsi="Helvetica" w:cs="Calibri"/>
                <w:color w:val="000000"/>
                <w:sz w:val="18"/>
              </w:rPr>
              <w:t>IgG2b κ</w:t>
            </w:r>
          </w:p>
        </w:tc>
        <w:tc>
          <w:tcPr>
            <w:tcW w:w="1417" w:type="dxa"/>
            <w:noWrap/>
            <w:hideMark/>
          </w:tcPr>
          <w:p w:rsidR="009C1E1D" w:rsidRPr="004744DF" w:rsidRDefault="009C1E1D" w:rsidP="00B45A24">
            <w:pPr>
              <w:rPr>
                <w:rFonts w:ascii="Helvetica" w:eastAsia="Times New Roman" w:hAnsi="Helvetica" w:cs="Calibri"/>
                <w:color w:val="000000"/>
                <w:sz w:val="18"/>
              </w:rPr>
            </w:pPr>
            <w:r w:rsidRPr="004744DF">
              <w:rPr>
                <w:rFonts w:ascii="Helvetica" w:eastAsia="Times New Roman" w:hAnsi="Helvetica" w:cs="Calibri"/>
                <w:color w:val="000000"/>
                <w:sz w:val="18"/>
              </w:rPr>
              <w:t>HI100</w:t>
            </w:r>
          </w:p>
        </w:tc>
        <w:tc>
          <w:tcPr>
            <w:tcW w:w="1560" w:type="dxa"/>
            <w:noWrap/>
            <w:hideMark/>
          </w:tcPr>
          <w:p w:rsidR="009C1E1D" w:rsidRPr="004744DF" w:rsidRDefault="009C1E1D" w:rsidP="00B45A24">
            <w:pPr>
              <w:rPr>
                <w:rFonts w:ascii="Helvetica" w:eastAsia="Times New Roman" w:hAnsi="Helvetica" w:cs="Calibri"/>
                <w:color w:val="000000"/>
                <w:sz w:val="18"/>
              </w:rPr>
            </w:pPr>
            <w:proofErr w:type="spellStart"/>
            <w:r w:rsidRPr="004744DF">
              <w:rPr>
                <w:rFonts w:ascii="Helvetica" w:eastAsia="Times New Roman" w:hAnsi="Helvetica" w:cs="Calibri"/>
                <w:color w:val="000000"/>
                <w:sz w:val="18"/>
              </w:rPr>
              <w:t>BioLegend</w:t>
            </w:r>
            <w:proofErr w:type="spellEnd"/>
          </w:p>
        </w:tc>
        <w:tc>
          <w:tcPr>
            <w:tcW w:w="992" w:type="dxa"/>
            <w:noWrap/>
            <w:hideMark/>
          </w:tcPr>
          <w:p w:rsidR="009C1E1D" w:rsidRPr="004744DF" w:rsidRDefault="009C1E1D" w:rsidP="00B45A24">
            <w:pPr>
              <w:jc w:val="right"/>
              <w:rPr>
                <w:rFonts w:ascii="Helvetica" w:eastAsia="Times New Roman" w:hAnsi="Helvetica" w:cs="Calibri"/>
                <w:color w:val="000000"/>
                <w:sz w:val="18"/>
              </w:rPr>
            </w:pPr>
            <w:r w:rsidRPr="004744DF">
              <w:rPr>
                <w:rFonts w:ascii="Helvetica" w:eastAsia="Times New Roman" w:hAnsi="Helvetica" w:cs="Calibri"/>
                <w:color w:val="000000"/>
                <w:sz w:val="18"/>
              </w:rPr>
              <w:t>304106</w:t>
            </w:r>
          </w:p>
        </w:tc>
      </w:tr>
      <w:tr w:rsidR="009C1E1D" w:rsidRPr="004744DF" w:rsidTr="00B45A24">
        <w:trPr>
          <w:trHeight w:val="320"/>
        </w:trPr>
        <w:tc>
          <w:tcPr>
            <w:tcW w:w="1129" w:type="dxa"/>
            <w:noWrap/>
            <w:hideMark/>
          </w:tcPr>
          <w:p w:rsidR="009C1E1D" w:rsidRPr="004744DF" w:rsidRDefault="009C1E1D" w:rsidP="00B45A24">
            <w:pPr>
              <w:rPr>
                <w:rFonts w:ascii="Helvetica" w:eastAsia="Times New Roman" w:hAnsi="Helvetica" w:cs="Calibri"/>
                <w:color w:val="000000"/>
                <w:sz w:val="18"/>
              </w:rPr>
            </w:pPr>
            <w:r w:rsidRPr="004744DF">
              <w:rPr>
                <w:rFonts w:ascii="Helvetica" w:eastAsia="Times New Roman" w:hAnsi="Helvetica" w:cs="Calibri"/>
                <w:color w:val="000000"/>
                <w:sz w:val="18"/>
              </w:rPr>
              <w:t>CD41</w:t>
            </w:r>
          </w:p>
        </w:tc>
        <w:tc>
          <w:tcPr>
            <w:tcW w:w="1560" w:type="dxa"/>
            <w:noWrap/>
            <w:hideMark/>
          </w:tcPr>
          <w:p w:rsidR="009C1E1D" w:rsidRPr="004744DF" w:rsidRDefault="009C1E1D" w:rsidP="00B45A24">
            <w:pPr>
              <w:rPr>
                <w:rFonts w:ascii="Helvetica" w:eastAsia="Times New Roman" w:hAnsi="Helvetica" w:cs="Calibri"/>
                <w:color w:val="000000"/>
                <w:sz w:val="18"/>
              </w:rPr>
            </w:pPr>
            <w:r w:rsidRPr="004744DF">
              <w:rPr>
                <w:rFonts w:ascii="Helvetica" w:eastAsia="Times New Roman" w:hAnsi="Helvetica" w:cs="Calibri"/>
                <w:color w:val="000000"/>
                <w:sz w:val="18"/>
              </w:rPr>
              <w:t>PE</w:t>
            </w:r>
          </w:p>
        </w:tc>
        <w:tc>
          <w:tcPr>
            <w:tcW w:w="1701" w:type="dxa"/>
            <w:noWrap/>
            <w:hideMark/>
          </w:tcPr>
          <w:p w:rsidR="009C1E1D" w:rsidRPr="004744DF" w:rsidRDefault="009C1E1D" w:rsidP="00B45A24">
            <w:pPr>
              <w:rPr>
                <w:rFonts w:ascii="Helvetica" w:eastAsia="Times New Roman" w:hAnsi="Helvetica" w:cs="Calibri"/>
                <w:color w:val="000000"/>
                <w:sz w:val="18"/>
              </w:rPr>
            </w:pPr>
            <w:r w:rsidRPr="004744DF">
              <w:rPr>
                <w:rFonts w:ascii="Helvetica" w:eastAsia="Times New Roman" w:hAnsi="Helvetica" w:cs="Calibri"/>
                <w:color w:val="000000"/>
                <w:sz w:val="18"/>
              </w:rPr>
              <w:t>Mouse α-Human</w:t>
            </w:r>
          </w:p>
        </w:tc>
        <w:tc>
          <w:tcPr>
            <w:tcW w:w="992" w:type="dxa"/>
            <w:noWrap/>
            <w:hideMark/>
          </w:tcPr>
          <w:p w:rsidR="009C1E1D" w:rsidRPr="004744DF" w:rsidRDefault="009C1E1D" w:rsidP="00B45A24">
            <w:pPr>
              <w:rPr>
                <w:rFonts w:ascii="Helvetica" w:eastAsia="Times New Roman" w:hAnsi="Helvetica" w:cs="Calibri"/>
                <w:color w:val="000000"/>
                <w:sz w:val="18"/>
              </w:rPr>
            </w:pPr>
            <w:r w:rsidRPr="004744DF">
              <w:rPr>
                <w:rFonts w:ascii="Helvetica" w:eastAsia="Times New Roman" w:hAnsi="Helvetica" w:cs="Calibri"/>
                <w:color w:val="000000"/>
                <w:sz w:val="18"/>
              </w:rPr>
              <w:t>IgG1 κ</w:t>
            </w:r>
          </w:p>
        </w:tc>
        <w:tc>
          <w:tcPr>
            <w:tcW w:w="1417" w:type="dxa"/>
            <w:noWrap/>
            <w:hideMark/>
          </w:tcPr>
          <w:p w:rsidR="009C1E1D" w:rsidRPr="004744DF" w:rsidRDefault="009C1E1D" w:rsidP="00B45A24">
            <w:pPr>
              <w:rPr>
                <w:rFonts w:ascii="Helvetica" w:eastAsia="Times New Roman" w:hAnsi="Helvetica" w:cs="Calibri"/>
                <w:color w:val="000000"/>
                <w:sz w:val="18"/>
              </w:rPr>
            </w:pPr>
            <w:r w:rsidRPr="004744DF">
              <w:rPr>
                <w:rFonts w:ascii="Helvetica" w:eastAsia="Times New Roman" w:hAnsi="Helvetica" w:cs="Calibri"/>
                <w:color w:val="000000"/>
                <w:sz w:val="18"/>
              </w:rPr>
              <w:t>HIP8</w:t>
            </w:r>
          </w:p>
        </w:tc>
        <w:tc>
          <w:tcPr>
            <w:tcW w:w="1560" w:type="dxa"/>
            <w:noWrap/>
            <w:hideMark/>
          </w:tcPr>
          <w:p w:rsidR="009C1E1D" w:rsidRPr="004744DF" w:rsidRDefault="009C1E1D" w:rsidP="00B45A24">
            <w:pPr>
              <w:rPr>
                <w:rFonts w:ascii="Helvetica" w:eastAsia="Times New Roman" w:hAnsi="Helvetica" w:cs="Calibri"/>
                <w:color w:val="000000"/>
                <w:sz w:val="18"/>
              </w:rPr>
            </w:pPr>
            <w:r w:rsidRPr="004744DF">
              <w:rPr>
                <w:rFonts w:ascii="Helvetica" w:eastAsia="Times New Roman" w:hAnsi="Helvetica" w:cs="Calibri"/>
                <w:color w:val="000000"/>
                <w:sz w:val="18"/>
              </w:rPr>
              <w:t>BD Biosciences</w:t>
            </w:r>
          </w:p>
        </w:tc>
        <w:tc>
          <w:tcPr>
            <w:tcW w:w="992" w:type="dxa"/>
            <w:noWrap/>
            <w:hideMark/>
          </w:tcPr>
          <w:p w:rsidR="009C1E1D" w:rsidRPr="004744DF" w:rsidRDefault="009C1E1D" w:rsidP="00B45A24">
            <w:pPr>
              <w:jc w:val="right"/>
              <w:rPr>
                <w:rFonts w:ascii="Helvetica" w:eastAsia="Times New Roman" w:hAnsi="Helvetica" w:cs="Calibri"/>
                <w:color w:val="000000"/>
                <w:sz w:val="18"/>
              </w:rPr>
            </w:pPr>
            <w:r w:rsidRPr="004744DF">
              <w:rPr>
                <w:rFonts w:ascii="Helvetica" w:eastAsia="Times New Roman" w:hAnsi="Helvetica" w:cs="Calibri"/>
                <w:color w:val="000000"/>
                <w:sz w:val="18"/>
              </w:rPr>
              <w:t>555467</w:t>
            </w:r>
          </w:p>
        </w:tc>
      </w:tr>
      <w:tr w:rsidR="009C1E1D" w:rsidRPr="004744DF" w:rsidTr="00B45A24">
        <w:trPr>
          <w:trHeight w:val="320"/>
        </w:trPr>
        <w:tc>
          <w:tcPr>
            <w:tcW w:w="1129" w:type="dxa"/>
            <w:noWrap/>
          </w:tcPr>
          <w:p w:rsidR="009C1E1D" w:rsidRPr="004744DF" w:rsidRDefault="009C1E1D" w:rsidP="00B45A24">
            <w:pPr>
              <w:rPr>
                <w:rFonts w:ascii="Helvetica" w:eastAsia="Times New Roman" w:hAnsi="Helvetica" w:cs="Calibri"/>
                <w:color w:val="000000"/>
                <w:sz w:val="18"/>
              </w:rPr>
            </w:pPr>
            <w:r>
              <w:rPr>
                <w:rFonts w:ascii="Helvetica" w:eastAsia="Times New Roman" w:hAnsi="Helvetica" w:cs="Calibri"/>
                <w:color w:val="000000"/>
                <w:sz w:val="18"/>
              </w:rPr>
              <w:t>CD42</w:t>
            </w:r>
          </w:p>
        </w:tc>
        <w:tc>
          <w:tcPr>
            <w:tcW w:w="1560" w:type="dxa"/>
            <w:noWrap/>
          </w:tcPr>
          <w:p w:rsidR="009C1E1D" w:rsidRPr="004744DF" w:rsidRDefault="009C1E1D" w:rsidP="00B45A24">
            <w:pPr>
              <w:rPr>
                <w:rFonts w:ascii="Helvetica" w:eastAsia="Times New Roman" w:hAnsi="Helvetica" w:cs="Calibri"/>
                <w:color w:val="000000"/>
                <w:sz w:val="18"/>
              </w:rPr>
            </w:pPr>
            <w:r>
              <w:rPr>
                <w:rFonts w:ascii="Helvetica" w:eastAsia="Times New Roman" w:hAnsi="Helvetica" w:cs="Calibri"/>
                <w:color w:val="000000"/>
                <w:sz w:val="18"/>
              </w:rPr>
              <w:t>APC</w:t>
            </w:r>
          </w:p>
        </w:tc>
        <w:tc>
          <w:tcPr>
            <w:tcW w:w="1701" w:type="dxa"/>
            <w:noWrap/>
          </w:tcPr>
          <w:p w:rsidR="009C1E1D" w:rsidRPr="00D43B4B" w:rsidRDefault="009C1E1D" w:rsidP="00B45A24">
            <w:pPr>
              <w:rPr>
                <w:rFonts w:ascii="Helvetica" w:eastAsia="Times New Roman" w:hAnsi="Helvetica" w:cs="Calibri"/>
                <w:color w:val="000000"/>
                <w:sz w:val="18"/>
              </w:rPr>
            </w:pPr>
            <w:r>
              <w:rPr>
                <w:rFonts w:ascii="Helvetica" w:eastAsia="Times New Roman" w:hAnsi="Helvetica" w:cs="Calibri"/>
                <w:color w:val="000000"/>
                <w:sz w:val="18"/>
              </w:rPr>
              <w:t xml:space="preserve">Mouse </w:t>
            </w:r>
            <w:r>
              <w:rPr>
                <w:rFonts w:ascii="Helvetica" w:eastAsia="Times New Roman" w:hAnsi="Helvetica" w:cs="Calibri"/>
                <w:color w:val="000000"/>
                <w:sz w:val="18"/>
                <w:lang w:val="el-GR"/>
              </w:rPr>
              <w:t>α-</w:t>
            </w:r>
            <w:r>
              <w:rPr>
                <w:rFonts w:ascii="Helvetica" w:eastAsia="Times New Roman" w:hAnsi="Helvetica" w:cs="Calibri"/>
                <w:color w:val="000000"/>
                <w:sz w:val="18"/>
              </w:rPr>
              <w:t>Human</w:t>
            </w:r>
          </w:p>
        </w:tc>
        <w:tc>
          <w:tcPr>
            <w:tcW w:w="992" w:type="dxa"/>
            <w:noWrap/>
          </w:tcPr>
          <w:p w:rsidR="009C1E1D" w:rsidRPr="004744DF" w:rsidRDefault="009C1E1D" w:rsidP="00B45A24">
            <w:pPr>
              <w:rPr>
                <w:rFonts w:ascii="Helvetica" w:eastAsia="Times New Roman" w:hAnsi="Helvetica" w:cs="Calibri"/>
                <w:color w:val="000000"/>
                <w:sz w:val="18"/>
              </w:rPr>
            </w:pPr>
            <w:r w:rsidRPr="004744DF">
              <w:rPr>
                <w:rFonts w:ascii="Helvetica" w:eastAsia="Times New Roman" w:hAnsi="Helvetica" w:cs="Calibri"/>
                <w:color w:val="000000"/>
                <w:sz w:val="18"/>
              </w:rPr>
              <w:t>IgG1 κ</w:t>
            </w:r>
          </w:p>
        </w:tc>
        <w:tc>
          <w:tcPr>
            <w:tcW w:w="1417" w:type="dxa"/>
            <w:noWrap/>
          </w:tcPr>
          <w:p w:rsidR="009C1E1D" w:rsidRPr="004744DF" w:rsidRDefault="009C1E1D" w:rsidP="00B45A24">
            <w:pPr>
              <w:rPr>
                <w:rFonts w:ascii="Helvetica" w:eastAsia="Times New Roman" w:hAnsi="Helvetica" w:cs="Calibri"/>
                <w:color w:val="000000"/>
                <w:sz w:val="18"/>
              </w:rPr>
            </w:pPr>
            <w:r>
              <w:rPr>
                <w:rFonts w:ascii="Helvetica" w:eastAsia="Times New Roman" w:hAnsi="Helvetica" w:cs="Calibri"/>
                <w:color w:val="000000"/>
                <w:sz w:val="18"/>
              </w:rPr>
              <w:t>HIP1</w:t>
            </w:r>
          </w:p>
        </w:tc>
        <w:tc>
          <w:tcPr>
            <w:tcW w:w="1560" w:type="dxa"/>
            <w:noWrap/>
          </w:tcPr>
          <w:p w:rsidR="009C1E1D" w:rsidRPr="004744DF" w:rsidRDefault="009C1E1D" w:rsidP="00B45A24">
            <w:pPr>
              <w:rPr>
                <w:rFonts w:ascii="Helvetica" w:eastAsia="Times New Roman" w:hAnsi="Helvetica" w:cs="Calibri"/>
                <w:color w:val="000000"/>
                <w:sz w:val="18"/>
              </w:rPr>
            </w:pPr>
            <w:r w:rsidRPr="004744DF">
              <w:rPr>
                <w:rFonts w:ascii="Helvetica" w:eastAsia="Times New Roman" w:hAnsi="Helvetica" w:cs="Calibri"/>
                <w:color w:val="000000"/>
                <w:sz w:val="18"/>
              </w:rPr>
              <w:t>BD Biosciences</w:t>
            </w:r>
          </w:p>
        </w:tc>
        <w:tc>
          <w:tcPr>
            <w:tcW w:w="992" w:type="dxa"/>
            <w:noWrap/>
          </w:tcPr>
          <w:p w:rsidR="009C1E1D" w:rsidRPr="004744DF" w:rsidRDefault="009C1E1D" w:rsidP="00B45A24">
            <w:pPr>
              <w:jc w:val="right"/>
              <w:rPr>
                <w:rFonts w:ascii="Helvetica" w:eastAsia="Times New Roman" w:hAnsi="Helvetica" w:cs="Calibri"/>
                <w:color w:val="000000"/>
                <w:sz w:val="18"/>
              </w:rPr>
            </w:pPr>
            <w:r w:rsidRPr="00D43B4B">
              <w:rPr>
                <w:rFonts w:ascii="Helvetica" w:eastAsia="Times New Roman" w:hAnsi="Helvetica" w:cs="Calibri"/>
                <w:color w:val="000000"/>
                <w:sz w:val="18"/>
              </w:rPr>
              <w:t>551061</w:t>
            </w:r>
          </w:p>
        </w:tc>
      </w:tr>
      <w:tr w:rsidR="009C1E1D" w:rsidRPr="004744DF" w:rsidTr="00B45A24">
        <w:trPr>
          <w:trHeight w:val="320"/>
        </w:trPr>
        <w:tc>
          <w:tcPr>
            <w:tcW w:w="1129" w:type="dxa"/>
            <w:noWrap/>
            <w:hideMark/>
          </w:tcPr>
          <w:p w:rsidR="009C1E1D" w:rsidRPr="004744DF" w:rsidRDefault="009C1E1D" w:rsidP="00B45A24">
            <w:pPr>
              <w:rPr>
                <w:rFonts w:ascii="Helvetica" w:eastAsia="Times New Roman" w:hAnsi="Helvetica" w:cs="Calibri"/>
                <w:color w:val="000000"/>
                <w:sz w:val="18"/>
              </w:rPr>
            </w:pPr>
            <w:r w:rsidRPr="004744DF">
              <w:rPr>
                <w:rFonts w:ascii="Helvetica" w:eastAsia="Times New Roman" w:hAnsi="Helvetica" w:cs="Calibri"/>
                <w:color w:val="000000"/>
                <w:sz w:val="18"/>
              </w:rPr>
              <w:t>CD71</w:t>
            </w:r>
          </w:p>
        </w:tc>
        <w:tc>
          <w:tcPr>
            <w:tcW w:w="1560" w:type="dxa"/>
            <w:noWrap/>
            <w:hideMark/>
          </w:tcPr>
          <w:p w:rsidR="009C1E1D" w:rsidRPr="004744DF" w:rsidRDefault="009C1E1D" w:rsidP="00B45A24">
            <w:pPr>
              <w:rPr>
                <w:rFonts w:ascii="Helvetica" w:eastAsia="Times New Roman" w:hAnsi="Helvetica" w:cs="Calibri"/>
                <w:color w:val="000000"/>
                <w:sz w:val="18"/>
              </w:rPr>
            </w:pPr>
            <w:r w:rsidRPr="004744DF">
              <w:rPr>
                <w:rFonts w:ascii="Helvetica" w:eastAsia="Times New Roman" w:hAnsi="Helvetica" w:cs="Calibri"/>
                <w:color w:val="000000"/>
                <w:sz w:val="18"/>
              </w:rPr>
              <w:t>PE-Cy7</w:t>
            </w:r>
          </w:p>
        </w:tc>
        <w:tc>
          <w:tcPr>
            <w:tcW w:w="1701" w:type="dxa"/>
            <w:noWrap/>
            <w:hideMark/>
          </w:tcPr>
          <w:p w:rsidR="009C1E1D" w:rsidRPr="004744DF" w:rsidRDefault="009C1E1D" w:rsidP="00B45A24">
            <w:pPr>
              <w:rPr>
                <w:rFonts w:ascii="Helvetica" w:eastAsia="Times New Roman" w:hAnsi="Helvetica" w:cs="Calibri"/>
                <w:color w:val="000000"/>
                <w:sz w:val="18"/>
              </w:rPr>
            </w:pPr>
            <w:r w:rsidRPr="004744DF">
              <w:rPr>
                <w:rFonts w:ascii="Helvetica" w:eastAsia="Times New Roman" w:hAnsi="Helvetica" w:cs="Calibri"/>
                <w:color w:val="000000"/>
                <w:sz w:val="18"/>
              </w:rPr>
              <w:t>Mouse α-Human</w:t>
            </w:r>
          </w:p>
        </w:tc>
        <w:tc>
          <w:tcPr>
            <w:tcW w:w="992" w:type="dxa"/>
            <w:noWrap/>
            <w:hideMark/>
          </w:tcPr>
          <w:p w:rsidR="009C1E1D" w:rsidRPr="004744DF" w:rsidRDefault="009C1E1D" w:rsidP="00B45A24">
            <w:pPr>
              <w:rPr>
                <w:rFonts w:ascii="Helvetica" w:eastAsia="Times New Roman" w:hAnsi="Helvetica" w:cs="Calibri"/>
                <w:color w:val="000000"/>
                <w:sz w:val="18"/>
              </w:rPr>
            </w:pPr>
            <w:r w:rsidRPr="004744DF">
              <w:rPr>
                <w:rFonts w:ascii="Helvetica" w:eastAsia="Times New Roman" w:hAnsi="Helvetica" w:cs="Calibri"/>
                <w:color w:val="000000"/>
                <w:sz w:val="18"/>
              </w:rPr>
              <w:t>IgG2a κ</w:t>
            </w:r>
          </w:p>
        </w:tc>
        <w:tc>
          <w:tcPr>
            <w:tcW w:w="1417" w:type="dxa"/>
            <w:noWrap/>
            <w:hideMark/>
          </w:tcPr>
          <w:p w:rsidR="009C1E1D" w:rsidRPr="004744DF" w:rsidRDefault="009C1E1D" w:rsidP="00B45A24">
            <w:pPr>
              <w:rPr>
                <w:rFonts w:ascii="Helvetica" w:eastAsia="Times New Roman" w:hAnsi="Helvetica" w:cs="Calibri"/>
                <w:color w:val="000000"/>
                <w:sz w:val="18"/>
              </w:rPr>
            </w:pPr>
            <w:r w:rsidRPr="004744DF">
              <w:rPr>
                <w:rFonts w:ascii="Helvetica" w:eastAsia="Times New Roman" w:hAnsi="Helvetica" w:cs="Calibri"/>
                <w:color w:val="000000"/>
                <w:sz w:val="18"/>
              </w:rPr>
              <w:t>CY1G4</w:t>
            </w:r>
          </w:p>
        </w:tc>
        <w:tc>
          <w:tcPr>
            <w:tcW w:w="1560" w:type="dxa"/>
            <w:noWrap/>
            <w:hideMark/>
          </w:tcPr>
          <w:p w:rsidR="009C1E1D" w:rsidRPr="004744DF" w:rsidRDefault="009C1E1D" w:rsidP="00B45A24">
            <w:pPr>
              <w:rPr>
                <w:rFonts w:ascii="Helvetica" w:eastAsia="Times New Roman" w:hAnsi="Helvetica" w:cs="Calibri"/>
                <w:color w:val="000000"/>
                <w:sz w:val="18"/>
              </w:rPr>
            </w:pPr>
            <w:proofErr w:type="spellStart"/>
            <w:r w:rsidRPr="004744DF">
              <w:rPr>
                <w:rFonts w:ascii="Helvetica" w:eastAsia="Times New Roman" w:hAnsi="Helvetica" w:cs="Calibri"/>
                <w:color w:val="000000"/>
                <w:sz w:val="18"/>
              </w:rPr>
              <w:t>BioLegend</w:t>
            </w:r>
            <w:proofErr w:type="spellEnd"/>
          </w:p>
        </w:tc>
        <w:tc>
          <w:tcPr>
            <w:tcW w:w="992" w:type="dxa"/>
            <w:noWrap/>
            <w:hideMark/>
          </w:tcPr>
          <w:p w:rsidR="009C1E1D" w:rsidRPr="004744DF" w:rsidRDefault="009C1E1D" w:rsidP="00B45A24">
            <w:pPr>
              <w:jc w:val="right"/>
              <w:rPr>
                <w:rFonts w:ascii="Helvetica" w:eastAsia="Times New Roman" w:hAnsi="Helvetica" w:cs="Calibri"/>
                <w:color w:val="000000"/>
                <w:sz w:val="18"/>
              </w:rPr>
            </w:pPr>
            <w:r w:rsidRPr="004744DF">
              <w:rPr>
                <w:rFonts w:ascii="Helvetica" w:eastAsia="Times New Roman" w:hAnsi="Helvetica" w:cs="Calibri"/>
                <w:color w:val="000000"/>
                <w:sz w:val="18"/>
              </w:rPr>
              <w:t>334111</w:t>
            </w:r>
          </w:p>
        </w:tc>
      </w:tr>
      <w:tr w:rsidR="009C1E1D" w:rsidRPr="004744DF" w:rsidTr="00B45A24">
        <w:trPr>
          <w:trHeight w:val="320"/>
        </w:trPr>
        <w:tc>
          <w:tcPr>
            <w:tcW w:w="1129" w:type="dxa"/>
            <w:noWrap/>
            <w:hideMark/>
          </w:tcPr>
          <w:p w:rsidR="009C1E1D" w:rsidRPr="004744DF" w:rsidRDefault="009C1E1D" w:rsidP="00B45A24">
            <w:pPr>
              <w:rPr>
                <w:rFonts w:ascii="Helvetica" w:eastAsia="Times New Roman" w:hAnsi="Helvetica" w:cs="Calibri"/>
                <w:color w:val="000000"/>
                <w:sz w:val="18"/>
              </w:rPr>
            </w:pPr>
            <w:r w:rsidRPr="004744DF">
              <w:rPr>
                <w:rFonts w:ascii="Helvetica" w:eastAsia="Times New Roman" w:hAnsi="Helvetica" w:cs="Calibri"/>
                <w:color w:val="000000"/>
                <w:sz w:val="18"/>
              </w:rPr>
              <w:t>CD123</w:t>
            </w:r>
          </w:p>
        </w:tc>
        <w:tc>
          <w:tcPr>
            <w:tcW w:w="1560" w:type="dxa"/>
            <w:noWrap/>
            <w:hideMark/>
          </w:tcPr>
          <w:p w:rsidR="009C1E1D" w:rsidRPr="004744DF" w:rsidRDefault="009C1E1D" w:rsidP="00B45A24">
            <w:pPr>
              <w:rPr>
                <w:rFonts w:ascii="Helvetica" w:eastAsia="Times New Roman" w:hAnsi="Helvetica" w:cs="Calibri"/>
                <w:color w:val="000000"/>
                <w:sz w:val="18"/>
              </w:rPr>
            </w:pPr>
            <w:proofErr w:type="spellStart"/>
            <w:r w:rsidRPr="004744DF">
              <w:rPr>
                <w:rFonts w:ascii="Helvetica" w:eastAsia="Times New Roman" w:hAnsi="Helvetica" w:cs="Calibri"/>
                <w:color w:val="000000"/>
                <w:sz w:val="18"/>
              </w:rPr>
              <w:t>VioGreen</w:t>
            </w:r>
            <w:proofErr w:type="spellEnd"/>
          </w:p>
        </w:tc>
        <w:tc>
          <w:tcPr>
            <w:tcW w:w="1701" w:type="dxa"/>
            <w:noWrap/>
            <w:hideMark/>
          </w:tcPr>
          <w:p w:rsidR="009C1E1D" w:rsidRPr="004744DF" w:rsidRDefault="009C1E1D" w:rsidP="00B45A24">
            <w:pPr>
              <w:rPr>
                <w:rFonts w:ascii="Helvetica" w:eastAsia="Times New Roman" w:hAnsi="Helvetica" w:cs="Calibri"/>
                <w:color w:val="000000"/>
                <w:sz w:val="18"/>
              </w:rPr>
            </w:pPr>
            <w:r w:rsidRPr="004744DF">
              <w:rPr>
                <w:rFonts w:ascii="Helvetica" w:eastAsia="Times New Roman" w:hAnsi="Helvetica" w:cs="Calibri"/>
                <w:color w:val="000000"/>
                <w:sz w:val="18"/>
              </w:rPr>
              <w:t>Mouse α-Human</w:t>
            </w:r>
          </w:p>
        </w:tc>
        <w:tc>
          <w:tcPr>
            <w:tcW w:w="992" w:type="dxa"/>
            <w:noWrap/>
            <w:hideMark/>
          </w:tcPr>
          <w:p w:rsidR="009C1E1D" w:rsidRPr="004744DF" w:rsidRDefault="009C1E1D" w:rsidP="00B45A24">
            <w:pPr>
              <w:rPr>
                <w:rFonts w:ascii="Helvetica" w:eastAsia="Times New Roman" w:hAnsi="Helvetica" w:cs="Calibri"/>
                <w:color w:val="000000"/>
                <w:sz w:val="18"/>
              </w:rPr>
            </w:pPr>
            <w:r w:rsidRPr="004744DF">
              <w:rPr>
                <w:rFonts w:ascii="Helvetica" w:eastAsia="Times New Roman" w:hAnsi="Helvetica" w:cs="Calibri"/>
                <w:color w:val="000000"/>
                <w:sz w:val="18"/>
              </w:rPr>
              <w:t>IgG2a κ</w:t>
            </w:r>
          </w:p>
        </w:tc>
        <w:tc>
          <w:tcPr>
            <w:tcW w:w="1417" w:type="dxa"/>
            <w:noWrap/>
            <w:hideMark/>
          </w:tcPr>
          <w:p w:rsidR="009C1E1D" w:rsidRPr="004744DF" w:rsidRDefault="009C1E1D" w:rsidP="00B45A24">
            <w:pPr>
              <w:rPr>
                <w:rFonts w:ascii="Helvetica" w:eastAsia="Times New Roman" w:hAnsi="Helvetica" w:cs="Calibri"/>
                <w:color w:val="000000"/>
                <w:sz w:val="18"/>
              </w:rPr>
            </w:pPr>
            <w:r w:rsidRPr="004744DF">
              <w:rPr>
                <w:rFonts w:ascii="Helvetica" w:eastAsia="Times New Roman" w:hAnsi="Helvetica" w:cs="Calibri"/>
                <w:color w:val="000000"/>
                <w:sz w:val="18"/>
              </w:rPr>
              <w:t>AC145</w:t>
            </w:r>
          </w:p>
        </w:tc>
        <w:tc>
          <w:tcPr>
            <w:tcW w:w="1560" w:type="dxa"/>
            <w:noWrap/>
            <w:hideMark/>
          </w:tcPr>
          <w:p w:rsidR="009C1E1D" w:rsidRPr="004744DF" w:rsidRDefault="009C1E1D" w:rsidP="00B45A24">
            <w:pPr>
              <w:rPr>
                <w:rFonts w:ascii="Helvetica" w:eastAsia="Times New Roman" w:hAnsi="Helvetica" w:cs="Calibri"/>
                <w:color w:val="000000"/>
                <w:sz w:val="18"/>
              </w:rPr>
            </w:pPr>
            <w:proofErr w:type="spellStart"/>
            <w:r w:rsidRPr="004744DF">
              <w:rPr>
                <w:rFonts w:ascii="Helvetica" w:eastAsia="Times New Roman" w:hAnsi="Helvetica" w:cs="Calibri"/>
                <w:color w:val="000000"/>
                <w:sz w:val="18"/>
              </w:rPr>
              <w:t>Miltenyi</w:t>
            </w:r>
            <w:proofErr w:type="spellEnd"/>
            <w:r w:rsidRPr="004744DF">
              <w:rPr>
                <w:rFonts w:ascii="Helvetica" w:eastAsia="Times New Roman" w:hAnsi="Helvetica" w:cs="Calibri"/>
                <w:color w:val="000000"/>
                <w:sz w:val="18"/>
              </w:rPr>
              <w:t xml:space="preserve"> </w:t>
            </w:r>
            <w:proofErr w:type="spellStart"/>
            <w:r w:rsidRPr="004744DF">
              <w:rPr>
                <w:rFonts w:ascii="Helvetica" w:eastAsia="Times New Roman" w:hAnsi="Helvetica" w:cs="Calibri"/>
                <w:color w:val="000000"/>
                <w:sz w:val="18"/>
              </w:rPr>
              <w:t>Biotec</w:t>
            </w:r>
            <w:proofErr w:type="spellEnd"/>
          </w:p>
        </w:tc>
        <w:tc>
          <w:tcPr>
            <w:tcW w:w="992" w:type="dxa"/>
            <w:noWrap/>
            <w:hideMark/>
          </w:tcPr>
          <w:p w:rsidR="009C1E1D" w:rsidRPr="004744DF" w:rsidRDefault="009C1E1D" w:rsidP="00B45A24">
            <w:pPr>
              <w:jc w:val="right"/>
              <w:rPr>
                <w:rFonts w:ascii="Helvetica" w:eastAsia="Times New Roman" w:hAnsi="Helvetica" w:cs="Calibri"/>
                <w:color w:val="000000"/>
                <w:sz w:val="18"/>
              </w:rPr>
            </w:pPr>
            <w:r w:rsidRPr="004744DF">
              <w:rPr>
                <w:rFonts w:ascii="Helvetica" w:eastAsia="Times New Roman" w:hAnsi="Helvetica" w:cs="Calibri"/>
                <w:color w:val="000000"/>
                <w:sz w:val="18"/>
              </w:rPr>
              <w:t>130</w:t>
            </w:r>
            <w:r w:rsidRPr="004744DF">
              <w:rPr>
                <w:rFonts w:ascii="Helvetica" w:eastAsia="Times New Roman" w:hAnsi="Helvetica" w:cs="Calibri"/>
                <w:color w:val="000000"/>
                <w:sz w:val="18"/>
              </w:rPr>
              <w:noBreakHyphen/>
              <w:t>106</w:t>
            </w:r>
            <w:r w:rsidRPr="004744DF">
              <w:rPr>
                <w:rFonts w:ascii="Helvetica" w:eastAsia="Times New Roman" w:hAnsi="Helvetica" w:cs="Calibri"/>
                <w:color w:val="000000"/>
                <w:sz w:val="18"/>
              </w:rPr>
              <w:noBreakHyphen/>
              <w:t>711</w:t>
            </w:r>
          </w:p>
        </w:tc>
      </w:tr>
      <w:tr w:rsidR="009C1E1D" w:rsidRPr="004744DF" w:rsidTr="00B45A24">
        <w:trPr>
          <w:trHeight w:val="320"/>
        </w:trPr>
        <w:tc>
          <w:tcPr>
            <w:tcW w:w="1129" w:type="dxa"/>
            <w:noWrap/>
          </w:tcPr>
          <w:p w:rsidR="009C1E1D" w:rsidRPr="004744DF" w:rsidRDefault="009C1E1D" w:rsidP="00B45A24">
            <w:pPr>
              <w:rPr>
                <w:rFonts w:ascii="Helvetica" w:eastAsia="Times New Roman" w:hAnsi="Helvetica" w:cs="Calibri"/>
                <w:color w:val="000000"/>
                <w:sz w:val="18"/>
              </w:rPr>
            </w:pPr>
            <w:r>
              <w:rPr>
                <w:rFonts w:ascii="Helvetica" w:eastAsia="Times New Roman" w:hAnsi="Helvetica" w:cs="Calibri"/>
                <w:color w:val="000000"/>
                <w:sz w:val="18"/>
              </w:rPr>
              <w:t>CD123</w:t>
            </w:r>
          </w:p>
        </w:tc>
        <w:tc>
          <w:tcPr>
            <w:tcW w:w="1560" w:type="dxa"/>
            <w:noWrap/>
          </w:tcPr>
          <w:p w:rsidR="009C1E1D" w:rsidRPr="004744DF" w:rsidRDefault="009C1E1D" w:rsidP="00B45A24">
            <w:pPr>
              <w:rPr>
                <w:rFonts w:ascii="Helvetica" w:eastAsia="Times New Roman" w:hAnsi="Helvetica" w:cs="Calibri"/>
                <w:color w:val="000000"/>
                <w:sz w:val="18"/>
              </w:rPr>
            </w:pPr>
            <w:r>
              <w:rPr>
                <w:rFonts w:ascii="Helvetica" w:eastAsia="Times New Roman" w:hAnsi="Helvetica" w:cs="Calibri"/>
                <w:color w:val="000000"/>
                <w:sz w:val="18"/>
              </w:rPr>
              <w:t>Alexa Fluor 700</w:t>
            </w:r>
          </w:p>
        </w:tc>
        <w:tc>
          <w:tcPr>
            <w:tcW w:w="1701" w:type="dxa"/>
            <w:noWrap/>
          </w:tcPr>
          <w:p w:rsidR="009C1E1D" w:rsidRPr="004744DF" w:rsidRDefault="009C1E1D" w:rsidP="00B45A24">
            <w:pPr>
              <w:rPr>
                <w:rFonts w:ascii="Helvetica" w:eastAsia="Times New Roman" w:hAnsi="Helvetica" w:cs="Calibri"/>
                <w:color w:val="000000"/>
                <w:sz w:val="18"/>
              </w:rPr>
            </w:pPr>
            <w:r w:rsidRPr="004744DF">
              <w:rPr>
                <w:rFonts w:ascii="Helvetica" w:eastAsia="Times New Roman" w:hAnsi="Helvetica" w:cs="Calibri"/>
                <w:color w:val="000000"/>
                <w:sz w:val="18"/>
              </w:rPr>
              <w:t>Mouse α-Human</w:t>
            </w:r>
          </w:p>
        </w:tc>
        <w:tc>
          <w:tcPr>
            <w:tcW w:w="992" w:type="dxa"/>
            <w:noWrap/>
          </w:tcPr>
          <w:p w:rsidR="009C1E1D" w:rsidRPr="004744DF" w:rsidRDefault="009C1E1D" w:rsidP="00B45A24">
            <w:pPr>
              <w:rPr>
                <w:rFonts w:ascii="Helvetica" w:eastAsia="Times New Roman" w:hAnsi="Helvetica" w:cs="Calibri"/>
                <w:color w:val="000000"/>
                <w:sz w:val="18"/>
              </w:rPr>
            </w:pPr>
            <w:r w:rsidRPr="004744DF">
              <w:rPr>
                <w:rFonts w:ascii="Helvetica" w:eastAsia="Times New Roman" w:hAnsi="Helvetica" w:cs="Calibri"/>
                <w:color w:val="000000"/>
                <w:sz w:val="18"/>
              </w:rPr>
              <w:t>IgG1 κ</w:t>
            </w:r>
          </w:p>
        </w:tc>
        <w:tc>
          <w:tcPr>
            <w:tcW w:w="1417" w:type="dxa"/>
            <w:noWrap/>
          </w:tcPr>
          <w:p w:rsidR="009C1E1D" w:rsidRPr="004744DF" w:rsidRDefault="009C1E1D" w:rsidP="00B45A24">
            <w:pPr>
              <w:rPr>
                <w:rFonts w:ascii="Helvetica" w:eastAsia="Times New Roman" w:hAnsi="Helvetica" w:cs="Calibri"/>
                <w:color w:val="000000"/>
                <w:sz w:val="18"/>
              </w:rPr>
            </w:pPr>
            <w:r>
              <w:rPr>
                <w:rFonts w:ascii="Helvetica" w:eastAsia="Times New Roman" w:hAnsi="Helvetica" w:cs="Calibri"/>
                <w:color w:val="000000"/>
                <w:sz w:val="18"/>
              </w:rPr>
              <w:t>6H6</w:t>
            </w:r>
          </w:p>
        </w:tc>
        <w:tc>
          <w:tcPr>
            <w:tcW w:w="1560" w:type="dxa"/>
            <w:noWrap/>
          </w:tcPr>
          <w:p w:rsidR="009C1E1D" w:rsidRPr="004744DF" w:rsidRDefault="009C1E1D" w:rsidP="00B45A24">
            <w:pPr>
              <w:rPr>
                <w:rFonts w:ascii="Helvetica" w:eastAsia="Times New Roman" w:hAnsi="Helvetica" w:cs="Calibri"/>
                <w:color w:val="000000"/>
                <w:sz w:val="18"/>
              </w:rPr>
            </w:pPr>
            <w:proofErr w:type="spellStart"/>
            <w:r>
              <w:rPr>
                <w:rFonts w:ascii="Helvetica" w:eastAsia="Times New Roman" w:hAnsi="Helvetica" w:cs="Calibri"/>
                <w:color w:val="000000"/>
                <w:sz w:val="18"/>
              </w:rPr>
              <w:t>BioLegend</w:t>
            </w:r>
            <w:proofErr w:type="spellEnd"/>
          </w:p>
        </w:tc>
        <w:tc>
          <w:tcPr>
            <w:tcW w:w="992" w:type="dxa"/>
            <w:noWrap/>
          </w:tcPr>
          <w:p w:rsidR="009C1E1D" w:rsidRPr="004744DF" w:rsidRDefault="009C1E1D" w:rsidP="00B45A24">
            <w:pPr>
              <w:jc w:val="right"/>
              <w:rPr>
                <w:rFonts w:ascii="Helvetica" w:eastAsia="Times New Roman" w:hAnsi="Helvetica" w:cs="Calibri"/>
                <w:color w:val="000000"/>
                <w:sz w:val="18"/>
              </w:rPr>
            </w:pPr>
            <w:r w:rsidRPr="00B94E16">
              <w:rPr>
                <w:rFonts w:ascii="Helvetica" w:eastAsia="Times New Roman" w:hAnsi="Helvetica" w:cs="Calibri"/>
                <w:color w:val="000000"/>
                <w:sz w:val="18"/>
              </w:rPr>
              <w:t>306039</w:t>
            </w:r>
          </w:p>
        </w:tc>
      </w:tr>
      <w:tr w:rsidR="009C1E1D" w:rsidRPr="004744DF" w:rsidTr="00B45A24">
        <w:trPr>
          <w:trHeight w:val="320"/>
        </w:trPr>
        <w:tc>
          <w:tcPr>
            <w:tcW w:w="1129" w:type="dxa"/>
            <w:noWrap/>
            <w:hideMark/>
          </w:tcPr>
          <w:p w:rsidR="009C1E1D" w:rsidRPr="004744DF" w:rsidRDefault="009C1E1D" w:rsidP="00B45A24">
            <w:pPr>
              <w:rPr>
                <w:rFonts w:ascii="Helvetica" w:eastAsia="Times New Roman" w:hAnsi="Helvetica" w:cs="Calibri"/>
                <w:color w:val="000000"/>
                <w:sz w:val="18"/>
              </w:rPr>
            </w:pPr>
            <w:r w:rsidRPr="004744DF">
              <w:rPr>
                <w:rFonts w:ascii="Helvetica" w:eastAsia="Times New Roman" w:hAnsi="Helvetica" w:cs="Calibri"/>
                <w:color w:val="000000"/>
                <w:sz w:val="18"/>
              </w:rPr>
              <w:t>CD36</w:t>
            </w:r>
          </w:p>
        </w:tc>
        <w:tc>
          <w:tcPr>
            <w:tcW w:w="1560" w:type="dxa"/>
            <w:noWrap/>
            <w:hideMark/>
          </w:tcPr>
          <w:p w:rsidR="009C1E1D" w:rsidRPr="004744DF" w:rsidRDefault="009C1E1D" w:rsidP="00B45A24">
            <w:pPr>
              <w:rPr>
                <w:rFonts w:ascii="Helvetica" w:eastAsia="Times New Roman" w:hAnsi="Helvetica" w:cs="Calibri"/>
                <w:color w:val="000000"/>
                <w:sz w:val="18"/>
              </w:rPr>
            </w:pPr>
            <w:r w:rsidRPr="004744DF">
              <w:rPr>
                <w:rFonts w:ascii="Helvetica" w:eastAsia="Times New Roman" w:hAnsi="Helvetica" w:cs="Calibri"/>
                <w:color w:val="000000"/>
                <w:sz w:val="18"/>
              </w:rPr>
              <w:t>APC-Cy7</w:t>
            </w:r>
          </w:p>
        </w:tc>
        <w:tc>
          <w:tcPr>
            <w:tcW w:w="1701" w:type="dxa"/>
            <w:noWrap/>
            <w:hideMark/>
          </w:tcPr>
          <w:p w:rsidR="009C1E1D" w:rsidRPr="004744DF" w:rsidRDefault="009C1E1D" w:rsidP="00B45A24">
            <w:pPr>
              <w:rPr>
                <w:rFonts w:ascii="Helvetica" w:eastAsia="Times New Roman" w:hAnsi="Helvetica" w:cs="Calibri"/>
                <w:color w:val="000000"/>
                <w:sz w:val="18"/>
              </w:rPr>
            </w:pPr>
            <w:r w:rsidRPr="004744DF">
              <w:rPr>
                <w:rFonts w:ascii="Helvetica" w:eastAsia="Times New Roman" w:hAnsi="Helvetica" w:cs="Calibri"/>
                <w:color w:val="000000"/>
                <w:sz w:val="18"/>
              </w:rPr>
              <w:t>Mouse α-Human</w:t>
            </w:r>
          </w:p>
        </w:tc>
        <w:tc>
          <w:tcPr>
            <w:tcW w:w="992" w:type="dxa"/>
            <w:noWrap/>
            <w:hideMark/>
          </w:tcPr>
          <w:p w:rsidR="009C1E1D" w:rsidRPr="004744DF" w:rsidRDefault="009C1E1D" w:rsidP="00B45A24">
            <w:pPr>
              <w:rPr>
                <w:rFonts w:ascii="Helvetica" w:eastAsia="Times New Roman" w:hAnsi="Helvetica" w:cs="Calibri"/>
                <w:color w:val="000000"/>
                <w:sz w:val="18"/>
              </w:rPr>
            </w:pPr>
            <w:r w:rsidRPr="004744DF">
              <w:rPr>
                <w:rFonts w:ascii="Helvetica" w:eastAsia="Times New Roman" w:hAnsi="Helvetica" w:cs="Calibri"/>
                <w:color w:val="000000"/>
                <w:sz w:val="18"/>
              </w:rPr>
              <w:t>IgG2a κ</w:t>
            </w:r>
          </w:p>
        </w:tc>
        <w:tc>
          <w:tcPr>
            <w:tcW w:w="1417" w:type="dxa"/>
            <w:noWrap/>
            <w:hideMark/>
          </w:tcPr>
          <w:p w:rsidR="009C1E1D" w:rsidRPr="004744DF" w:rsidRDefault="009C1E1D" w:rsidP="00B45A24">
            <w:pPr>
              <w:rPr>
                <w:rFonts w:ascii="Helvetica" w:eastAsia="Times New Roman" w:hAnsi="Helvetica" w:cs="Calibri"/>
                <w:color w:val="000000"/>
                <w:sz w:val="18"/>
              </w:rPr>
            </w:pPr>
            <w:r w:rsidRPr="004744DF">
              <w:rPr>
                <w:rFonts w:ascii="Helvetica" w:eastAsia="Times New Roman" w:hAnsi="Helvetica" w:cs="Calibri"/>
                <w:color w:val="000000"/>
                <w:sz w:val="18"/>
              </w:rPr>
              <w:t>5-271</w:t>
            </w:r>
          </w:p>
        </w:tc>
        <w:tc>
          <w:tcPr>
            <w:tcW w:w="1560" w:type="dxa"/>
            <w:noWrap/>
            <w:hideMark/>
          </w:tcPr>
          <w:p w:rsidR="009C1E1D" w:rsidRPr="004744DF" w:rsidRDefault="009C1E1D" w:rsidP="00B45A24">
            <w:pPr>
              <w:rPr>
                <w:rFonts w:ascii="Helvetica" w:eastAsia="Times New Roman" w:hAnsi="Helvetica" w:cs="Calibri"/>
                <w:color w:val="000000"/>
                <w:sz w:val="18"/>
              </w:rPr>
            </w:pPr>
            <w:proofErr w:type="spellStart"/>
            <w:r w:rsidRPr="004744DF">
              <w:rPr>
                <w:rFonts w:ascii="Helvetica" w:eastAsia="Times New Roman" w:hAnsi="Helvetica" w:cs="Calibri"/>
                <w:color w:val="000000"/>
                <w:sz w:val="18"/>
              </w:rPr>
              <w:t>BioLegend</w:t>
            </w:r>
            <w:proofErr w:type="spellEnd"/>
          </w:p>
        </w:tc>
        <w:tc>
          <w:tcPr>
            <w:tcW w:w="992" w:type="dxa"/>
            <w:noWrap/>
            <w:hideMark/>
          </w:tcPr>
          <w:p w:rsidR="009C1E1D" w:rsidRPr="004744DF" w:rsidRDefault="009C1E1D" w:rsidP="00B45A24">
            <w:pPr>
              <w:jc w:val="right"/>
              <w:rPr>
                <w:rFonts w:ascii="Helvetica" w:eastAsia="Times New Roman" w:hAnsi="Helvetica" w:cs="Calibri"/>
                <w:color w:val="000000"/>
                <w:sz w:val="18"/>
              </w:rPr>
            </w:pPr>
            <w:r w:rsidRPr="004744DF">
              <w:rPr>
                <w:rFonts w:ascii="Helvetica" w:eastAsia="Times New Roman" w:hAnsi="Helvetica" w:cs="Calibri"/>
                <w:color w:val="000000"/>
                <w:sz w:val="18"/>
              </w:rPr>
              <w:t>336213</w:t>
            </w:r>
          </w:p>
        </w:tc>
      </w:tr>
      <w:tr w:rsidR="009C1E1D" w:rsidRPr="004744DF" w:rsidTr="00B45A24">
        <w:trPr>
          <w:trHeight w:val="320"/>
        </w:trPr>
        <w:tc>
          <w:tcPr>
            <w:tcW w:w="1129" w:type="dxa"/>
            <w:noWrap/>
          </w:tcPr>
          <w:p w:rsidR="009C1E1D" w:rsidRPr="004744DF" w:rsidRDefault="009C1E1D" w:rsidP="00B45A24">
            <w:pPr>
              <w:rPr>
                <w:rFonts w:ascii="Helvetica" w:eastAsia="Times New Roman" w:hAnsi="Helvetica" w:cs="Calibri"/>
                <w:color w:val="000000"/>
                <w:sz w:val="18"/>
              </w:rPr>
            </w:pPr>
            <w:r>
              <w:rPr>
                <w:rFonts w:ascii="Helvetica" w:eastAsia="Times New Roman" w:hAnsi="Helvetica" w:cs="Calibri"/>
                <w:color w:val="000000"/>
                <w:sz w:val="18"/>
              </w:rPr>
              <w:t>CD235a</w:t>
            </w:r>
          </w:p>
        </w:tc>
        <w:tc>
          <w:tcPr>
            <w:tcW w:w="1560" w:type="dxa"/>
            <w:noWrap/>
          </w:tcPr>
          <w:p w:rsidR="009C1E1D" w:rsidRPr="004744DF" w:rsidRDefault="009C1E1D" w:rsidP="00B45A24">
            <w:pPr>
              <w:rPr>
                <w:rFonts w:ascii="Helvetica" w:eastAsia="Times New Roman" w:hAnsi="Helvetica" w:cs="Calibri"/>
                <w:color w:val="000000"/>
                <w:sz w:val="18"/>
              </w:rPr>
            </w:pPr>
            <w:r>
              <w:rPr>
                <w:rFonts w:ascii="Helvetica" w:eastAsia="Times New Roman" w:hAnsi="Helvetica" w:cs="Calibri"/>
                <w:color w:val="000000"/>
                <w:sz w:val="18"/>
              </w:rPr>
              <w:t>FITC</w:t>
            </w:r>
          </w:p>
        </w:tc>
        <w:tc>
          <w:tcPr>
            <w:tcW w:w="1701" w:type="dxa"/>
            <w:noWrap/>
          </w:tcPr>
          <w:p w:rsidR="009C1E1D" w:rsidRPr="004744DF" w:rsidRDefault="009C1E1D" w:rsidP="00B45A24">
            <w:pPr>
              <w:rPr>
                <w:rFonts w:ascii="Helvetica" w:eastAsia="Times New Roman" w:hAnsi="Helvetica" w:cs="Calibri"/>
                <w:color w:val="000000"/>
                <w:sz w:val="18"/>
              </w:rPr>
            </w:pPr>
            <w:r w:rsidRPr="004744DF">
              <w:rPr>
                <w:rFonts w:ascii="Helvetica" w:eastAsia="Times New Roman" w:hAnsi="Helvetica" w:cs="Calibri"/>
                <w:color w:val="000000"/>
                <w:sz w:val="18"/>
              </w:rPr>
              <w:t>Mouse α-Human</w:t>
            </w:r>
          </w:p>
        </w:tc>
        <w:tc>
          <w:tcPr>
            <w:tcW w:w="992" w:type="dxa"/>
            <w:noWrap/>
          </w:tcPr>
          <w:p w:rsidR="009C1E1D" w:rsidRPr="004744DF" w:rsidRDefault="009C1E1D" w:rsidP="00B45A24">
            <w:pPr>
              <w:rPr>
                <w:rFonts w:ascii="Helvetica" w:eastAsia="Times New Roman" w:hAnsi="Helvetica" w:cs="Calibri"/>
                <w:color w:val="000000"/>
                <w:sz w:val="18"/>
              </w:rPr>
            </w:pPr>
            <w:r w:rsidRPr="004744DF">
              <w:rPr>
                <w:rFonts w:ascii="Helvetica" w:eastAsia="Times New Roman" w:hAnsi="Helvetica" w:cs="Calibri"/>
                <w:color w:val="000000"/>
                <w:sz w:val="18"/>
              </w:rPr>
              <w:t>IgG2b κ</w:t>
            </w:r>
          </w:p>
        </w:tc>
        <w:tc>
          <w:tcPr>
            <w:tcW w:w="1417" w:type="dxa"/>
            <w:noWrap/>
          </w:tcPr>
          <w:p w:rsidR="009C1E1D" w:rsidRPr="004744DF" w:rsidRDefault="009C1E1D" w:rsidP="00B45A24">
            <w:pPr>
              <w:rPr>
                <w:rFonts w:ascii="Helvetica" w:eastAsia="Times New Roman" w:hAnsi="Helvetica" w:cs="Calibri"/>
                <w:color w:val="000000"/>
                <w:sz w:val="18"/>
              </w:rPr>
            </w:pPr>
            <w:r w:rsidRPr="000C0634">
              <w:rPr>
                <w:rFonts w:ascii="Helvetica" w:eastAsia="Times New Roman" w:hAnsi="Helvetica" w:cs="Calibri"/>
                <w:color w:val="000000"/>
                <w:sz w:val="18"/>
              </w:rPr>
              <w:t>GA-R2</w:t>
            </w:r>
            <w:r>
              <w:rPr>
                <w:rFonts w:ascii="Helvetica" w:eastAsia="Times New Roman" w:hAnsi="Helvetica" w:cs="Calibri"/>
                <w:color w:val="000000"/>
                <w:sz w:val="18"/>
              </w:rPr>
              <w:t xml:space="preserve"> </w:t>
            </w:r>
            <w:r w:rsidRPr="000C0634">
              <w:rPr>
                <w:rFonts w:ascii="Helvetica" w:eastAsia="Times New Roman" w:hAnsi="Helvetica" w:cs="Calibri"/>
                <w:color w:val="000000"/>
                <w:sz w:val="18"/>
              </w:rPr>
              <w:t>(HIR2)</w:t>
            </w:r>
          </w:p>
        </w:tc>
        <w:tc>
          <w:tcPr>
            <w:tcW w:w="1560" w:type="dxa"/>
            <w:noWrap/>
          </w:tcPr>
          <w:p w:rsidR="009C1E1D" w:rsidRPr="004744DF" w:rsidRDefault="009C1E1D" w:rsidP="00B45A24">
            <w:pPr>
              <w:rPr>
                <w:rFonts w:ascii="Helvetica" w:eastAsia="Times New Roman" w:hAnsi="Helvetica" w:cs="Calibri"/>
                <w:color w:val="000000"/>
                <w:sz w:val="18"/>
              </w:rPr>
            </w:pPr>
            <w:r>
              <w:rPr>
                <w:rFonts w:ascii="Helvetica" w:eastAsia="Times New Roman" w:hAnsi="Helvetica" w:cs="Calibri"/>
                <w:color w:val="000000"/>
                <w:sz w:val="18"/>
              </w:rPr>
              <w:t>BD Biosciences</w:t>
            </w:r>
          </w:p>
        </w:tc>
        <w:tc>
          <w:tcPr>
            <w:tcW w:w="992" w:type="dxa"/>
            <w:noWrap/>
          </w:tcPr>
          <w:p w:rsidR="009C1E1D" w:rsidRPr="004744DF" w:rsidRDefault="009C1E1D" w:rsidP="00B45A24">
            <w:pPr>
              <w:jc w:val="right"/>
              <w:rPr>
                <w:rFonts w:ascii="Helvetica" w:eastAsia="Times New Roman" w:hAnsi="Helvetica" w:cs="Calibri"/>
                <w:color w:val="000000"/>
                <w:sz w:val="18"/>
              </w:rPr>
            </w:pPr>
            <w:r w:rsidRPr="000C0634">
              <w:rPr>
                <w:rFonts w:ascii="Helvetica" w:eastAsia="Times New Roman" w:hAnsi="Helvetica" w:cs="Calibri"/>
                <w:color w:val="000000"/>
                <w:sz w:val="18"/>
              </w:rPr>
              <w:t>559943</w:t>
            </w:r>
          </w:p>
        </w:tc>
      </w:tr>
    </w:tbl>
    <w:p w:rsidR="009C1E1D" w:rsidRDefault="009C1E1D" w:rsidP="009C1E1D">
      <w:pPr>
        <w:spacing w:after="240" w:line="480" w:lineRule="auto"/>
        <w:jc w:val="both"/>
        <w:rPr>
          <w:rFonts w:ascii="Times New Roman" w:hAnsi="Times New Roman" w:cs="Times New Roman"/>
        </w:rPr>
      </w:pPr>
    </w:p>
    <w:p w:rsidR="009C1E1D" w:rsidRPr="0014258E" w:rsidRDefault="009C1E1D" w:rsidP="009C1E1D">
      <w:pPr>
        <w:spacing w:after="240" w:line="480" w:lineRule="auto"/>
        <w:jc w:val="both"/>
        <w:rPr>
          <w:rFonts w:ascii="Times New Roman" w:hAnsi="Times New Roman" w:cs="Times New Roman"/>
          <w:b/>
        </w:rPr>
      </w:pPr>
      <w:r w:rsidRPr="0014258E">
        <w:rPr>
          <w:rFonts w:ascii="Times New Roman" w:hAnsi="Times New Roman" w:cs="Times New Roman"/>
          <w:b/>
        </w:rPr>
        <w:t>Data Analysis</w:t>
      </w:r>
    </w:p>
    <w:p w:rsidR="009C1E1D" w:rsidRDefault="009C1E1D" w:rsidP="009C1E1D">
      <w:pPr>
        <w:spacing w:after="240" w:line="480" w:lineRule="auto"/>
        <w:jc w:val="both"/>
        <w:rPr>
          <w:rFonts w:ascii="Times New Roman" w:hAnsi="Times New Roman" w:cs="Times New Roman"/>
        </w:rPr>
      </w:pPr>
      <w:r>
        <w:rPr>
          <w:rFonts w:ascii="Times New Roman" w:hAnsi="Times New Roman" w:cs="Times New Roman"/>
        </w:rPr>
        <w:t xml:space="preserve">Statistical analysis was performed using R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{"citationItems":[{"id":"ITEM-1","itemData":{"author":[{"dropping-particle":"","family":"R Core Team","given":"","non-dropping-particle":"","parse-names":false,"suffix":""}],"id":"ITEM-1","issued":{"date-parts":[["2013"]]},"publisher":"R Foundation for Statistical Computing","publisher-place":"Vienna, Austria","title":"R: A Language and Environment for Statistical Computing","type":"article"},"uris":["http://www.mendeley.com/documents/?uuid=74b6c296-ca99-43cf-b28d-86fc6a55e90b"]}],"mendeley":{"formattedCitation":"[2]","plainTextFormattedCitation":"[2]","previouslyFormattedCitation":"[2]"},"properties":{"noteIndex":0},"schema":"https://github.com/citation-style-language/schema/raw/master/csl-citation.json"}</w:instrText>
      </w:r>
      <w:r>
        <w:rPr>
          <w:rFonts w:ascii="Times New Roman" w:hAnsi="Times New Roman" w:cs="Times New Roman"/>
        </w:rPr>
        <w:fldChar w:fldCharType="separate"/>
      </w:r>
      <w:r w:rsidRPr="0014258E">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Differences in expression for each marker between progenitors was performed using a two-way Student’s t-test on the MFI values and significance was inferred from the Bonferroni corrected p-values. Significance threshold was set as p &lt; 0.1, throughout. Hierarchical clustering analysis between progenitors was performed on Euclidean distance of the center-scaled MFI values and a complete linkage tree was generated.</w:t>
      </w:r>
    </w:p>
    <w:p w:rsidR="009C1E1D" w:rsidRPr="0014258E" w:rsidRDefault="009C1E1D" w:rsidP="009C1E1D">
      <w:pPr>
        <w:spacing w:after="240" w:line="480" w:lineRule="auto"/>
        <w:jc w:val="both"/>
        <w:rPr>
          <w:rFonts w:ascii="Times New Roman" w:hAnsi="Times New Roman" w:cs="Times New Roman"/>
          <w:b/>
        </w:rPr>
      </w:pPr>
      <w:r w:rsidRPr="0014258E">
        <w:rPr>
          <w:rFonts w:ascii="Times New Roman" w:hAnsi="Times New Roman" w:cs="Times New Roman"/>
          <w:b/>
        </w:rPr>
        <w:t>References</w:t>
      </w:r>
    </w:p>
    <w:p w:rsidR="009C1E1D" w:rsidRPr="0014258E" w:rsidRDefault="009C1E1D" w:rsidP="009C1E1D">
      <w:pPr>
        <w:widowControl w:val="0"/>
        <w:autoSpaceDE w:val="0"/>
        <w:autoSpaceDN w:val="0"/>
        <w:adjustRightInd w:val="0"/>
        <w:spacing w:after="240" w:line="480" w:lineRule="auto"/>
        <w:ind w:left="640" w:hanging="640"/>
        <w:rPr>
          <w:rFonts w:ascii="Times New Roman" w:hAnsi="Times New Roman" w:cs="Times New Roman"/>
          <w:noProof/>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Pr="0014258E">
        <w:rPr>
          <w:rFonts w:ascii="Times New Roman" w:hAnsi="Times New Roman" w:cs="Times New Roman"/>
          <w:noProof/>
        </w:rPr>
        <w:t xml:space="preserve">1. </w:t>
      </w:r>
      <w:r w:rsidRPr="0014258E">
        <w:rPr>
          <w:rFonts w:ascii="Times New Roman" w:hAnsi="Times New Roman" w:cs="Times New Roman"/>
          <w:noProof/>
        </w:rPr>
        <w:tab/>
        <w:t xml:space="preserve">Giarratana M-C, Kobari L, Lapillonne H, Chalmers D, Kiger L, Cynober T, et al. Ex vivo generation of fully mature human red blood cells from hematopoietic stem cells. Nat Biotechnol. 2005; doi:10.1038/nbt1047. </w:t>
      </w:r>
    </w:p>
    <w:p w:rsidR="009C1E1D" w:rsidRPr="0014258E" w:rsidRDefault="009C1E1D" w:rsidP="009C1E1D">
      <w:pPr>
        <w:widowControl w:val="0"/>
        <w:autoSpaceDE w:val="0"/>
        <w:autoSpaceDN w:val="0"/>
        <w:adjustRightInd w:val="0"/>
        <w:spacing w:after="240" w:line="480" w:lineRule="auto"/>
        <w:ind w:left="640" w:hanging="640"/>
        <w:rPr>
          <w:rFonts w:ascii="Times New Roman" w:hAnsi="Times New Roman" w:cs="Times New Roman"/>
          <w:noProof/>
        </w:rPr>
      </w:pPr>
      <w:r w:rsidRPr="0014258E">
        <w:rPr>
          <w:rFonts w:ascii="Times New Roman" w:hAnsi="Times New Roman" w:cs="Times New Roman"/>
          <w:noProof/>
        </w:rPr>
        <w:lastRenderedPageBreak/>
        <w:t xml:space="preserve">2. </w:t>
      </w:r>
      <w:r w:rsidRPr="0014258E">
        <w:rPr>
          <w:rFonts w:ascii="Times New Roman" w:hAnsi="Times New Roman" w:cs="Times New Roman"/>
          <w:noProof/>
        </w:rPr>
        <w:tab/>
        <w:t xml:space="preserve">R Core Team. R: A Language and Environment for Statistical Computing. Vienna, Austria: R Foundation for Statistical Computing; 2013. </w:t>
      </w:r>
    </w:p>
    <w:p w:rsidR="006F11E6" w:rsidRPr="009C1E1D" w:rsidRDefault="009C1E1D" w:rsidP="009C1E1D">
      <w:pPr>
        <w:widowControl w:val="0"/>
        <w:autoSpaceDE w:val="0"/>
        <w:autoSpaceDN w:val="0"/>
        <w:adjustRightInd w:val="0"/>
        <w:spacing w:after="240" w:line="480" w:lineRule="auto"/>
        <w:rPr>
          <w:rFonts w:ascii="Times New Roman" w:hAnsi="Times New Roman" w:cs="Times New Roman"/>
        </w:rPr>
      </w:pPr>
      <w:r>
        <w:rPr>
          <w:rFonts w:ascii="Times New Roman" w:hAnsi="Times New Roman" w:cs="Times New Roman"/>
        </w:rPr>
        <w:fldChar w:fldCharType="end"/>
      </w:r>
    </w:p>
    <w:sectPr w:rsidR="006F11E6" w:rsidRPr="009C1E1D" w:rsidSect="002414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E1D"/>
    <w:rsid w:val="001857DC"/>
    <w:rsid w:val="00227C66"/>
    <w:rsid w:val="00241414"/>
    <w:rsid w:val="003A2C22"/>
    <w:rsid w:val="006F11E6"/>
    <w:rsid w:val="00854141"/>
    <w:rsid w:val="009C1E1D"/>
    <w:rsid w:val="009F1C09"/>
    <w:rsid w:val="00D20DDD"/>
    <w:rsid w:val="00E94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C2DD72"/>
  <w15:chartTrackingRefBased/>
  <w15:docId w15:val="{521251D1-B7AA-2941-9F7B-28FCF756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9C1E1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9C1E1D"/>
    <w:pPr>
      <w:spacing w:after="200"/>
    </w:pPr>
    <w:rPr>
      <w:i/>
      <w:iCs/>
      <w:color w:val="44546A" w:themeColor="text2"/>
      <w:sz w:val="18"/>
      <w:szCs w:val="18"/>
    </w:rPr>
  </w:style>
  <w:style w:type="character" w:styleId="LineNumber">
    <w:name w:val="line number"/>
    <w:basedOn w:val="DefaultParagraphFont"/>
    <w:uiPriority w:val="99"/>
    <w:semiHidden/>
    <w:unhideWhenUsed/>
    <w:rsid w:val="009C1E1D"/>
  </w:style>
  <w:style w:type="paragraph" w:styleId="BalloonText">
    <w:name w:val="Balloon Text"/>
    <w:basedOn w:val="Normal"/>
    <w:link w:val="BalloonTextChar"/>
    <w:uiPriority w:val="99"/>
    <w:semiHidden/>
    <w:unhideWhenUsed/>
    <w:rsid w:val="001857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57D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Georgolopoulos</dc:creator>
  <cp:keywords/>
  <dc:description/>
  <cp:lastModifiedBy>Grigorios Georgolopoulos</cp:lastModifiedBy>
  <cp:revision>7</cp:revision>
  <cp:lastPrinted>2019-05-16T00:20:00Z</cp:lastPrinted>
  <dcterms:created xsi:type="dcterms:W3CDTF">2019-05-16T00:20:00Z</dcterms:created>
  <dcterms:modified xsi:type="dcterms:W3CDTF">2019-07-16T16:42:00Z</dcterms:modified>
</cp:coreProperties>
</file>