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B8" w:rsidRPr="00F6430A" w:rsidRDefault="00B752B8" w:rsidP="00B752B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Additional file 4: </w:t>
      </w:r>
      <w:r>
        <w:rPr>
          <w:rFonts w:ascii="Times New Roman" w:hAnsi="Times New Roman" w:cs="Times New Roman"/>
          <w:b/>
          <w:szCs w:val="21"/>
        </w:rPr>
        <w:t>T</w:t>
      </w:r>
      <w:r w:rsidRPr="00660A2C">
        <w:rPr>
          <w:rFonts w:ascii="Times New Roman" w:hAnsi="Times New Roman" w:cs="Times New Roman"/>
          <w:b/>
          <w:szCs w:val="21"/>
        </w:rPr>
        <w:t xml:space="preserve">able </w:t>
      </w:r>
      <w:r>
        <w:rPr>
          <w:rFonts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>4</w:t>
      </w:r>
      <w:r>
        <w:rPr>
          <w:rFonts w:ascii="Times New Roman" w:hAnsi="Times New Roman" w:cs="Times New Roman"/>
          <w:b/>
          <w:szCs w:val="21"/>
        </w:rPr>
        <w:t>.</w:t>
      </w:r>
      <w:r w:rsidRPr="00F6430A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F6430A">
        <w:rPr>
          <w:rFonts w:ascii="Times New Roman" w:hAnsi="Times New Roman" w:cs="Times New Roman"/>
          <w:szCs w:val="21"/>
        </w:rPr>
        <w:t xml:space="preserve">Information on the 32 candidate SB resistant genes in the most possible location interval (439.154 kb) of </w:t>
      </w:r>
      <w:r w:rsidRPr="00F6430A">
        <w:rPr>
          <w:rFonts w:ascii="Times New Roman" w:hAnsi="Times New Roman" w:cs="Times New Roman"/>
          <w:i/>
          <w:szCs w:val="21"/>
        </w:rPr>
        <w:t>qRBSDV-6.3</w:t>
      </w:r>
      <w:r w:rsidRPr="00F6430A">
        <w:rPr>
          <w:rFonts w:ascii="Times New Roman" w:hAnsi="Times New Roman" w:cs="Times New Roman"/>
          <w:szCs w:val="21"/>
        </w:rPr>
        <w:t>.</w:t>
      </w:r>
      <w:proofErr w:type="gramEnd"/>
    </w:p>
    <w:tbl>
      <w:tblPr>
        <w:tblW w:w="723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5350"/>
      </w:tblGrid>
      <w:tr w:rsidR="00B752B8" w:rsidRPr="00F6430A" w:rsidTr="000A5785">
        <w:trPr>
          <w:trHeight w:val="280"/>
          <w:jc w:val="center"/>
        </w:trPr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Genes ID</w:t>
            </w:r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Os06g0524300</w:t>
            </w:r>
          </w:p>
        </w:tc>
        <w:tc>
          <w:tcPr>
            <w:tcW w:w="5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Os06g0524400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protein </w:t>
            </w:r>
            <w:proofErr w:type="spellStart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trichome</w:t>
            </w:r>
            <w:proofErr w:type="spellEnd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birefringence-like 24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Os06g0524500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cytoskeleton-associated protein 4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Os06g0524700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Os06g0524900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NB-ARC domain containing protein 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Os06g0525000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Os06g0525200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Os06g0526100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transcription factor SPEECHLESS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Os06g0526350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Os06g0526400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abscisic acid receptor PYL3-like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Os06g0526466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Os06g0526650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Os06g0526600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DEAD-box ATP-dependent RNA helicase 31-like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Os06g0526700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probable protein phosphatase 2C 55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Os06g0526800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probable protein phosphatase 2C 56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Os06g0527100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cyclic nucleotide-gated ion channel 1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Os06g0527201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Os06g0527300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cyclic nucleotide-gated ion channel 1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Os06g0527500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Os06g0527800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abscisic acid receptor PYL3-like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Os06g0528300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abscisic acid receptor PYL3-like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Os06g0528350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Os06g0528600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spermine</w:t>
            </w:r>
            <w:proofErr w:type="spellEnd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synthase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Os06g0528700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flavin</w:t>
            </w:r>
            <w:proofErr w:type="spellEnd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-containing monooxygenase FMO GS-OX-like 9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Os06g0529800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putative E3 ubiquitin-protein ligase UBR7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lastRenderedPageBreak/>
              <w:t>Os06g0529900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Alstrom</w:t>
            </w:r>
            <w:proofErr w:type="spellEnd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syndrome protein 1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Os06g0530200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Os06g0530300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Os06g0530400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NAC domain-containing protein 76-like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Os06g0530600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VQ motif-containing protein 10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Os06g0530700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probable </w:t>
            </w:r>
            <w:proofErr w:type="spellStart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tRNA</w:t>
            </w:r>
            <w:proofErr w:type="spellEnd"/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-splicing endonuclease subunit Sen2</w:t>
            </w:r>
          </w:p>
        </w:tc>
      </w:tr>
      <w:tr w:rsidR="00B752B8" w:rsidRPr="00F6430A" w:rsidTr="000A5785">
        <w:trPr>
          <w:trHeight w:val="280"/>
          <w:jc w:val="center"/>
        </w:trPr>
        <w:tc>
          <w:tcPr>
            <w:tcW w:w="188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Os06g0531000</w:t>
            </w:r>
          </w:p>
        </w:tc>
        <w:tc>
          <w:tcPr>
            <w:tcW w:w="5350" w:type="dxa"/>
            <w:shd w:val="clear" w:color="auto" w:fill="auto"/>
            <w:noWrap/>
            <w:hideMark/>
          </w:tcPr>
          <w:p w:rsidR="00B752B8" w:rsidRPr="00F6430A" w:rsidRDefault="00B752B8" w:rsidP="000A5785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F6430A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glucan endo-1,3-beta-glucosidase 11</w:t>
            </w:r>
          </w:p>
        </w:tc>
      </w:tr>
    </w:tbl>
    <w:p w:rsidR="00286CE7" w:rsidRPr="00B752B8" w:rsidRDefault="00286CE7" w:rsidP="00B752B8">
      <w:bookmarkStart w:id="0" w:name="_GoBack"/>
      <w:bookmarkEnd w:id="0"/>
    </w:p>
    <w:sectPr w:rsidR="00286CE7" w:rsidRPr="00B7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.75pt;height:12.05pt" o:bullet="t">
        <v:imagedata r:id="rId1" o:title=""/>
      </v:shape>
    </w:pict>
  </w:numPicBullet>
  <w:abstractNum w:abstractNumId="0">
    <w:nsid w:val="2B20218A"/>
    <w:multiLevelType w:val="hybridMultilevel"/>
    <w:tmpl w:val="D49624E0"/>
    <w:lvl w:ilvl="0" w:tplc="0A6052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0C16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48BC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5AD8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22E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EC13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BCCB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CCD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DEA63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4F64A93"/>
    <w:multiLevelType w:val="multilevel"/>
    <w:tmpl w:val="44F64A93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6"/>
    <w:rsid w:val="00062CB1"/>
    <w:rsid w:val="000903A4"/>
    <w:rsid w:val="002161B6"/>
    <w:rsid w:val="00286CE7"/>
    <w:rsid w:val="004630D0"/>
    <w:rsid w:val="0067566C"/>
    <w:rsid w:val="00B752B8"/>
    <w:rsid w:val="00B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1337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2019-07-03T05:43:00Z</dcterms:created>
  <dcterms:modified xsi:type="dcterms:W3CDTF">2019-07-03T05:43:00Z</dcterms:modified>
</cp:coreProperties>
</file>