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3C" w:rsidRDefault="00981B3C" w:rsidP="00C732AD">
      <w:pPr>
        <w:pStyle w:val="NoSpacing"/>
        <w:rPr>
          <w:rFonts w:ascii="Arial" w:hAnsi="Arial" w:cs="Arial"/>
          <w:b/>
          <w:sz w:val="24"/>
          <w:szCs w:val="24"/>
        </w:rPr>
      </w:pPr>
    </w:p>
    <w:p w:rsidR="00C732AD" w:rsidRDefault="00C732AD" w:rsidP="00C732AD">
      <w:pPr>
        <w:pStyle w:val="NoSpacing"/>
        <w:rPr>
          <w:rFonts w:ascii="Arial" w:hAnsi="Arial" w:cs="Arial"/>
          <w:b/>
          <w:sz w:val="24"/>
          <w:szCs w:val="24"/>
        </w:rPr>
      </w:pPr>
      <w:r>
        <w:rPr>
          <w:rFonts w:ascii="Arial" w:hAnsi="Arial" w:cs="Arial"/>
          <w:b/>
          <w:sz w:val="24"/>
          <w:szCs w:val="24"/>
        </w:rPr>
        <w:t xml:space="preserve">Additional </w:t>
      </w:r>
      <w:r w:rsidRPr="0063260E">
        <w:rPr>
          <w:rFonts w:ascii="Arial" w:hAnsi="Arial" w:cs="Arial"/>
          <w:b/>
          <w:sz w:val="24"/>
          <w:szCs w:val="24"/>
        </w:rPr>
        <w:t xml:space="preserve">Sequencing </w:t>
      </w:r>
      <w:r>
        <w:rPr>
          <w:rFonts w:ascii="Arial" w:hAnsi="Arial" w:cs="Arial"/>
          <w:b/>
          <w:sz w:val="24"/>
          <w:szCs w:val="24"/>
        </w:rPr>
        <w:t>Methods Details</w:t>
      </w:r>
    </w:p>
    <w:p w:rsidR="00C732AD" w:rsidRPr="0063260E" w:rsidRDefault="00C732AD" w:rsidP="00C732AD">
      <w:pPr>
        <w:pStyle w:val="NoSpacing"/>
        <w:rPr>
          <w:rFonts w:ascii="Arial" w:hAnsi="Arial" w:cs="Arial"/>
          <w:sz w:val="24"/>
          <w:szCs w:val="24"/>
        </w:rPr>
      </w:pPr>
      <w:r w:rsidRPr="0063260E">
        <w:rPr>
          <w:rFonts w:ascii="Arial" w:hAnsi="Arial" w:cs="Arial"/>
          <w:sz w:val="24"/>
          <w:szCs w:val="24"/>
        </w:rPr>
        <w:t xml:space="preserve">To ensure consistency between the targeted gene regions, regions of interest (ROI), in cases and controls, analysis was limited to variants from coding exons plus twenty base pairs of adjacent intronic regions. Case ROIs were all sequenced to a depth of at least 15x and any gaps were filled in with targeted Sanger sequencing. In controls, </w:t>
      </w:r>
      <w:r w:rsidRPr="0063260E">
        <w:rPr>
          <w:rFonts w:ascii="Arial" w:hAnsi="Arial" w:cs="Arial"/>
          <w:i/>
          <w:sz w:val="24"/>
          <w:szCs w:val="24"/>
        </w:rPr>
        <w:t xml:space="preserve">CHEK2 </w:t>
      </w:r>
      <w:r w:rsidRPr="0063260E">
        <w:rPr>
          <w:rFonts w:ascii="Arial" w:hAnsi="Arial" w:cs="Arial"/>
          <w:sz w:val="24"/>
          <w:szCs w:val="24"/>
        </w:rPr>
        <w:t xml:space="preserve">was notably not well covered in the SureSelect v4 capture with approximately one-third of ROIs not covered. These SureSelect v4 samples were thus excluded from our analysis for </w:t>
      </w:r>
      <w:r w:rsidRPr="0063260E">
        <w:rPr>
          <w:rFonts w:ascii="Arial" w:hAnsi="Arial" w:cs="Arial"/>
          <w:i/>
          <w:sz w:val="24"/>
          <w:szCs w:val="24"/>
        </w:rPr>
        <w:t>CHEK2</w:t>
      </w:r>
      <w:r w:rsidRPr="0063260E">
        <w:rPr>
          <w:rFonts w:ascii="Arial" w:hAnsi="Arial" w:cs="Arial"/>
          <w:sz w:val="24"/>
          <w:szCs w:val="24"/>
        </w:rPr>
        <w:t xml:space="preserve">. For the remaining set of controls all ROIs were sequenced to a mean depth of at least 15x in 99.5% (Q1 99.2%, Q3 99.5%) of </w:t>
      </w:r>
      <w:r>
        <w:rPr>
          <w:rFonts w:ascii="Arial" w:hAnsi="Arial" w:cs="Arial"/>
          <w:sz w:val="24"/>
          <w:szCs w:val="24"/>
        </w:rPr>
        <w:t>sample targets across all genes.</w:t>
      </w:r>
      <w:r w:rsidRPr="0063260E">
        <w:rPr>
          <w:rFonts w:ascii="Arial" w:hAnsi="Arial" w:cs="Arial"/>
          <w:sz w:val="24"/>
          <w:szCs w:val="24"/>
        </w:rPr>
        <w:t xml:space="preserve"> </w:t>
      </w:r>
    </w:p>
    <w:p w:rsidR="00431C15" w:rsidRDefault="00431C15" w:rsidP="00431C15">
      <w:pPr>
        <w:pStyle w:val="NoSpacing"/>
        <w:rPr>
          <w:rFonts w:ascii="Arial" w:hAnsi="Arial" w:cs="Arial"/>
          <w:b/>
          <w:sz w:val="24"/>
          <w:szCs w:val="24"/>
        </w:rPr>
      </w:pPr>
    </w:p>
    <w:p w:rsidR="00C732AD" w:rsidRDefault="00981B3C" w:rsidP="00C732AD">
      <w:pPr>
        <w:spacing w:line="240" w:lineRule="auto"/>
        <w:rPr>
          <w:rFonts w:ascii="Arial" w:hAnsi="Arial" w:cs="Arial"/>
          <w:sz w:val="24"/>
          <w:szCs w:val="24"/>
        </w:rPr>
      </w:pPr>
      <w:r>
        <w:rPr>
          <w:rFonts w:ascii="Arial" w:hAnsi="Arial" w:cs="Arial"/>
          <w:b/>
          <w:sz w:val="24"/>
          <w:szCs w:val="24"/>
        </w:rPr>
        <w:t>Addit</w:t>
      </w:r>
      <w:r w:rsidR="002A7709">
        <w:rPr>
          <w:rFonts w:ascii="Arial" w:hAnsi="Arial" w:cs="Arial"/>
          <w:b/>
          <w:sz w:val="24"/>
          <w:szCs w:val="24"/>
        </w:rPr>
        <w:t>i</w:t>
      </w:r>
      <w:bookmarkStart w:id="0" w:name="_GoBack"/>
      <w:bookmarkEnd w:id="0"/>
      <w:r>
        <w:rPr>
          <w:rFonts w:ascii="Arial" w:hAnsi="Arial" w:cs="Arial"/>
          <w:b/>
          <w:sz w:val="24"/>
          <w:szCs w:val="24"/>
        </w:rPr>
        <w:t>onal file 2:</w:t>
      </w:r>
      <w:r w:rsidR="00C732AD">
        <w:rPr>
          <w:rFonts w:ascii="Arial" w:hAnsi="Arial" w:cs="Arial"/>
          <w:b/>
          <w:sz w:val="24"/>
          <w:szCs w:val="24"/>
        </w:rPr>
        <w:t xml:space="preserve"> </w:t>
      </w:r>
      <w:r w:rsidR="00C732AD" w:rsidRPr="00B04B59">
        <w:rPr>
          <w:rFonts w:ascii="Arial" w:hAnsi="Arial" w:cs="Arial"/>
          <w:b/>
          <w:sz w:val="24"/>
          <w:szCs w:val="24"/>
        </w:rPr>
        <w:t xml:space="preserve">Table </w:t>
      </w:r>
      <w:r>
        <w:rPr>
          <w:rFonts w:ascii="Arial" w:hAnsi="Arial" w:cs="Arial"/>
          <w:b/>
          <w:sz w:val="24"/>
          <w:szCs w:val="24"/>
        </w:rPr>
        <w:t>S</w:t>
      </w:r>
      <w:r w:rsidR="00C732AD">
        <w:rPr>
          <w:rFonts w:ascii="Arial" w:hAnsi="Arial" w:cs="Arial"/>
          <w:b/>
          <w:sz w:val="24"/>
          <w:szCs w:val="24"/>
        </w:rPr>
        <w:t>2</w:t>
      </w:r>
      <w:r w:rsidR="00C732AD" w:rsidRPr="00B04B59">
        <w:rPr>
          <w:rFonts w:ascii="Arial" w:hAnsi="Arial" w:cs="Arial"/>
          <w:b/>
          <w:sz w:val="24"/>
          <w:szCs w:val="24"/>
        </w:rPr>
        <w:t>.</w:t>
      </w:r>
      <w:r w:rsidR="00C732AD" w:rsidRPr="00B04B59">
        <w:rPr>
          <w:rFonts w:ascii="Arial" w:hAnsi="Arial" w:cs="Arial"/>
          <w:sz w:val="24"/>
          <w:szCs w:val="24"/>
        </w:rPr>
        <w:t xml:space="preserve"> Sequencing Statistics for Joint Genotyped Control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2001"/>
        <w:gridCol w:w="1820"/>
      </w:tblGrid>
      <w:tr w:rsidR="00C732AD" w:rsidRPr="00E1521E" w:rsidTr="00630476">
        <w:trPr>
          <w:trHeight w:val="300"/>
        </w:trPr>
        <w:tc>
          <w:tcPr>
            <w:tcW w:w="3953" w:type="dxa"/>
            <w:tcBorders>
              <w:top w:val="single" w:sz="4" w:space="0" w:color="auto"/>
              <w:bottom w:val="single" w:sz="4" w:space="0" w:color="auto"/>
            </w:tcBorders>
            <w:shd w:val="clear" w:color="auto" w:fill="auto"/>
            <w:noWrap/>
            <w:hideMark/>
          </w:tcPr>
          <w:p w:rsidR="00C732AD" w:rsidRPr="00B04B59" w:rsidRDefault="00C732AD" w:rsidP="00CE54CA">
            <w:pPr>
              <w:rPr>
                <w:rFonts w:ascii="Arial" w:hAnsi="Arial" w:cs="Arial"/>
                <w:b/>
                <w:sz w:val="20"/>
                <w:szCs w:val="20"/>
              </w:rPr>
            </w:pPr>
            <w:r w:rsidRPr="00B04B59">
              <w:rPr>
                <w:rFonts w:ascii="Arial" w:hAnsi="Arial" w:cs="Arial"/>
                <w:b/>
                <w:sz w:val="20"/>
                <w:szCs w:val="20"/>
              </w:rPr>
              <w:t>Kit</w:t>
            </w:r>
          </w:p>
        </w:tc>
        <w:tc>
          <w:tcPr>
            <w:tcW w:w="2001" w:type="dxa"/>
            <w:tcBorders>
              <w:top w:val="single" w:sz="4" w:space="0" w:color="auto"/>
              <w:bottom w:val="single" w:sz="4" w:space="0" w:color="auto"/>
            </w:tcBorders>
            <w:shd w:val="clear" w:color="auto" w:fill="auto"/>
            <w:noWrap/>
            <w:hideMark/>
          </w:tcPr>
          <w:p w:rsidR="00C732AD" w:rsidRPr="00B04B59" w:rsidRDefault="00C732AD" w:rsidP="00CE54CA">
            <w:pPr>
              <w:rPr>
                <w:rFonts w:ascii="Arial" w:hAnsi="Arial" w:cs="Arial"/>
                <w:b/>
                <w:sz w:val="20"/>
                <w:szCs w:val="20"/>
              </w:rPr>
            </w:pPr>
            <w:r w:rsidRPr="00B04B59">
              <w:rPr>
                <w:rFonts w:ascii="Arial" w:hAnsi="Arial" w:cs="Arial"/>
                <w:b/>
                <w:sz w:val="20"/>
                <w:szCs w:val="20"/>
              </w:rPr>
              <w:t>N samples</w:t>
            </w:r>
          </w:p>
        </w:tc>
        <w:tc>
          <w:tcPr>
            <w:tcW w:w="1820" w:type="dxa"/>
            <w:shd w:val="clear" w:color="auto" w:fill="auto"/>
            <w:noWrap/>
            <w:hideMark/>
          </w:tcPr>
          <w:p w:rsidR="00C732AD" w:rsidRPr="00B04B59" w:rsidRDefault="00C732AD" w:rsidP="00CE54CA">
            <w:pPr>
              <w:rPr>
                <w:rFonts w:ascii="Arial" w:hAnsi="Arial" w:cs="Arial"/>
                <w:sz w:val="20"/>
                <w:szCs w:val="20"/>
              </w:rPr>
            </w:pPr>
          </w:p>
        </w:tc>
      </w:tr>
      <w:tr w:rsidR="00C732AD" w:rsidRPr="00E1521E" w:rsidTr="00630476">
        <w:trPr>
          <w:trHeight w:val="300"/>
        </w:trPr>
        <w:tc>
          <w:tcPr>
            <w:tcW w:w="3953" w:type="dxa"/>
            <w:tcBorders>
              <w:top w:val="single" w:sz="4" w:space="0" w:color="auto"/>
            </w:tcBorders>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Agilent SureSelect v4</w:t>
            </w:r>
          </w:p>
        </w:tc>
        <w:tc>
          <w:tcPr>
            <w:tcW w:w="2001" w:type="dxa"/>
            <w:tcBorders>
              <w:top w:val="single" w:sz="4" w:space="0" w:color="auto"/>
            </w:tcBorders>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1611</w:t>
            </w:r>
          </w:p>
        </w:tc>
        <w:tc>
          <w:tcPr>
            <w:tcW w:w="1820" w:type="dxa"/>
            <w:shd w:val="clear" w:color="auto" w:fill="auto"/>
            <w:noWrap/>
            <w:hideMark/>
          </w:tcPr>
          <w:p w:rsidR="00C732AD" w:rsidRPr="00B04B59" w:rsidRDefault="00C732AD" w:rsidP="00CE54CA">
            <w:pPr>
              <w:rPr>
                <w:rFonts w:ascii="Arial" w:hAnsi="Arial" w:cs="Arial"/>
                <w:sz w:val="20"/>
                <w:szCs w:val="20"/>
              </w:rPr>
            </w:pP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Agilent Clinical Research Exome</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3956</w:t>
            </w:r>
          </w:p>
        </w:tc>
        <w:tc>
          <w:tcPr>
            <w:tcW w:w="1820" w:type="dxa"/>
            <w:shd w:val="clear" w:color="auto" w:fill="auto"/>
            <w:noWrap/>
            <w:hideMark/>
          </w:tcPr>
          <w:p w:rsidR="00C732AD" w:rsidRPr="00B04B59" w:rsidRDefault="00C732AD" w:rsidP="00CE54CA">
            <w:pPr>
              <w:rPr>
                <w:rFonts w:ascii="Arial" w:hAnsi="Arial" w:cs="Arial"/>
                <w:sz w:val="20"/>
                <w:szCs w:val="20"/>
              </w:rPr>
            </w:pP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b/>
                <w:sz w:val="20"/>
                <w:szCs w:val="20"/>
              </w:rPr>
            </w:pPr>
          </w:p>
        </w:tc>
        <w:tc>
          <w:tcPr>
            <w:tcW w:w="2001" w:type="dxa"/>
            <w:shd w:val="clear" w:color="auto" w:fill="auto"/>
            <w:noWrap/>
            <w:hideMark/>
          </w:tcPr>
          <w:p w:rsidR="00C732AD" w:rsidRPr="00B04B59" w:rsidRDefault="00C732AD" w:rsidP="00CE54CA">
            <w:pPr>
              <w:rPr>
                <w:rFonts w:ascii="Arial" w:hAnsi="Arial" w:cs="Arial"/>
                <w:sz w:val="20"/>
                <w:szCs w:val="20"/>
              </w:rPr>
            </w:pPr>
          </w:p>
        </w:tc>
        <w:tc>
          <w:tcPr>
            <w:tcW w:w="1820" w:type="dxa"/>
            <w:shd w:val="clear" w:color="auto" w:fill="auto"/>
            <w:noWrap/>
            <w:hideMark/>
          </w:tcPr>
          <w:p w:rsidR="00C732AD" w:rsidRPr="00B04B59" w:rsidRDefault="00C732AD" w:rsidP="00CE54CA">
            <w:pPr>
              <w:rPr>
                <w:rFonts w:ascii="Arial" w:hAnsi="Arial" w:cs="Arial"/>
                <w:sz w:val="20"/>
                <w:szCs w:val="20"/>
              </w:rPr>
            </w:pPr>
          </w:p>
        </w:tc>
      </w:tr>
      <w:tr w:rsidR="00C732AD" w:rsidRPr="00E1521E" w:rsidTr="00630476">
        <w:trPr>
          <w:trHeight w:val="300"/>
        </w:trPr>
        <w:tc>
          <w:tcPr>
            <w:tcW w:w="7774" w:type="dxa"/>
            <w:gridSpan w:val="3"/>
            <w:shd w:val="clear" w:color="auto" w:fill="auto"/>
            <w:noWrap/>
            <w:hideMark/>
          </w:tcPr>
          <w:p w:rsidR="00C732AD" w:rsidRPr="00B04B59" w:rsidRDefault="00C732AD" w:rsidP="00CE54CA">
            <w:pPr>
              <w:rPr>
                <w:rFonts w:ascii="Arial" w:hAnsi="Arial" w:cs="Arial"/>
                <w:b/>
                <w:sz w:val="20"/>
                <w:szCs w:val="20"/>
              </w:rPr>
            </w:pPr>
            <w:r w:rsidRPr="00B04B59">
              <w:rPr>
                <w:rFonts w:ascii="Arial" w:hAnsi="Arial" w:cs="Arial"/>
                <w:b/>
                <w:sz w:val="20"/>
                <w:szCs w:val="20"/>
              </w:rPr>
              <w:t>Stats for Per Exon Coverage for Coding Exons for Each Gene Across All Control Samples</w:t>
            </w:r>
          </w:p>
        </w:tc>
      </w:tr>
      <w:tr w:rsidR="00C732AD" w:rsidRPr="00E1521E" w:rsidTr="00630476">
        <w:trPr>
          <w:trHeight w:val="300"/>
        </w:trPr>
        <w:tc>
          <w:tcPr>
            <w:tcW w:w="3953" w:type="dxa"/>
            <w:tcBorders>
              <w:bottom w:val="single" w:sz="4" w:space="0" w:color="auto"/>
            </w:tcBorders>
            <w:shd w:val="clear" w:color="auto" w:fill="auto"/>
            <w:noWrap/>
            <w:hideMark/>
          </w:tcPr>
          <w:p w:rsidR="00C732AD" w:rsidRPr="00B04B59" w:rsidRDefault="00C732AD" w:rsidP="00CE54CA">
            <w:pPr>
              <w:rPr>
                <w:rFonts w:ascii="Arial" w:hAnsi="Arial" w:cs="Arial"/>
                <w:b/>
                <w:sz w:val="20"/>
                <w:szCs w:val="20"/>
              </w:rPr>
            </w:pPr>
            <w:r w:rsidRPr="00B04B59">
              <w:rPr>
                <w:rFonts w:ascii="Arial" w:hAnsi="Arial" w:cs="Arial"/>
                <w:b/>
                <w:sz w:val="20"/>
                <w:szCs w:val="20"/>
              </w:rPr>
              <w:t>Gene</w:t>
            </w:r>
          </w:p>
        </w:tc>
        <w:tc>
          <w:tcPr>
            <w:tcW w:w="2001" w:type="dxa"/>
            <w:tcBorders>
              <w:bottom w:val="single" w:sz="4" w:space="0" w:color="auto"/>
            </w:tcBorders>
            <w:shd w:val="clear" w:color="auto" w:fill="auto"/>
            <w:noWrap/>
            <w:hideMark/>
          </w:tcPr>
          <w:p w:rsidR="00C732AD" w:rsidRPr="00B04B59" w:rsidRDefault="00C732AD" w:rsidP="00CE54CA">
            <w:pPr>
              <w:rPr>
                <w:rFonts w:ascii="Arial" w:hAnsi="Arial" w:cs="Arial"/>
                <w:b/>
                <w:sz w:val="20"/>
                <w:szCs w:val="20"/>
              </w:rPr>
            </w:pPr>
            <w:r w:rsidRPr="00B04B59">
              <w:rPr>
                <w:rFonts w:ascii="Arial" w:hAnsi="Arial" w:cs="Arial"/>
                <w:b/>
                <w:sz w:val="20"/>
                <w:szCs w:val="20"/>
              </w:rPr>
              <w:t>Median (Q1, Q3)</w:t>
            </w:r>
          </w:p>
        </w:tc>
        <w:tc>
          <w:tcPr>
            <w:tcW w:w="1820" w:type="dxa"/>
            <w:tcBorders>
              <w:bottom w:val="single" w:sz="4" w:space="0" w:color="auto"/>
            </w:tcBorders>
            <w:shd w:val="clear" w:color="auto" w:fill="auto"/>
            <w:noWrap/>
            <w:hideMark/>
          </w:tcPr>
          <w:p w:rsidR="00C732AD" w:rsidRPr="00B04B59" w:rsidRDefault="00C732AD" w:rsidP="00CE54CA">
            <w:pPr>
              <w:rPr>
                <w:rFonts w:ascii="Arial" w:hAnsi="Arial" w:cs="Arial"/>
                <w:b/>
                <w:sz w:val="20"/>
                <w:szCs w:val="20"/>
              </w:rPr>
            </w:pPr>
            <w:r w:rsidRPr="00B04B59">
              <w:rPr>
                <w:rFonts w:ascii="Arial" w:hAnsi="Arial" w:cs="Arial"/>
                <w:b/>
                <w:sz w:val="20"/>
                <w:szCs w:val="20"/>
              </w:rPr>
              <w:t>&gt;=15x Coverage</w:t>
            </w:r>
          </w:p>
        </w:tc>
      </w:tr>
      <w:tr w:rsidR="00C732AD" w:rsidRPr="00E1521E" w:rsidTr="00630476">
        <w:trPr>
          <w:trHeight w:val="300"/>
        </w:trPr>
        <w:tc>
          <w:tcPr>
            <w:tcW w:w="3953" w:type="dxa"/>
            <w:tcBorders>
              <w:top w:val="single" w:sz="4" w:space="0" w:color="auto"/>
            </w:tcBorders>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ATM</w:t>
            </w:r>
          </w:p>
        </w:tc>
        <w:tc>
          <w:tcPr>
            <w:tcW w:w="2001" w:type="dxa"/>
            <w:tcBorders>
              <w:top w:val="single" w:sz="4" w:space="0" w:color="auto"/>
            </w:tcBorders>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103 (70 - 150)</w:t>
            </w:r>
          </w:p>
        </w:tc>
        <w:tc>
          <w:tcPr>
            <w:tcW w:w="1820" w:type="dxa"/>
            <w:tcBorders>
              <w:top w:val="single" w:sz="4" w:space="0" w:color="auto"/>
            </w:tcBorders>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99.5%</w:t>
            </w: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BARD1</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100 (57 - 148)</w:t>
            </w:r>
          </w:p>
        </w:tc>
        <w:tc>
          <w:tcPr>
            <w:tcW w:w="1820"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99.5%</w:t>
            </w: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BRCA1</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110 (65 - 184)</w:t>
            </w:r>
          </w:p>
        </w:tc>
        <w:tc>
          <w:tcPr>
            <w:tcW w:w="1820"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97.7%</w:t>
            </w: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BRCA2</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110 (72 - 156)</w:t>
            </w:r>
          </w:p>
        </w:tc>
        <w:tc>
          <w:tcPr>
            <w:tcW w:w="1820"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98.8%</w:t>
            </w: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BRIP1</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116 (75 -179)</w:t>
            </w:r>
          </w:p>
        </w:tc>
        <w:tc>
          <w:tcPr>
            <w:tcW w:w="1820"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99.5%</w:t>
            </w: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CHEK2^</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149 (73 - 220)</w:t>
            </w:r>
          </w:p>
        </w:tc>
        <w:tc>
          <w:tcPr>
            <w:tcW w:w="1820"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99.5%</w:t>
            </w: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NBN</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93.8 (57 - 152)</w:t>
            </w:r>
          </w:p>
        </w:tc>
        <w:tc>
          <w:tcPr>
            <w:tcW w:w="1820"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95.9%</w:t>
            </w: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PALB2</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130 (84 -183)</w:t>
            </w:r>
          </w:p>
        </w:tc>
        <w:tc>
          <w:tcPr>
            <w:tcW w:w="1820"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99.5%</w:t>
            </w:r>
          </w:p>
        </w:tc>
      </w:tr>
      <w:tr w:rsidR="00C732AD" w:rsidRPr="00E1521E" w:rsidTr="00630476">
        <w:trPr>
          <w:trHeight w:val="300"/>
        </w:trPr>
        <w:tc>
          <w:tcPr>
            <w:tcW w:w="3953" w:type="dxa"/>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RAD51C</w:t>
            </w:r>
          </w:p>
        </w:tc>
        <w:tc>
          <w:tcPr>
            <w:tcW w:w="2001"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117 (79 - 169)</w:t>
            </w:r>
          </w:p>
        </w:tc>
        <w:tc>
          <w:tcPr>
            <w:tcW w:w="1820" w:type="dxa"/>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99.7%</w:t>
            </w:r>
          </w:p>
        </w:tc>
      </w:tr>
      <w:tr w:rsidR="00C732AD" w:rsidRPr="00E1521E" w:rsidTr="00630476">
        <w:trPr>
          <w:trHeight w:val="300"/>
        </w:trPr>
        <w:tc>
          <w:tcPr>
            <w:tcW w:w="3953" w:type="dxa"/>
            <w:tcBorders>
              <w:bottom w:val="single" w:sz="4" w:space="0" w:color="auto"/>
            </w:tcBorders>
            <w:shd w:val="clear" w:color="auto" w:fill="auto"/>
            <w:noWrap/>
            <w:hideMark/>
          </w:tcPr>
          <w:p w:rsidR="00C732AD" w:rsidRPr="00B04B59" w:rsidRDefault="00C732AD" w:rsidP="00CE54CA">
            <w:pPr>
              <w:rPr>
                <w:rFonts w:ascii="Arial" w:hAnsi="Arial" w:cs="Arial"/>
                <w:i/>
                <w:sz w:val="20"/>
                <w:szCs w:val="20"/>
              </w:rPr>
            </w:pPr>
            <w:r w:rsidRPr="00B04B59">
              <w:rPr>
                <w:rFonts w:ascii="Arial" w:hAnsi="Arial" w:cs="Arial"/>
                <w:i/>
                <w:sz w:val="20"/>
                <w:szCs w:val="20"/>
              </w:rPr>
              <w:t>RAD51D</w:t>
            </w:r>
          </w:p>
        </w:tc>
        <w:tc>
          <w:tcPr>
            <w:tcW w:w="2001" w:type="dxa"/>
            <w:tcBorders>
              <w:bottom w:val="single" w:sz="4" w:space="0" w:color="auto"/>
            </w:tcBorders>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126 (81 - 195)</w:t>
            </w:r>
          </w:p>
        </w:tc>
        <w:tc>
          <w:tcPr>
            <w:tcW w:w="1820" w:type="dxa"/>
            <w:tcBorders>
              <w:bottom w:val="single" w:sz="4" w:space="0" w:color="auto"/>
            </w:tcBorders>
            <w:shd w:val="clear" w:color="auto" w:fill="auto"/>
            <w:noWrap/>
            <w:hideMark/>
          </w:tcPr>
          <w:p w:rsidR="00C732AD" w:rsidRPr="00B04B59" w:rsidRDefault="00C732AD" w:rsidP="00CE54CA">
            <w:pPr>
              <w:rPr>
                <w:rFonts w:ascii="Arial" w:hAnsi="Arial" w:cs="Arial"/>
                <w:sz w:val="20"/>
                <w:szCs w:val="20"/>
              </w:rPr>
            </w:pPr>
            <w:r w:rsidRPr="00B04B59">
              <w:rPr>
                <w:rFonts w:ascii="Arial" w:hAnsi="Arial" w:cs="Arial"/>
                <w:sz w:val="20"/>
                <w:szCs w:val="20"/>
              </w:rPr>
              <w:t>99.5%</w:t>
            </w:r>
          </w:p>
        </w:tc>
      </w:tr>
    </w:tbl>
    <w:p w:rsidR="00C732AD" w:rsidRPr="008B3CA8" w:rsidRDefault="00C732AD" w:rsidP="00C732AD">
      <w:pPr>
        <w:spacing w:line="240" w:lineRule="auto"/>
      </w:pPr>
    </w:p>
    <w:p w:rsidR="00C732AD" w:rsidRDefault="00C732AD" w:rsidP="00C732AD">
      <w:pPr>
        <w:spacing w:line="240" w:lineRule="auto"/>
        <w:rPr>
          <w:rFonts w:ascii="Arial" w:hAnsi="Arial" w:cs="Arial"/>
          <w:sz w:val="16"/>
          <w:szCs w:val="16"/>
        </w:rPr>
      </w:pPr>
      <w:r w:rsidRPr="00B04B59">
        <w:rPr>
          <w:rFonts w:ascii="Arial" w:hAnsi="Arial" w:cs="Arial"/>
          <w:sz w:val="16"/>
          <w:szCs w:val="16"/>
        </w:rPr>
        <w:t>^excluding Agilent SureSelect v4</w:t>
      </w:r>
    </w:p>
    <w:p w:rsidR="00C732AD" w:rsidRPr="00B04B59" w:rsidRDefault="00C732AD" w:rsidP="00C732AD">
      <w:pPr>
        <w:spacing w:line="240" w:lineRule="auto"/>
        <w:rPr>
          <w:rFonts w:ascii="Arial" w:hAnsi="Arial" w:cs="Arial"/>
          <w:sz w:val="16"/>
          <w:szCs w:val="16"/>
        </w:rPr>
      </w:pPr>
      <w:r w:rsidRPr="00B04B59">
        <w:rPr>
          <w:rFonts w:ascii="Arial" w:hAnsi="Arial" w:cs="Arial"/>
          <w:sz w:val="16"/>
          <w:szCs w:val="16"/>
        </w:rPr>
        <w:t>Coverage performance was comparable between both sequencing kits with an average increase in coverage on the Clinical Research Exome of &lt;1%.</w:t>
      </w:r>
    </w:p>
    <w:p w:rsidR="00827E3F" w:rsidRDefault="00827E3F"/>
    <w:sectPr w:rsidR="00827E3F" w:rsidSect="00C1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20B0603030804020204"/>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431C15"/>
    <w:rsid w:val="002A7709"/>
    <w:rsid w:val="00431C15"/>
    <w:rsid w:val="004361B8"/>
    <w:rsid w:val="00630476"/>
    <w:rsid w:val="00827E3F"/>
    <w:rsid w:val="00903BE8"/>
    <w:rsid w:val="00981B3C"/>
    <w:rsid w:val="00C15140"/>
    <w:rsid w:val="00C732AD"/>
    <w:rsid w:val="00F4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AD"/>
    <w:pPr>
      <w:spacing w:after="160" w:line="259" w:lineRule="auto"/>
    </w:pPr>
    <w:rPr>
      <w:rFonts w:ascii="Calibri" w:eastAsia="Calibri" w:hAnsi="Calibri" w:cs="DejaVu 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C15"/>
    <w:rPr>
      <w:rFonts w:ascii="Calibri" w:eastAsia="Calibri" w:hAnsi="Calibri" w:cs="DejaVu Sans"/>
      <w:sz w:val="22"/>
      <w:szCs w:val="22"/>
    </w:rPr>
  </w:style>
  <w:style w:type="table" w:styleId="TableGrid">
    <w:name w:val="Table Grid"/>
    <w:basedOn w:val="TableNormal"/>
    <w:uiPriority w:val="39"/>
    <w:rsid w:val="00C732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AD"/>
    <w:pPr>
      <w:spacing w:after="160" w:line="259" w:lineRule="auto"/>
    </w:pPr>
    <w:rPr>
      <w:rFonts w:ascii="Calibri" w:eastAsia="Calibri" w:hAnsi="Calibri" w:cs="DejaVu 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C15"/>
    <w:rPr>
      <w:rFonts w:ascii="Calibri" w:eastAsia="Calibri" w:hAnsi="Calibri" w:cs="DejaVu Sans"/>
      <w:sz w:val="22"/>
      <w:szCs w:val="22"/>
    </w:rPr>
  </w:style>
  <w:style w:type="table" w:styleId="TableGrid">
    <w:name w:val="Table Grid"/>
    <w:basedOn w:val="TableNormal"/>
    <w:uiPriority w:val="39"/>
    <w:rsid w:val="00C732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1230</Characters>
  <Application>Microsoft Office Word</Application>
  <DocSecurity>0</DocSecurity>
  <Lines>64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ETINAMBACAN</cp:lastModifiedBy>
  <cp:revision>8</cp:revision>
  <dcterms:created xsi:type="dcterms:W3CDTF">2019-02-22T16:08:00Z</dcterms:created>
  <dcterms:modified xsi:type="dcterms:W3CDTF">2019-07-04T20:48:00Z</dcterms:modified>
</cp:coreProperties>
</file>