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F" w:rsidRPr="000F24C1" w:rsidRDefault="00160D9F" w:rsidP="00160D9F">
      <w:pPr>
        <w:widowControl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4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Table S1</w:t>
      </w:r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Concentrations of </w:t>
      </w:r>
      <w:proofErr w:type="spellStart"/>
      <w:r w:rsidRPr="000F24C1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ivermectin</w:t>
      </w:r>
      <w:proofErr w:type="spellEnd"/>
      <w:r w:rsidRPr="000F24C1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 w:bidi="ar-EG"/>
        </w:rPr>
        <w:t xml:space="preserve"> </w:t>
      </w:r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 w:bidi="ar-EG"/>
        </w:rPr>
        <w:t xml:space="preserve">combined </w:t>
      </w:r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with </w:t>
      </w:r>
      <w:proofErr w:type="spellStart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diminazene</w:t>
      </w:r>
      <w:proofErr w:type="spellEnd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aceturate</w:t>
      </w:r>
      <w:proofErr w:type="spellEnd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</w:t>
      </w:r>
      <w:proofErr w:type="spellStart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atovaquone</w:t>
      </w:r>
      <w:proofErr w:type="spellEnd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against </w:t>
      </w:r>
      <w:proofErr w:type="spellStart"/>
      <w:r w:rsidRPr="000F24C1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Babesia</w:t>
      </w:r>
      <w:proofErr w:type="spellEnd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</w:t>
      </w:r>
      <w:proofErr w:type="spellStart"/>
      <w:r w:rsidRPr="000F24C1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Theileria</w:t>
      </w:r>
      <w:proofErr w:type="spellEnd"/>
      <w:r w:rsidRPr="000F24C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parasites </w:t>
      </w:r>
      <w:r w:rsidRPr="000F24C1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in vitro</w:t>
      </w:r>
      <w:r w:rsidRPr="000F24C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0F24C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3D74" wp14:editId="4CA24728">
                <wp:simplePos x="0" y="0"/>
                <wp:positionH relativeFrom="column">
                  <wp:posOffset>263769</wp:posOffset>
                </wp:positionH>
                <wp:positionV relativeFrom="paragraph">
                  <wp:posOffset>4709600</wp:posOffset>
                </wp:positionV>
                <wp:extent cx="1981200" cy="266700"/>
                <wp:effectExtent l="0" t="0" r="0" b="0"/>
                <wp:wrapNone/>
                <wp:docPr id="1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D9F" w:rsidRDefault="00160D9F" w:rsidP="00160D9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20.75pt;margin-top:370.85pt;width:15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" filled="f" stroked="f">
                <v:textbox style="mso-fit-shape-to-text:t">
                  <w:txbxContent>
                    <w:p w:rsidR="00160D9F" w:rsidRDefault="00160D9F" w:rsidP="00160D9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0" w:line="259" w:lineRule="auto"/>
        <w:ind w:right="48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tbl>
      <w:tblPr>
        <w:tblStyle w:val="TableGrid5"/>
        <w:tblpPr w:leftFromText="180" w:rightFromText="180" w:vertAnchor="page" w:horzAnchor="margin" w:tblpY="2425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527"/>
        <w:gridCol w:w="1196"/>
        <w:gridCol w:w="1499"/>
        <w:gridCol w:w="1424"/>
        <w:gridCol w:w="1424"/>
      </w:tblGrid>
      <w:tr w:rsidR="00160D9F" w:rsidRPr="000F24C1" w:rsidTr="001B3286"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Parasite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Concentration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F24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Ivermectin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Diminazene</w:t>
            </w:r>
            <w:proofErr w:type="spellEnd"/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aceturate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Atovaquone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Clofazimine</w:t>
            </w:r>
            <w:proofErr w:type="spellEnd"/>
          </w:p>
        </w:tc>
      </w:tr>
      <w:tr w:rsidR="00160D9F" w:rsidRPr="000F24C1" w:rsidTr="001B3286"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bovis</w:t>
            </w:r>
            <w:proofErr w:type="spellEnd"/>
          </w:p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13.325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0.0875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0.00975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2.06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26.65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0.175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0.0195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4.12                                                                                                                                       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53.3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0.35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0.039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8.24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106.6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0.7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0.078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16.48</w:t>
            </w:r>
          </w:p>
        </w:tc>
      </w:tr>
      <w:tr w:rsidR="00160D9F" w:rsidRPr="000F24C1" w:rsidTr="001B3286"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213.2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0.156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32.96</w:t>
            </w:r>
          </w:p>
        </w:tc>
      </w:tr>
      <w:tr w:rsidR="00160D9F" w:rsidRPr="000F24C1" w:rsidTr="001B3286">
        <w:tc>
          <w:tcPr>
            <w:tcW w:w="1300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D9F" w:rsidRPr="000F24C1" w:rsidTr="001B3286">
        <w:tc>
          <w:tcPr>
            <w:tcW w:w="1300" w:type="dxa"/>
            <w:vMerge w:val="restart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bigemina</w:t>
            </w:r>
            <w:proofErr w:type="spellEnd"/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 xml:space="preserve">1 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24.65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0.17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0.17525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1.4325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49.3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0.34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0.3505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2.865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98.6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0.68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0.701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5.73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197.2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1.36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1.402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11.46</w:t>
            </w:r>
          </w:p>
        </w:tc>
      </w:tr>
      <w:tr w:rsidR="00160D9F" w:rsidRPr="000F24C1" w:rsidTr="001B3286"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394.4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2.72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2.804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22.92</w:t>
            </w:r>
          </w:p>
        </w:tc>
      </w:tr>
      <w:tr w:rsidR="00160D9F" w:rsidRPr="000F24C1" w:rsidTr="001B3286">
        <w:tc>
          <w:tcPr>
            <w:tcW w:w="1300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D9F" w:rsidRPr="000F24C1" w:rsidTr="001B3286">
        <w:tc>
          <w:tcPr>
            <w:tcW w:w="1300" w:type="dxa"/>
            <w:vMerge w:val="restart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divergens</w:t>
            </w:r>
            <w:proofErr w:type="spellEnd"/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 xml:space="preserve">1 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  7.525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0.1075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0.0095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3.4625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15.05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0.215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0.019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6.925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30.1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0.43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0.038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13.85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60.2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0.86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0.076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27.7</w:t>
            </w:r>
          </w:p>
        </w:tc>
      </w:tr>
      <w:tr w:rsidR="00160D9F" w:rsidRPr="000F24C1" w:rsidTr="001B3286"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120.4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1.72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0.152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55.4</w:t>
            </w:r>
          </w:p>
        </w:tc>
      </w:tr>
      <w:tr w:rsidR="00160D9F" w:rsidRPr="000F24C1" w:rsidTr="001B3286">
        <w:tc>
          <w:tcPr>
            <w:tcW w:w="1300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D9F" w:rsidRPr="000F24C1" w:rsidTr="001B3286">
        <w:tc>
          <w:tcPr>
            <w:tcW w:w="1300" w:type="dxa"/>
            <w:vMerge w:val="restart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caballi</w:t>
            </w:r>
            <w:proofErr w:type="spellEnd"/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 xml:space="preserve">1 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10.925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0.0055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0.0255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1.9875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21.85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0.011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0.051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3.975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43.7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0.022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0.102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7.95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87.4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0.044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0.204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15.9</w:t>
            </w:r>
          </w:p>
        </w:tc>
      </w:tr>
      <w:tr w:rsidR="00160D9F" w:rsidRPr="000F24C1" w:rsidTr="001B3286"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174.8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0.088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0.408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31.8</w:t>
            </w:r>
          </w:p>
        </w:tc>
      </w:tr>
      <w:tr w:rsidR="00160D9F" w:rsidRPr="000F24C1" w:rsidTr="001B3286">
        <w:tc>
          <w:tcPr>
            <w:tcW w:w="1300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D9F" w:rsidRPr="000F24C1" w:rsidTr="001B3286">
        <w:tc>
          <w:tcPr>
            <w:tcW w:w="1300" w:type="dxa"/>
            <w:vMerge w:val="restart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T.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equi</w:t>
            </w:r>
            <w:proofErr w:type="spellEnd"/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 xml:space="preserve">1 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22.525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0.775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0.02375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0.72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45.05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0.355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0.0475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1.44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 xml:space="preserve">  90.1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0.71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0.095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2.88</w:t>
            </w:r>
          </w:p>
        </w:tc>
      </w:tr>
      <w:tr w:rsidR="00160D9F" w:rsidRPr="000F24C1" w:rsidTr="001B3286">
        <w:tc>
          <w:tcPr>
            <w:tcW w:w="1300" w:type="dxa"/>
            <w:vMerge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180.2</w:t>
            </w:r>
          </w:p>
        </w:tc>
        <w:tc>
          <w:tcPr>
            <w:tcW w:w="1499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1.42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0.19</w:t>
            </w:r>
          </w:p>
        </w:tc>
        <w:tc>
          <w:tcPr>
            <w:tcW w:w="1424" w:type="dxa"/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5.76</w:t>
            </w:r>
          </w:p>
        </w:tc>
      </w:tr>
      <w:tr w:rsidR="00160D9F" w:rsidRPr="000F24C1" w:rsidTr="001B3286"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0F24C1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360.4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2.84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0.38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60D9F" w:rsidRPr="000F24C1" w:rsidRDefault="00160D9F" w:rsidP="001B328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24C1">
              <w:rPr>
                <w:rFonts w:ascii="Times New Roman" w:hAnsi="Times New Roman" w:cs="Times New Roman"/>
                <w:sz w:val="21"/>
                <w:szCs w:val="21"/>
              </w:rPr>
              <w:t>11.52</w:t>
            </w:r>
          </w:p>
        </w:tc>
      </w:tr>
    </w:tbl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60D9F" w:rsidRPr="000F24C1" w:rsidRDefault="00160D9F" w:rsidP="00160D9F">
      <w:pPr>
        <w:widowControl w:val="0"/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65A04" w:rsidRDefault="00160D9F" w:rsidP="00160D9F"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Note: </w:t>
      </w:r>
      <w:r w:rsidRPr="000F24C1">
        <w:rPr>
          <w:rFonts w:ascii="Times New Roman" w:eastAsia="MS Mincho" w:hAnsi="Times New Roman" w:cs="Times New Roman"/>
          <w:sz w:val="21"/>
          <w:szCs w:val="21"/>
          <w:vertAlign w:val="superscript"/>
          <w:lang w:eastAsia="ja-JP"/>
        </w:rPr>
        <w:t>a</w:t>
      </w:r>
      <w:r w:rsidRPr="000F24C1">
        <w:rPr>
          <w:rFonts w:ascii="Times New Roman" w:eastAsia="MS Mincho" w:hAnsi="Times New Roman" w:cs="Times New Roman"/>
          <w:b/>
          <w:bCs/>
          <w:sz w:val="21"/>
          <w:szCs w:val="21"/>
          <w:lang w:eastAsia="ja-JP"/>
        </w:rPr>
        <w:t>T</w:t>
      </w:r>
      <w:r w:rsidRPr="000F24C1">
        <w:rPr>
          <w:rFonts w:ascii="Times New Roman" w:eastAsia="MS Mincho" w:hAnsi="Times New Roman" w:cs="Times New Roman"/>
          <w:b/>
          <w:bCs/>
          <w:sz w:val="21"/>
          <w:szCs w:val="21"/>
          <w:vertAlign w:val="subscript"/>
          <w:lang w:eastAsia="ja-JP"/>
        </w:rPr>
        <w:t>1</w:t>
      </w:r>
      <w:r w:rsidRPr="000F24C1">
        <w:rPr>
          <w:rFonts w:ascii="Times New Roman" w:eastAsia="MS Mincho" w:hAnsi="Times New Roman" w:cs="Times New Roman"/>
          <w:b/>
          <w:bCs/>
          <w:sz w:val="21"/>
          <w:szCs w:val="21"/>
          <w:lang w:eastAsia="ja-JP"/>
        </w:rPr>
        <w:t>–T</w:t>
      </w:r>
      <w:r w:rsidRPr="000F24C1">
        <w:rPr>
          <w:rFonts w:ascii="Times New Roman" w:eastAsia="MS Mincho" w:hAnsi="Times New Roman" w:cs="Times New Roman"/>
          <w:b/>
          <w:bCs/>
          <w:sz w:val="21"/>
          <w:szCs w:val="21"/>
          <w:vertAlign w:val="subscript"/>
          <w:lang w:eastAsia="ja-JP"/>
        </w:rPr>
        <w:t>5</w:t>
      </w:r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refer to the concentrations (</w:t>
      </w:r>
      <w:r w:rsidRPr="000F24C1">
        <w:rPr>
          <w:rFonts w:ascii="Times New Roman" w:eastAsia="Times New Roman" w:hAnsi="Times New Roman" w:cs="Times New Roman"/>
          <w:b/>
          <w:sz w:val="21"/>
          <w:szCs w:val="21"/>
        </w:rPr>
        <w:t>µM</w:t>
      </w:r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) of </w:t>
      </w:r>
      <w:proofErr w:type="spellStart"/>
      <w:r w:rsidRPr="000F24C1">
        <w:rPr>
          <w:rFonts w:ascii="Times New Roman" w:eastAsia="Calibri" w:hAnsi="Times New Roman" w:cs="Times New Roman"/>
          <w:sz w:val="21"/>
          <w:szCs w:val="21"/>
          <w:lang w:eastAsia="ja-JP"/>
        </w:rPr>
        <w:t>ivermectin</w:t>
      </w:r>
      <w:proofErr w:type="spellEnd"/>
      <w:r w:rsidRPr="000F24C1">
        <w:rPr>
          <w:rFonts w:ascii="Times New Roman" w:eastAsia="MS Mincho" w:hAnsi="Times New Roman" w:cs="Times New Roman"/>
          <w:i/>
          <w:iCs/>
          <w:sz w:val="21"/>
          <w:szCs w:val="21"/>
          <w:lang w:eastAsia="ja-JP" w:bidi="ar-EG"/>
        </w:rPr>
        <w:t xml:space="preserve"> </w:t>
      </w:r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combined with </w:t>
      </w:r>
      <w:proofErr w:type="spellStart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>diminazene</w:t>
      </w:r>
      <w:proofErr w:type="spellEnd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>aceturate</w:t>
      </w:r>
      <w:proofErr w:type="spellEnd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and </w:t>
      </w:r>
      <w:proofErr w:type="spellStart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>atovaquone</w:t>
      </w:r>
      <w:proofErr w:type="spellEnd"/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>. Combined concentrations were based on the calculated IC</w:t>
      </w:r>
      <w:r w:rsidRPr="000F24C1">
        <w:rPr>
          <w:rFonts w:ascii="Times New Roman" w:eastAsia="MS Mincho" w:hAnsi="Times New Roman" w:cs="Times New Roman"/>
          <w:sz w:val="21"/>
          <w:szCs w:val="21"/>
          <w:vertAlign w:val="subscript"/>
          <w:lang w:eastAsia="ja-JP"/>
        </w:rPr>
        <w:t>50</w:t>
      </w:r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values obtained from the </w:t>
      </w:r>
      <w:r w:rsidRPr="000F24C1">
        <w:rPr>
          <w:rFonts w:ascii="Times New Roman" w:eastAsia="MS Mincho" w:hAnsi="Times New Roman" w:cs="Times New Roman"/>
          <w:i/>
          <w:iCs/>
          <w:sz w:val="21"/>
          <w:szCs w:val="21"/>
          <w:lang w:eastAsia="ja-JP"/>
        </w:rPr>
        <w:t>in vitro</w:t>
      </w:r>
      <w:r w:rsidRPr="000F24C1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fluorescence-based assay</w:t>
      </w:r>
      <w:bookmarkStart w:id="0" w:name="_GoBack"/>
      <w:bookmarkEnd w:id="0"/>
    </w:p>
    <w:sectPr w:rsidR="0036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F"/>
    <w:rsid w:val="00160D9F"/>
    <w:rsid w:val="001D190E"/>
    <w:rsid w:val="002F582D"/>
    <w:rsid w:val="003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JECABANAG</dc:creator>
  <cp:lastModifiedBy>JECABANAG</cp:lastModifiedBy>
  <cp:revision>1</cp:revision>
  <dcterms:created xsi:type="dcterms:W3CDTF">2019-06-25T17:36:00Z</dcterms:created>
  <dcterms:modified xsi:type="dcterms:W3CDTF">2019-06-25T17:37:00Z</dcterms:modified>
</cp:coreProperties>
</file>