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F1A" w:rsidRPr="001D0247" w:rsidRDefault="00C512A3" w:rsidP="00717F1A">
      <w:pPr>
        <w:spacing w:after="0"/>
        <w:rPr>
          <w:b/>
          <w:sz w:val="32"/>
          <w:lang w:val="en-US"/>
        </w:rPr>
      </w:pPr>
      <w:r>
        <w:rPr>
          <w:b/>
          <w:sz w:val="32"/>
          <w:lang w:val="en-US"/>
        </w:rPr>
        <w:t>ADDITIONAL</w:t>
      </w:r>
      <w:r w:rsidR="00717F1A" w:rsidRPr="001D0247">
        <w:rPr>
          <w:b/>
          <w:sz w:val="32"/>
          <w:lang w:val="en-US"/>
        </w:rPr>
        <w:t xml:space="preserve"> MATERIALS</w:t>
      </w:r>
    </w:p>
    <w:p w:rsidR="00717F1A" w:rsidRDefault="00717F1A" w:rsidP="00A67BFD">
      <w:pPr>
        <w:spacing w:after="0"/>
        <w:rPr>
          <w:b/>
          <w:sz w:val="24"/>
          <w:lang w:val="en-US"/>
        </w:rPr>
      </w:pPr>
    </w:p>
    <w:p w:rsidR="00A67BFD" w:rsidRPr="001D0247" w:rsidRDefault="00A67BFD" w:rsidP="00A67BFD">
      <w:pPr>
        <w:spacing w:after="0"/>
        <w:rPr>
          <w:b/>
          <w:sz w:val="24"/>
          <w:lang w:val="en-US"/>
        </w:rPr>
      </w:pPr>
      <w:proofErr w:type="gramStart"/>
      <w:r w:rsidRPr="001D0247">
        <w:rPr>
          <w:b/>
          <w:sz w:val="24"/>
          <w:lang w:val="en-US"/>
        </w:rPr>
        <w:t>Additional file 2.</w:t>
      </w:r>
      <w:proofErr w:type="gramEnd"/>
      <w:r w:rsidRPr="001D0247">
        <w:rPr>
          <w:b/>
          <w:sz w:val="24"/>
          <w:lang w:val="en-US"/>
        </w:rPr>
        <w:t xml:space="preserve"> Outcomes and cost estimates without imputation of missing values</w:t>
      </w:r>
    </w:p>
    <w:p w:rsidR="00A67BFD" w:rsidRPr="001D0247" w:rsidRDefault="00A67BFD" w:rsidP="00A67BFD">
      <w:pPr>
        <w:spacing w:after="0" w:line="240" w:lineRule="auto"/>
        <w:jc w:val="both"/>
        <w:rPr>
          <w:b/>
          <w:lang w:val="en-US"/>
        </w:rPr>
      </w:pPr>
    </w:p>
    <w:p w:rsidR="00A67BFD" w:rsidRPr="001D0247" w:rsidRDefault="00A67BFD" w:rsidP="00A67BFD">
      <w:pPr>
        <w:spacing w:after="0" w:line="240" w:lineRule="auto"/>
        <w:jc w:val="both"/>
        <w:rPr>
          <w:sz w:val="28"/>
          <w:lang w:val="en-US"/>
        </w:rPr>
      </w:pPr>
      <w:r w:rsidRPr="001D0247">
        <w:rPr>
          <w:b/>
          <w:lang w:val="en-US"/>
        </w:rPr>
        <w:t xml:space="preserve">Table </w:t>
      </w:r>
      <w:r>
        <w:rPr>
          <w:b/>
          <w:lang w:val="en-US"/>
        </w:rPr>
        <w:t>S</w:t>
      </w:r>
      <w:r w:rsidRPr="001D0247">
        <w:rPr>
          <w:b/>
          <w:lang w:val="en-US"/>
        </w:rPr>
        <w:t>2</w:t>
      </w:r>
      <w:r w:rsidRPr="001D0247">
        <w:rPr>
          <w:lang w:val="en-US"/>
        </w:rPr>
        <w:t xml:space="preserve"> Well-being and QALYs at baseline (T0) and 12 months (T1) </w:t>
      </w:r>
      <w:r w:rsidRPr="001D0247">
        <w:rPr>
          <w:b/>
          <w:i/>
          <w:lang w:val="en-US"/>
        </w:rPr>
        <w:t>without</w:t>
      </w:r>
      <w:r w:rsidRPr="001D0247">
        <w:rPr>
          <w:lang w:val="en-US"/>
        </w:rPr>
        <w:t xml:space="preserve"> </w:t>
      </w:r>
      <w:r w:rsidRPr="001D0247">
        <w:rPr>
          <w:rFonts w:eastAsia="Times New Roman" w:cs="Times New Roman"/>
          <w:lang w:val="en-US"/>
        </w:rPr>
        <w:t>data imputation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630"/>
        <w:gridCol w:w="1710"/>
        <w:gridCol w:w="810"/>
        <w:gridCol w:w="1800"/>
        <w:gridCol w:w="651"/>
      </w:tblGrid>
      <w:tr w:rsidR="00A67BFD" w:rsidRPr="001D0247" w:rsidTr="00104952">
        <w:tc>
          <w:tcPr>
            <w:tcW w:w="3415" w:type="dxa"/>
          </w:tcPr>
          <w:p w:rsidR="00A67BFD" w:rsidRPr="001D0247" w:rsidRDefault="00A67BFD" w:rsidP="00104952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A67BFD" w:rsidRPr="001D0247" w:rsidRDefault="00A67BFD" w:rsidP="00104952">
            <w:pPr>
              <w:rPr>
                <w:b/>
                <w:lang w:val="en-US"/>
              </w:rPr>
            </w:pPr>
          </w:p>
        </w:tc>
        <w:tc>
          <w:tcPr>
            <w:tcW w:w="1710" w:type="dxa"/>
          </w:tcPr>
          <w:p w:rsidR="00A67BFD" w:rsidRPr="001D0247" w:rsidRDefault="00A67BFD" w:rsidP="00104952">
            <w:pPr>
              <w:rPr>
                <w:b/>
              </w:rPr>
            </w:pPr>
            <w:r w:rsidRPr="001D0247">
              <w:rPr>
                <w:b/>
              </w:rPr>
              <w:t xml:space="preserve">Care as usual </w:t>
            </w:r>
          </w:p>
        </w:tc>
        <w:tc>
          <w:tcPr>
            <w:tcW w:w="810" w:type="dxa"/>
          </w:tcPr>
          <w:p w:rsidR="00A67BFD" w:rsidRPr="001D0247" w:rsidRDefault="00A67BFD" w:rsidP="00104952">
            <w:pPr>
              <w:rPr>
                <w:b/>
                <w:i/>
              </w:rPr>
            </w:pPr>
            <w:r w:rsidRPr="001D0247">
              <w:rPr>
                <w:b/>
                <w:i/>
              </w:rPr>
              <w:t>n</w:t>
            </w:r>
          </w:p>
        </w:tc>
        <w:tc>
          <w:tcPr>
            <w:tcW w:w="1800" w:type="dxa"/>
          </w:tcPr>
          <w:p w:rsidR="00A67BFD" w:rsidRPr="001D0247" w:rsidRDefault="00A67BFD" w:rsidP="00104952">
            <w:pPr>
              <w:rPr>
                <w:b/>
              </w:rPr>
            </w:pPr>
            <w:r w:rsidRPr="001D0247">
              <w:rPr>
                <w:b/>
              </w:rPr>
              <w:t xml:space="preserve">FFF approach </w:t>
            </w:r>
          </w:p>
        </w:tc>
        <w:tc>
          <w:tcPr>
            <w:tcW w:w="651" w:type="dxa"/>
          </w:tcPr>
          <w:p w:rsidR="00A67BFD" w:rsidRPr="001D0247" w:rsidRDefault="00A67BFD" w:rsidP="00104952">
            <w:pPr>
              <w:rPr>
                <w:b/>
                <w:i/>
              </w:rPr>
            </w:pPr>
            <w:r w:rsidRPr="001D0247">
              <w:rPr>
                <w:b/>
                <w:i/>
              </w:rPr>
              <w:t>n</w:t>
            </w:r>
          </w:p>
        </w:tc>
      </w:tr>
      <w:tr w:rsidR="00A67BFD" w:rsidRPr="001D0247" w:rsidTr="00104952">
        <w:tc>
          <w:tcPr>
            <w:tcW w:w="3415" w:type="dxa"/>
          </w:tcPr>
          <w:p w:rsidR="00A67BFD" w:rsidRPr="001D0247" w:rsidRDefault="00A67BFD" w:rsidP="00104952">
            <w:pPr>
              <w:rPr>
                <w:b/>
              </w:rPr>
            </w:pPr>
            <w:r w:rsidRPr="001D0247">
              <w:rPr>
                <w:b/>
              </w:rPr>
              <w:t>Outcome measures</w:t>
            </w:r>
          </w:p>
        </w:tc>
        <w:tc>
          <w:tcPr>
            <w:tcW w:w="630" w:type="dxa"/>
          </w:tcPr>
          <w:p w:rsidR="00A67BFD" w:rsidRPr="001D0247" w:rsidRDefault="00A67BFD" w:rsidP="00104952"/>
        </w:tc>
        <w:tc>
          <w:tcPr>
            <w:tcW w:w="1710" w:type="dxa"/>
          </w:tcPr>
          <w:p w:rsidR="00A67BFD" w:rsidRPr="001D0247" w:rsidRDefault="00A67BFD" w:rsidP="00104952"/>
        </w:tc>
        <w:tc>
          <w:tcPr>
            <w:tcW w:w="810" w:type="dxa"/>
          </w:tcPr>
          <w:p w:rsidR="00A67BFD" w:rsidRPr="001D0247" w:rsidRDefault="00A67BFD" w:rsidP="00104952"/>
        </w:tc>
        <w:tc>
          <w:tcPr>
            <w:tcW w:w="1800" w:type="dxa"/>
          </w:tcPr>
          <w:p w:rsidR="00A67BFD" w:rsidRPr="001D0247" w:rsidRDefault="00A67BFD" w:rsidP="00104952"/>
        </w:tc>
        <w:tc>
          <w:tcPr>
            <w:tcW w:w="651" w:type="dxa"/>
          </w:tcPr>
          <w:p w:rsidR="00A67BFD" w:rsidRPr="001D0247" w:rsidRDefault="00A67BFD" w:rsidP="00104952"/>
        </w:tc>
      </w:tr>
      <w:tr w:rsidR="00A67BFD" w:rsidRPr="001D0247" w:rsidTr="00104952">
        <w:tc>
          <w:tcPr>
            <w:tcW w:w="3415" w:type="dxa"/>
            <w:vMerge w:val="restart"/>
          </w:tcPr>
          <w:p w:rsidR="00A67BFD" w:rsidRPr="001D0247" w:rsidRDefault="00A67BFD" w:rsidP="00104952">
            <w:r w:rsidRPr="001D0247">
              <w:t>Well-being (SPF-ILs)</w:t>
            </w:r>
          </w:p>
        </w:tc>
        <w:tc>
          <w:tcPr>
            <w:tcW w:w="630" w:type="dxa"/>
          </w:tcPr>
          <w:p w:rsidR="00A67BFD" w:rsidRPr="001D0247" w:rsidRDefault="00A67BFD" w:rsidP="00104952">
            <w:r w:rsidRPr="001D0247">
              <w:t>T0</w:t>
            </w:r>
          </w:p>
        </w:tc>
        <w:tc>
          <w:tcPr>
            <w:tcW w:w="1710" w:type="dxa"/>
          </w:tcPr>
          <w:p w:rsidR="00A67BFD" w:rsidRPr="001D0247" w:rsidRDefault="00A67BFD" w:rsidP="00104952">
            <w:r w:rsidRPr="001D0247">
              <w:t>2.62 (0.50)</w:t>
            </w:r>
          </w:p>
        </w:tc>
        <w:tc>
          <w:tcPr>
            <w:tcW w:w="810" w:type="dxa"/>
          </w:tcPr>
          <w:p w:rsidR="00A67BFD" w:rsidRPr="001D0247" w:rsidRDefault="00A67BFD" w:rsidP="00104952">
            <w:r w:rsidRPr="001D0247">
              <w:t>230</w:t>
            </w:r>
          </w:p>
        </w:tc>
        <w:tc>
          <w:tcPr>
            <w:tcW w:w="1800" w:type="dxa"/>
          </w:tcPr>
          <w:p w:rsidR="00A67BFD" w:rsidRPr="001D0247" w:rsidRDefault="00A67BFD" w:rsidP="00104952">
            <w:r w:rsidRPr="001D0247">
              <w:t>2.63 (0.50)</w:t>
            </w:r>
          </w:p>
        </w:tc>
        <w:tc>
          <w:tcPr>
            <w:tcW w:w="651" w:type="dxa"/>
          </w:tcPr>
          <w:p w:rsidR="00A67BFD" w:rsidRPr="001D0247" w:rsidRDefault="00A67BFD" w:rsidP="00104952">
            <w:r w:rsidRPr="001D0247">
              <w:t>226</w:t>
            </w:r>
          </w:p>
        </w:tc>
      </w:tr>
      <w:tr w:rsidR="00A67BFD" w:rsidRPr="001D0247" w:rsidTr="00104952">
        <w:tc>
          <w:tcPr>
            <w:tcW w:w="3415" w:type="dxa"/>
            <w:vMerge/>
          </w:tcPr>
          <w:p w:rsidR="00A67BFD" w:rsidRPr="001D0247" w:rsidRDefault="00A67BFD" w:rsidP="00104952"/>
        </w:tc>
        <w:tc>
          <w:tcPr>
            <w:tcW w:w="630" w:type="dxa"/>
          </w:tcPr>
          <w:p w:rsidR="00A67BFD" w:rsidRPr="001D0247" w:rsidRDefault="00A67BFD" w:rsidP="00104952">
            <w:r w:rsidRPr="001D0247">
              <w:t>T1</w:t>
            </w:r>
          </w:p>
        </w:tc>
        <w:tc>
          <w:tcPr>
            <w:tcW w:w="1710" w:type="dxa"/>
          </w:tcPr>
          <w:p w:rsidR="00A67BFD" w:rsidRPr="001D0247" w:rsidRDefault="00A67BFD" w:rsidP="00104952">
            <w:r w:rsidRPr="001D0247">
              <w:t>2.71 (0.53)</w:t>
            </w:r>
          </w:p>
        </w:tc>
        <w:tc>
          <w:tcPr>
            <w:tcW w:w="810" w:type="dxa"/>
          </w:tcPr>
          <w:p w:rsidR="00A67BFD" w:rsidRPr="001D0247" w:rsidRDefault="00A67BFD" w:rsidP="00104952">
            <w:r w:rsidRPr="001D0247">
              <w:t>176</w:t>
            </w:r>
          </w:p>
        </w:tc>
        <w:tc>
          <w:tcPr>
            <w:tcW w:w="1800" w:type="dxa"/>
          </w:tcPr>
          <w:p w:rsidR="00A67BFD" w:rsidRPr="001D0247" w:rsidRDefault="00A67BFD" w:rsidP="00104952">
            <w:r w:rsidRPr="001D0247">
              <w:t>2.60 (0.50)</w:t>
            </w:r>
          </w:p>
        </w:tc>
        <w:tc>
          <w:tcPr>
            <w:tcW w:w="651" w:type="dxa"/>
          </w:tcPr>
          <w:p w:rsidR="00A67BFD" w:rsidRPr="001D0247" w:rsidRDefault="00A67BFD" w:rsidP="00104952">
            <w:r w:rsidRPr="001D0247">
              <w:t>179</w:t>
            </w:r>
          </w:p>
        </w:tc>
      </w:tr>
      <w:tr w:rsidR="00A67BFD" w:rsidRPr="001D0247" w:rsidTr="00104952">
        <w:tc>
          <w:tcPr>
            <w:tcW w:w="3415" w:type="dxa"/>
            <w:vMerge w:val="restart"/>
          </w:tcPr>
          <w:p w:rsidR="00A67BFD" w:rsidRPr="001D0247" w:rsidRDefault="00A67BFD" w:rsidP="00104952">
            <w:pPr>
              <w:rPr>
                <w:lang w:val="en-US"/>
              </w:rPr>
            </w:pPr>
            <w:r w:rsidRPr="001D0247">
              <w:rPr>
                <w:lang w:val="en-US"/>
              </w:rPr>
              <w:t>QALYs</w:t>
            </w:r>
          </w:p>
          <w:p w:rsidR="00A67BFD" w:rsidRPr="001D0247" w:rsidRDefault="00A67BFD" w:rsidP="00104952">
            <w:pPr>
              <w:rPr>
                <w:lang w:val="en-US"/>
              </w:rPr>
            </w:pPr>
            <w:r w:rsidRPr="001D0247">
              <w:rPr>
                <w:lang w:val="en-US"/>
              </w:rPr>
              <w:t>(utilities based on EQ-5D-3L)</w:t>
            </w:r>
          </w:p>
        </w:tc>
        <w:tc>
          <w:tcPr>
            <w:tcW w:w="630" w:type="dxa"/>
          </w:tcPr>
          <w:p w:rsidR="00A67BFD" w:rsidRPr="001D0247" w:rsidRDefault="00A67BFD" w:rsidP="00104952">
            <w:r w:rsidRPr="001D0247">
              <w:t>T0</w:t>
            </w:r>
          </w:p>
        </w:tc>
        <w:tc>
          <w:tcPr>
            <w:tcW w:w="1710" w:type="dxa"/>
          </w:tcPr>
          <w:p w:rsidR="00A67BFD" w:rsidRPr="001D0247" w:rsidRDefault="00A67BFD" w:rsidP="00104952">
            <w:r w:rsidRPr="001D0247">
              <w:t>0.66 (0.25)</w:t>
            </w:r>
          </w:p>
        </w:tc>
        <w:tc>
          <w:tcPr>
            <w:tcW w:w="810" w:type="dxa"/>
          </w:tcPr>
          <w:p w:rsidR="00A67BFD" w:rsidRPr="001D0247" w:rsidRDefault="00A67BFD" w:rsidP="00104952">
            <w:r w:rsidRPr="001D0247">
              <w:t>230</w:t>
            </w:r>
          </w:p>
        </w:tc>
        <w:tc>
          <w:tcPr>
            <w:tcW w:w="1800" w:type="dxa"/>
          </w:tcPr>
          <w:p w:rsidR="00A67BFD" w:rsidRPr="001D0247" w:rsidRDefault="00A67BFD" w:rsidP="00104952">
            <w:r w:rsidRPr="001D0247">
              <w:t>0.63 (0.26)</w:t>
            </w:r>
          </w:p>
        </w:tc>
        <w:tc>
          <w:tcPr>
            <w:tcW w:w="651" w:type="dxa"/>
          </w:tcPr>
          <w:p w:rsidR="00A67BFD" w:rsidRPr="001D0247" w:rsidRDefault="00A67BFD" w:rsidP="00104952">
            <w:r w:rsidRPr="001D0247">
              <w:t>230</w:t>
            </w:r>
          </w:p>
        </w:tc>
      </w:tr>
      <w:tr w:rsidR="00A67BFD" w:rsidRPr="001D0247" w:rsidTr="00104952">
        <w:tc>
          <w:tcPr>
            <w:tcW w:w="3415" w:type="dxa"/>
            <w:vMerge/>
          </w:tcPr>
          <w:p w:rsidR="00A67BFD" w:rsidRPr="001D0247" w:rsidRDefault="00A67BFD" w:rsidP="00104952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A67BFD" w:rsidRPr="001D0247" w:rsidRDefault="00A67BFD" w:rsidP="00104952">
            <w:r w:rsidRPr="001D0247">
              <w:t>T1</w:t>
            </w:r>
          </w:p>
        </w:tc>
        <w:tc>
          <w:tcPr>
            <w:tcW w:w="1710" w:type="dxa"/>
          </w:tcPr>
          <w:p w:rsidR="00A67BFD" w:rsidRPr="001D0247" w:rsidRDefault="00A67BFD" w:rsidP="00104952">
            <w:r w:rsidRPr="001D0247">
              <w:t>0.72 (0.21)*</w:t>
            </w:r>
            <w:r w:rsidRPr="001D0247">
              <w:rPr>
                <w:vertAlign w:val="superscript"/>
              </w:rPr>
              <w:t>a</w:t>
            </w:r>
          </w:p>
        </w:tc>
        <w:tc>
          <w:tcPr>
            <w:tcW w:w="810" w:type="dxa"/>
          </w:tcPr>
          <w:p w:rsidR="00A67BFD" w:rsidRPr="001D0247" w:rsidRDefault="00A67BFD" w:rsidP="00104952">
            <w:r w:rsidRPr="001D0247">
              <w:t>176</w:t>
            </w:r>
          </w:p>
        </w:tc>
        <w:tc>
          <w:tcPr>
            <w:tcW w:w="1800" w:type="dxa"/>
          </w:tcPr>
          <w:p w:rsidR="00A67BFD" w:rsidRPr="001D0247" w:rsidRDefault="00A67BFD" w:rsidP="00104952">
            <w:r w:rsidRPr="001D0247">
              <w:t>0.70 (0.25)*</w:t>
            </w:r>
            <w:r w:rsidRPr="001D0247">
              <w:rPr>
                <w:vertAlign w:val="superscript"/>
              </w:rPr>
              <w:t>a</w:t>
            </w:r>
          </w:p>
        </w:tc>
        <w:tc>
          <w:tcPr>
            <w:tcW w:w="651" w:type="dxa"/>
          </w:tcPr>
          <w:p w:rsidR="00A67BFD" w:rsidRPr="001D0247" w:rsidRDefault="00A67BFD" w:rsidP="00104952">
            <w:r w:rsidRPr="001D0247">
              <w:t>180</w:t>
            </w:r>
          </w:p>
        </w:tc>
      </w:tr>
    </w:tbl>
    <w:p w:rsidR="00A67BFD" w:rsidRPr="001D0247" w:rsidRDefault="00A67BFD" w:rsidP="00A67BFD">
      <w:pPr>
        <w:spacing w:after="0" w:line="240" w:lineRule="auto"/>
        <w:rPr>
          <w:rFonts w:eastAsia="Times New Roman" w:cs="Times New Roman"/>
          <w:sz w:val="18"/>
          <w:szCs w:val="20"/>
          <w:lang w:val="en-US"/>
        </w:rPr>
      </w:pPr>
      <w:r w:rsidRPr="001D0247">
        <w:rPr>
          <w:rFonts w:eastAsia="Times New Roman" w:cs="Times New Roman"/>
          <w:sz w:val="18"/>
          <w:szCs w:val="20"/>
          <w:lang w:val="en-US"/>
        </w:rPr>
        <w:t xml:space="preserve">Values are presented as mean (SD) </w:t>
      </w:r>
    </w:p>
    <w:p w:rsidR="00A67BFD" w:rsidRPr="001D0247" w:rsidRDefault="00A67BFD" w:rsidP="00A67BFD">
      <w:pPr>
        <w:spacing w:after="0" w:line="240" w:lineRule="auto"/>
        <w:rPr>
          <w:rFonts w:eastAsia="Times New Roman" w:cs="Times New Roman"/>
          <w:sz w:val="18"/>
          <w:szCs w:val="20"/>
          <w:lang w:val="en-US"/>
        </w:rPr>
      </w:pPr>
      <w:r w:rsidRPr="001D0247">
        <w:rPr>
          <w:rFonts w:eastAsia="Times New Roman" w:cs="Times New Roman"/>
          <w:sz w:val="18"/>
          <w:szCs w:val="20"/>
          <w:lang w:val="en-US"/>
        </w:rPr>
        <w:t xml:space="preserve">SPF-ILs: Social Production Function Instrument for the Level of well-being short (range, 1-4); EQ-5D-3L: five-dimensional three-level </w:t>
      </w:r>
      <w:proofErr w:type="spellStart"/>
      <w:r w:rsidRPr="001D0247">
        <w:rPr>
          <w:rFonts w:eastAsia="Times New Roman" w:cs="Times New Roman"/>
          <w:sz w:val="18"/>
          <w:szCs w:val="20"/>
          <w:lang w:val="en-US"/>
        </w:rPr>
        <w:t>EuroQol</w:t>
      </w:r>
      <w:proofErr w:type="spellEnd"/>
      <w:r w:rsidRPr="001D0247">
        <w:rPr>
          <w:rFonts w:eastAsia="Times New Roman" w:cs="Times New Roman"/>
          <w:sz w:val="18"/>
          <w:szCs w:val="20"/>
          <w:lang w:val="en-US"/>
        </w:rPr>
        <w:t xml:space="preserve"> (range for utilities, -0.33-1)</w:t>
      </w:r>
    </w:p>
    <w:p w:rsidR="00A67BFD" w:rsidRPr="001D0247" w:rsidRDefault="00A67BFD" w:rsidP="00A67BFD">
      <w:pPr>
        <w:spacing w:after="0" w:line="240" w:lineRule="auto"/>
        <w:rPr>
          <w:rFonts w:eastAsia="Times New Roman" w:cs="Times New Roman"/>
          <w:sz w:val="18"/>
          <w:szCs w:val="20"/>
          <w:lang w:val="en-US"/>
        </w:rPr>
      </w:pPr>
      <w:r w:rsidRPr="001D0247">
        <w:rPr>
          <w:rFonts w:eastAsia="Times New Roman" w:cs="Times New Roman"/>
          <w:sz w:val="18"/>
          <w:szCs w:val="20"/>
          <w:lang w:val="en-US"/>
        </w:rPr>
        <w:t xml:space="preserve">Data from univariate analyses </w:t>
      </w:r>
      <w:r w:rsidRPr="001D0247">
        <w:rPr>
          <w:rFonts w:eastAsia="Times New Roman" w:cs="Times New Roman"/>
          <w:b/>
          <w:i/>
          <w:sz w:val="18"/>
          <w:szCs w:val="20"/>
          <w:lang w:val="en-US"/>
        </w:rPr>
        <w:t>without</w:t>
      </w:r>
      <w:r w:rsidRPr="001D0247">
        <w:rPr>
          <w:rFonts w:eastAsia="Times New Roman" w:cs="Times New Roman"/>
          <w:sz w:val="18"/>
          <w:szCs w:val="20"/>
          <w:lang w:val="en-US"/>
        </w:rPr>
        <w:t xml:space="preserve"> imputation of missing values</w:t>
      </w:r>
    </w:p>
    <w:p w:rsidR="00A67BFD" w:rsidRPr="001D0247" w:rsidRDefault="00A67BFD" w:rsidP="00A67BFD">
      <w:pPr>
        <w:spacing w:after="0" w:line="240" w:lineRule="auto"/>
        <w:rPr>
          <w:rFonts w:eastAsia="Times New Roman" w:cs="Times New Roman"/>
          <w:sz w:val="18"/>
          <w:szCs w:val="20"/>
          <w:lang w:val="en-US"/>
        </w:rPr>
      </w:pPr>
      <w:r w:rsidRPr="001D0247">
        <w:rPr>
          <w:rFonts w:eastAsia="Times New Roman" w:cs="Times New Roman"/>
          <w:sz w:val="18"/>
          <w:szCs w:val="20"/>
          <w:lang w:val="en-US"/>
        </w:rPr>
        <w:t>*</w:t>
      </w:r>
      <w:r w:rsidRPr="001D0247">
        <w:rPr>
          <w:rFonts w:eastAsia="Times New Roman" w:cs="Times New Roman"/>
          <w:i/>
          <w:sz w:val="18"/>
          <w:szCs w:val="20"/>
          <w:lang w:val="en-US"/>
        </w:rPr>
        <w:t xml:space="preserve">p </w:t>
      </w:r>
      <w:r w:rsidRPr="001D0247">
        <w:rPr>
          <w:rFonts w:eastAsia="Times New Roman" w:cs="Times New Roman"/>
          <w:sz w:val="18"/>
          <w:szCs w:val="20"/>
          <w:lang w:val="en-US"/>
        </w:rPr>
        <w:t>&lt; 0.05 (two-tailed)</w:t>
      </w:r>
    </w:p>
    <w:p w:rsidR="00A67BFD" w:rsidRPr="001D0247" w:rsidRDefault="00A67BFD" w:rsidP="00A67BFD">
      <w:pPr>
        <w:spacing w:after="0" w:line="240" w:lineRule="auto"/>
        <w:rPr>
          <w:rFonts w:eastAsia="Times New Roman" w:cs="Times New Roman"/>
          <w:sz w:val="18"/>
          <w:szCs w:val="20"/>
          <w:lang w:val="en-US"/>
        </w:rPr>
      </w:pPr>
      <w:r w:rsidRPr="001D0247">
        <w:rPr>
          <w:rFonts w:eastAsia="Times New Roman" w:cs="Times New Roman"/>
          <w:sz w:val="18"/>
          <w:szCs w:val="20"/>
          <w:lang w:val="en-US"/>
        </w:rPr>
        <w:t xml:space="preserve">Paired sample </w:t>
      </w:r>
      <w:r w:rsidRPr="001D0247">
        <w:rPr>
          <w:rFonts w:eastAsia="Times New Roman" w:cs="Times New Roman"/>
          <w:i/>
          <w:sz w:val="18"/>
          <w:szCs w:val="20"/>
          <w:lang w:val="en-US"/>
        </w:rPr>
        <w:t>t</w:t>
      </w:r>
      <w:r w:rsidRPr="001D0247">
        <w:rPr>
          <w:rFonts w:eastAsia="Times New Roman" w:cs="Times New Roman"/>
          <w:sz w:val="18"/>
          <w:szCs w:val="20"/>
          <w:lang w:val="en-US"/>
        </w:rPr>
        <w:t xml:space="preserve">-tests or independent samples </w:t>
      </w:r>
      <w:r w:rsidRPr="001D0247">
        <w:rPr>
          <w:rFonts w:eastAsia="Times New Roman" w:cs="Times New Roman"/>
          <w:i/>
          <w:sz w:val="18"/>
          <w:szCs w:val="20"/>
          <w:lang w:val="en-US"/>
        </w:rPr>
        <w:t>t</w:t>
      </w:r>
      <w:r w:rsidRPr="001D0247">
        <w:rPr>
          <w:rFonts w:eastAsia="Times New Roman" w:cs="Times New Roman"/>
          <w:sz w:val="18"/>
          <w:szCs w:val="20"/>
          <w:lang w:val="en-US"/>
        </w:rPr>
        <w:t>-tests</w:t>
      </w:r>
    </w:p>
    <w:p w:rsidR="00A67BFD" w:rsidRPr="001D0247" w:rsidRDefault="00A67BFD" w:rsidP="00A67BFD">
      <w:pPr>
        <w:spacing w:after="0" w:line="240" w:lineRule="auto"/>
        <w:jc w:val="both"/>
        <w:rPr>
          <w:sz w:val="18"/>
          <w:lang w:val="en-US"/>
        </w:rPr>
      </w:pPr>
      <w:proofErr w:type="gramStart"/>
      <w:r w:rsidRPr="001D0247">
        <w:rPr>
          <w:sz w:val="18"/>
          <w:vertAlign w:val="superscript"/>
          <w:lang w:val="en-US"/>
        </w:rPr>
        <w:t>a</w:t>
      </w:r>
      <w:proofErr w:type="gramEnd"/>
      <w:r w:rsidRPr="001D0247">
        <w:rPr>
          <w:sz w:val="18"/>
          <w:vertAlign w:val="subscript"/>
          <w:lang w:val="en-US"/>
        </w:rPr>
        <w:t xml:space="preserve"> </w:t>
      </w:r>
      <w:r w:rsidRPr="001D0247">
        <w:rPr>
          <w:sz w:val="18"/>
          <w:lang w:val="en-US"/>
        </w:rPr>
        <w:t>Significant improvement in QALYs in the control group and intervention group over time based on paired data</w:t>
      </w:r>
    </w:p>
    <w:p w:rsidR="00A67BFD" w:rsidRPr="001D0247" w:rsidRDefault="00A67BFD" w:rsidP="00A67BFD">
      <w:pPr>
        <w:spacing w:after="0" w:line="240" w:lineRule="auto"/>
        <w:jc w:val="both"/>
        <w:rPr>
          <w:lang w:val="en-US"/>
        </w:rPr>
      </w:pPr>
    </w:p>
    <w:p w:rsidR="00A67BFD" w:rsidRPr="001D0247" w:rsidRDefault="00A67BFD" w:rsidP="00A67BFD">
      <w:pPr>
        <w:spacing w:after="0" w:line="240" w:lineRule="auto"/>
        <w:jc w:val="both"/>
        <w:rPr>
          <w:rFonts w:ascii="Calibri" w:eastAsia="Calibri" w:hAnsi="Calibri" w:cs="Times New Roman"/>
          <w:lang w:val="en-US"/>
        </w:rPr>
      </w:pPr>
      <w:r w:rsidRPr="001D0247">
        <w:rPr>
          <w:b/>
          <w:lang w:val="en-US"/>
        </w:rPr>
        <w:t xml:space="preserve">Table </w:t>
      </w:r>
      <w:r>
        <w:rPr>
          <w:b/>
          <w:lang w:val="en-US"/>
        </w:rPr>
        <w:t>S</w:t>
      </w:r>
      <w:r w:rsidRPr="001D0247">
        <w:rPr>
          <w:b/>
          <w:lang w:val="en-US"/>
        </w:rPr>
        <w:t>3</w:t>
      </w:r>
      <w:r w:rsidRPr="001D0247">
        <w:rPr>
          <w:lang w:val="en-US"/>
        </w:rPr>
        <w:t xml:space="preserve"> </w:t>
      </w:r>
      <w:r w:rsidRPr="001D0247">
        <w:rPr>
          <w:rFonts w:ascii="Calibri" w:eastAsia="Calibri" w:hAnsi="Calibri" w:cs="Times New Roman"/>
          <w:lang w:val="en-US"/>
        </w:rPr>
        <w:t xml:space="preserve">Healthcare costs (in euros) at baseline (T0) and 12 months (T1) </w:t>
      </w:r>
      <w:r w:rsidRPr="001D0247">
        <w:rPr>
          <w:rFonts w:ascii="Calibri" w:eastAsia="Calibri" w:hAnsi="Calibri" w:cs="Times New Roman"/>
          <w:b/>
          <w:i/>
          <w:lang w:val="en-US"/>
        </w:rPr>
        <w:t>without</w:t>
      </w:r>
      <w:r w:rsidRPr="001D0247">
        <w:rPr>
          <w:rFonts w:ascii="Calibri" w:eastAsia="Calibri" w:hAnsi="Calibri" w:cs="Times New Roman"/>
          <w:lang w:val="en-US"/>
        </w:rPr>
        <w:t xml:space="preserve"> data imputation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340"/>
        <w:gridCol w:w="630"/>
        <w:gridCol w:w="2430"/>
        <w:gridCol w:w="651"/>
      </w:tblGrid>
      <w:tr w:rsidR="00A67BFD" w:rsidRPr="001D0247" w:rsidTr="00104952">
        <w:tc>
          <w:tcPr>
            <w:tcW w:w="2965" w:type="dxa"/>
          </w:tcPr>
          <w:p w:rsidR="00A67BFD" w:rsidRPr="001D0247" w:rsidRDefault="00A67BFD" w:rsidP="00104952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340" w:type="dxa"/>
          </w:tcPr>
          <w:p w:rsidR="00A67BFD" w:rsidRPr="001D0247" w:rsidRDefault="00A67BFD" w:rsidP="00104952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1D0247">
              <w:rPr>
                <w:b/>
              </w:rPr>
              <w:t xml:space="preserve">Care as usual </w:t>
            </w:r>
          </w:p>
        </w:tc>
        <w:tc>
          <w:tcPr>
            <w:tcW w:w="630" w:type="dxa"/>
          </w:tcPr>
          <w:p w:rsidR="00A67BFD" w:rsidRPr="001D0247" w:rsidRDefault="00A67BFD" w:rsidP="00104952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1D0247">
              <w:rPr>
                <w:b/>
                <w:i/>
              </w:rPr>
              <w:t>n</w:t>
            </w:r>
          </w:p>
        </w:tc>
        <w:tc>
          <w:tcPr>
            <w:tcW w:w="2430" w:type="dxa"/>
          </w:tcPr>
          <w:p w:rsidR="00A67BFD" w:rsidRPr="001D0247" w:rsidRDefault="00A67BFD" w:rsidP="00104952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1D0247">
              <w:rPr>
                <w:b/>
              </w:rPr>
              <w:t xml:space="preserve">FFF approach </w:t>
            </w:r>
          </w:p>
        </w:tc>
        <w:tc>
          <w:tcPr>
            <w:tcW w:w="651" w:type="dxa"/>
          </w:tcPr>
          <w:p w:rsidR="00A67BFD" w:rsidRPr="001D0247" w:rsidRDefault="00A67BFD" w:rsidP="00104952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1D0247">
              <w:rPr>
                <w:b/>
                <w:i/>
              </w:rPr>
              <w:t>n</w:t>
            </w:r>
          </w:p>
        </w:tc>
      </w:tr>
      <w:tr w:rsidR="00A67BFD" w:rsidRPr="001D0247" w:rsidTr="00104952">
        <w:tc>
          <w:tcPr>
            <w:tcW w:w="2965" w:type="dxa"/>
          </w:tcPr>
          <w:p w:rsidR="00A67BFD" w:rsidRPr="001D0247" w:rsidRDefault="00A67BFD" w:rsidP="00104952">
            <w:pPr>
              <w:jc w:val="both"/>
              <w:rPr>
                <w:rFonts w:ascii="Calibri" w:eastAsia="Calibri" w:hAnsi="Calibri" w:cs="Times New Roman"/>
                <w:b/>
                <w:lang w:val="en-US"/>
              </w:rPr>
            </w:pPr>
            <w:r w:rsidRPr="001D0247">
              <w:rPr>
                <w:rFonts w:ascii="Calibri" w:eastAsia="Calibri" w:hAnsi="Calibri" w:cs="Times New Roman"/>
                <w:b/>
                <w:lang w:val="en-US"/>
              </w:rPr>
              <w:t>Healthcare costs</w:t>
            </w:r>
          </w:p>
        </w:tc>
        <w:tc>
          <w:tcPr>
            <w:tcW w:w="2340" w:type="dxa"/>
          </w:tcPr>
          <w:p w:rsidR="00A67BFD" w:rsidRPr="001D0247" w:rsidRDefault="00A67BFD" w:rsidP="00104952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30" w:type="dxa"/>
          </w:tcPr>
          <w:p w:rsidR="00A67BFD" w:rsidRPr="001D0247" w:rsidRDefault="00A67BFD" w:rsidP="00104952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430" w:type="dxa"/>
          </w:tcPr>
          <w:p w:rsidR="00A67BFD" w:rsidRPr="001D0247" w:rsidRDefault="00A67BFD" w:rsidP="00104952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51" w:type="dxa"/>
          </w:tcPr>
          <w:p w:rsidR="00A67BFD" w:rsidRPr="001D0247" w:rsidRDefault="00A67BFD" w:rsidP="00104952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67BFD" w:rsidRPr="001D0247" w:rsidTr="00104952">
        <w:tc>
          <w:tcPr>
            <w:tcW w:w="2965" w:type="dxa"/>
          </w:tcPr>
          <w:p w:rsidR="00A67BFD" w:rsidRPr="001D0247" w:rsidRDefault="00A67BFD" w:rsidP="00104952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1D0247">
              <w:rPr>
                <w:rFonts w:ascii="Calibri" w:eastAsia="Calibri" w:hAnsi="Calibri" w:cs="Times New Roman"/>
                <w:lang w:val="en-US"/>
              </w:rPr>
              <w:t>Mean total costs at T0</w:t>
            </w:r>
            <w:r w:rsidRPr="001D0247">
              <w:rPr>
                <w:rFonts w:ascii="Calibri" w:eastAsia="Calibri" w:hAnsi="Calibri" w:cs="Times New Roman"/>
                <w:sz w:val="18"/>
                <w:vertAlign w:val="superscript"/>
                <w:lang w:val="en-US"/>
              </w:rPr>
              <w:t>a</w:t>
            </w:r>
          </w:p>
        </w:tc>
        <w:tc>
          <w:tcPr>
            <w:tcW w:w="2340" w:type="dxa"/>
          </w:tcPr>
          <w:p w:rsidR="00A67BFD" w:rsidRPr="001D0247" w:rsidRDefault="00A67BFD" w:rsidP="00104952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1D0247">
              <w:rPr>
                <w:rFonts w:ascii="Calibri" w:eastAsia="Calibri" w:hAnsi="Calibri" w:cs="Times New Roman"/>
                <w:lang w:val="en-US"/>
              </w:rPr>
              <w:t>7023.18 (9499.67)</w:t>
            </w:r>
          </w:p>
        </w:tc>
        <w:tc>
          <w:tcPr>
            <w:tcW w:w="630" w:type="dxa"/>
          </w:tcPr>
          <w:p w:rsidR="00A67BFD" w:rsidRPr="001D0247" w:rsidRDefault="00A67BFD" w:rsidP="00104952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1D0247">
              <w:rPr>
                <w:rFonts w:ascii="Calibri" w:eastAsia="Calibri" w:hAnsi="Calibri" w:cs="Times New Roman"/>
                <w:lang w:val="en-US"/>
              </w:rPr>
              <w:t>180</w:t>
            </w:r>
          </w:p>
        </w:tc>
        <w:tc>
          <w:tcPr>
            <w:tcW w:w="2430" w:type="dxa"/>
          </w:tcPr>
          <w:p w:rsidR="00A67BFD" w:rsidRPr="001D0247" w:rsidRDefault="00A67BFD" w:rsidP="00104952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1D0247">
              <w:rPr>
                <w:rFonts w:ascii="Calibri" w:eastAsia="Calibri" w:hAnsi="Calibri" w:cs="Times New Roman"/>
                <w:lang w:val="en-US"/>
              </w:rPr>
              <w:t>8635.90 (11,735.34)</w:t>
            </w:r>
          </w:p>
        </w:tc>
        <w:tc>
          <w:tcPr>
            <w:tcW w:w="651" w:type="dxa"/>
          </w:tcPr>
          <w:p w:rsidR="00A67BFD" w:rsidRPr="001D0247" w:rsidRDefault="00A67BFD" w:rsidP="00104952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1D0247">
              <w:rPr>
                <w:rFonts w:ascii="Calibri" w:eastAsia="Calibri" w:hAnsi="Calibri" w:cs="Times New Roman"/>
                <w:lang w:val="en-US"/>
              </w:rPr>
              <w:t>184</w:t>
            </w:r>
          </w:p>
        </w:tc>
      </w:tr>
      <w:tr w:rsidR="00A67BFD" w:rsidRPr="001D0247" w:rsidTr="00104952">
        <w:tc>
          <w:tcPr>
            <w:tcW w:w="2965" w:type="dxa"/>
          </w:tcPr>
          <w:p w:rsidR="00A67BFD" w:rsidRPr="001D0247" w:rsidRDefault="00A67BFD" w:rsidP="00104952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1D0247">
              <w:rPr>
                <w:rFonts w:ascii="Calibri" w:eastAsia="Calibri" w:hAnsi="Calibri" w:cs="Times New Roman"/>
                <w:lang w:val="en-US"/>
              </w:rPr>
              <w:t>Mean total costs at T1</w:t>
            </w:r>
            <w:r w:rsidRPr="001D0247">
              <w:rPr>
                <w:rFonts w:ascii="Calibri" w:eastAsia="Calibri" w:hAnsi="Calibri" w:cs="Times New Roman"/>
                <w:sz w:val="18"/>
                <w:vertAlign w:val="superscript"/>
                <w:lang w:val="en-US"/>
              </w:rPr>
              <w:t>a</w:t>
            </w:r>
          </w:p>
        </w:tc>
        <w:tc>
          <w:tcPr>
            <w:tcW w:w="2340" w:type="dxa"/>
          </w:tcPr>
          <w:p w:rsidR="00A67BFD" w:rsidRPr="001D0247" w:rsidRDefault="00A67BFD" w:rsidP="00104952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1D0247">
              <w:rPr>
                <w:rFonts w:ascii="Calibri" w:eastAsia="Calibri" w:hAnsi="Calibri" w:cs="Times New Roman"/>
                <w:lang w:val="en-US"/>
              </w:rPr>
              <w:t>7798.13 (10,442.08)</w:t>
            </w:r>
          </w:p>
        </w:tc>
        <w:tc>
          <w:tcPr>
            <w:tcW w:w="630" w:type="dxa"/>
          </w:tcPr>
          <w:p w:rsidR="00A67BFD" w:rsidRPr="001D0247" w:rsidRDefault="00A67BFD" w:rsidP="00104952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1D0247">
              <w:rPr>
                <w:rFonts w:ascii="Calibri" w:eastAsia="Calibri" w:hAnsi="Calibri" w:cs="Times New Roman"/>
                <w:lang w:val="en-US"/>
              </w:rPr>
              <w:t>160</w:t>
            </w:r>
          </w:p>
        </w:tc>
        <w:tc>
          <w:tcPr>
            <w:tcW w:w="2430" w:type="dxa"/>
          </w:tcPr>
          <w:p w:rsidR="00A67BFD" w:rsidRPr="001D0247" w:rsidRDefault="00A67BFD" w:rsidP="00104952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1D0247">
              <w:rPr>
                <w:rFonts w:ascii="Calibri" w:eastAsia="Calibri" w:hAnsi="Calibri" w:cs="Times New Roman"/>
                <w:lang w:val="en-US"/>
              </w:rPr>
              <w:t>10,209.36 (14,598.36)</w:t>
            </w:r>
          </w:p>
        </w:tc>
        <w:tc>
          <w:tcPr>
            <w:tcW w:w="651" w:type="dxa"/>
          </w:tcPr>
          <w:p w:rsidR="00A67BFD" w:rsidRPr="001D0247" w:rsidRDefault="00A67BFD" w:rsidP="00104952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1D0247">
              <w:rPr>
                <w:rFonts w:ascii="Calibri" w:eastAsia="Calibri" w:hAnsi="Calibri" w:cs="Times New Roman"/>
                <w:lang w:val="en-US"/>
              </w:rPr>
              <w:t>168</w:t>
            </w:r>
          </w:p>
        </w:tc>
      </w:tr>
    </w:tbl>
    <w:p w:rsidR="00A67BFD" w:rsidRPr="001D0247" w:rsidRDefault="00A67BFD" w:rsidP="00A67BFD">
      <w:pPr>
        <w:rPr>
          <w:rFonts w:ascii="Calibri" w:eastAsia="Calibri" w:hAnsi="Calibri" w:cs="Times New Roman"/>
          <w:sz w:val="18"/>
          <w:lang w:val="en-US"/>
        </w:rPr>
      </w:pPr>
      <w:proofErr w:type="spellStart"/>
      <w:proofErr w:type="gramStart"/>
      <w:r w:rsidRPr="001D0247">
        <w:rPr>
          <w:rFonts w:ascii="Calibri" w:eastAsia="Calibri" w:hAnsi="Calibri" w:cs="Times New Roman"/>
          <w:sz w:val="18"/>
          <w:vertAlign w:val="superscript"/>
          <w:lang w:val="en-US"/>
        </w:rPr>
        <w:t>a</w:t>
      </w:r>
      <w:r w:rsidRPr="001D0247">
        <w:rPr>
          <w:rFonts w:ascii="Calibri" w:eastAsia="Calibri" w:hAnsi="Calibri" w:cs="Times New Roman"/>
          <w:sz w:val="18"/>
          <w:lang w:val="en-US"/>
        </w:rPr>
        <w:t>Means</w:t>
      </w:r>
      <w:proofErr w:type="spellEnd"/>
      <w:proofErr w:type="gramEnd"/>
      <w:r w:rsidRPr="001D0247">
        <w:rPr>
          <w:rFonts w:ascii="Calibri" w:eastAsia="Calibri" w:hAnsi="Calibri" w:cs="Times New Roman"/>
          <w:sz w:val="18"/>
          <w:lang w:val="en-US"/>
        </w:rPr>
        <w:t xml:space="preserve"> (SDs) were calculated including persons without healthcare utilization</w:t>
      </w:r>
      <w:bookmarkStart w:id="0" w:name="_GoBack"/>
      <w:bookmarkEnd w:id="0"/>
      <w:r w:rsidRPr="001D0247">
        <w:rPr>
          <w:b/>
          <w:sz w:val="24"/>
          <w:lang w:val="en-US"/>
        </w:rPr>
        <w:br w:type="page"/>
      </w:r>
    </w:p>
    <w:sectPr w:rsidR="00A67BFD" w:rsidRPr="001D0247" w:rsidSect="00771B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BFD"/>
    <w:rsid w:val="00006777"/>
    <w:rsid w:val="00025162"/>
    <w:rsid w:val="00042CB0"/>
    <w:rsid w:val="000850A2"/>
    <w:rsid w:val="0008556D"/>
    <w:rsid w:val="000869A1"/>
    <w:rsid w:val="000B1DA0"/>
    <w:rsid w:val="000E6335"/>
    <w:rsid w:val="000E7699"/>
    <w:rsid w:val="001133B3"/>
    <w:rsid w:val="001243E2"/>
    <w:rsid w:val="00133AAA"/>
    <w:rsid w:val="00135099"/>
    <w:rsid w:val="00147ACE"/>
    <w:rsid w:val="00147C1A"/>
    <w:rsid w:val="0018212A"/>
    <w:rsid w:val="00191F89"/>
    <w:rsid w:val="001A497F"/>
    <w:rsid w:val="001B16DE"/>
    <w:rsid w:val="001C0C87"/>
    <w:rsid w:val="001E5304"/>
    <w:rsid w:val="001F2616"/>
    <w:rsid w:val="002171FA"/>
    <w:rsid w:val="00220BC0"/>
    <w:rsid w:val="0023459F"/>
    <w:rsid w:val="002348D0"/>
    <w:rsid w:val="00253944"/>
    <w:rsid w:val="00254ED6"/>
    <w:rsid w:val="002808A7"/>
    <w:rsid w:val="002941D6"/>
    <w:rsid w:val="002C7AC3"/>
    <w:rsid w:val="002E60E6"/>
    <w:rsid w:val="002E6313"/>
    <w:rsid w:val="00310EB5"/>
    <w:rsid w:val="003A4988"/>
    <w:rsid w:val="003B5056"/>
    <w:rsid w:val="003C1C9F"/>
    <w:rsid w:val="004033BB"/>
    <w:rsid w:val="004610EE"/>
    <w:rsid w:val="00471A8F"/>
    <w:rsid w:val="00486752"/>
    <w:rsid w:val="00497C89"/>
    <w:rsid w:val="004B1D2C"/>
    <w:rsid w:val="004C4FF7"/>
    <w:rsid w:val="004C5FF3"/>
    <w:rsid w:val="004D0365"/>
    <w:rsid w:val="004E0F79"/>
    <w:rsid w:val="004E5EE8"/>
    <w:rsid w:val="005178F6"/>
    <w:rsid w:val="005225A0"/>
    <w:rsid w:val="00534A53"/>
    <w:rsid w:val="00543A96"/>
    <w:rsid w:val="00545D59"/>
    <w:rsid w:val="00567686"/>
    <w:rsid w:val="005708D5"/>
    <w:rsid w:val="0057323E"/>
    <w:rsid w:val="0057569D"/>
    <w:rsid w:val="005B17AE"/>
    <w:rsid w:val="005C33FC"/>
    <w:rsid w:val="005C3C54"/>
    <w:rsid w:val="005E7180"/>
    <w:rsid w:val="005F26CE"/>
    <w:rsid w:val="005F63AA"/>
    <w:rsid w:val="006019FA"/>
    <w:rsid w:val="006231C9"/>
    <w:rsid w:val="006276FE"/>
    <w:rsid w:val="00627EF0"/>
    <w:rsid w:val="00644A94"/>
    <w:rsid w:val="00674D27"/>
    <w:rsid w:val="006965F6"/>
    <w:rsid w:val="006D56B1"/>
    <w:rsid w:val="00717F1A"/>
    <w:rsid w:val="00722BD5"/>
    <w:rsid w:val="0075660B"/>
    <w:rsid w:val="00756D7D"/>
    <w:rsid w:val="00771BF4"/>
    <w:rsid w:val="00781B61"/>
    <w:rsid w:val="007C4DCB"/>
    <w:rsid w:val="007C6AEF"/>
    <w:rsid w:val="00802D6B"/>
    <w:rsid w:val="00807ADA"/>
    <w:rsid w:val="00822288"/>
    <w:rsid w:val="008329FB"/>
    <w:rsid w:val="00837699"/>
    <w:rsid w:val="00852E78"/>
    <w:rsid w:val="00863D2D"/>
    <w:rsid w:val="0088362E"/>
    <w:rsid w:val="00885CAF"/>
    <w:rsid w:val="008D01DE"/>
    <w:rsid w:val="008D5797"/>
    <w:rsid w:val="008D7D55"/>
    <w:rsid w:val="009122CA"/>
    <w:rsid w:val="00921D54"/>
    <w:rsid w:val="00936821"/>
    <w:rsid w:val="00946231"/>
    <w:rsid w:val="00966E16"/>
    <w:rsid w:val="00994FFF"/>
    <w:rsid w:val="009E01D3"/>
    <w:rsid w:val="00A07167"/>
    <w:rsid w:val="00A106F6"/>
    <w:rsid w:val="00A12182"/>
    <w:rsid w:val="00A27500"/>
    <w:rsid w:val="00A41EE1"/>
    <w:rsid w:val="00A55BB5"/>
    <w:rsid w:val="00A67BFD"/>
    <w:rsid w:val="00A77DFB"/>
    <w:rsid w:val="00A9408A"/>
    <w:rsid w:val="00AB2B8F"/>
    <w:rsid w:val="00AE4AD7"/>
    <w:rsid w:val="00AF1C74"/>
    <w:rsid w:val="00AF54C2"/>
    <w:rsid w:val="00AF7559"/>
    <w:rsid w:val="00B01C5D"/>
    <w:rsid w:val="00B17EE1"/>
    <w:rsid w:val="00B261AF"/>
    <w:rsid w:val="00B35A0A"/>
    <w:rsid w:val="00B5179A"/>
    <w:rsid w:val="00B62F82"/>
    <w:rsid w:val="00B777B6"/>
    <w:rsid w:val="00B810A6"/>
    <w:rsid w:val="00B8126C"/>
    <w:rsid w:val="00B83BF2"/>
    <w:rsid w:val="00B9036C"/>
    <w:rsid w:val="00B9241A"/>
    <w:rsid w:val="00BB4DDB"/>
    <w:rsid w:val="00BC0215"/>
    <w:rsid w:val="00BC0F20"/>
    <w:rsid w:val="00BD4D7D"/>
    <w:rsid w:val="00C134E9"/>
    <w:rsid w:val="00C21A08"/>
    <w:rsid w:val="00C366B8"/>
    <w:rsid w:val="00C512A3"/>
    <w:rsid w:val="00C7687D"/>
    <w:rsid w:val="00CA0C51"/>
    <w:rsid w:val="00CA4B99"/>
    <w:rsid w:val="00CB7A21"/>
    <w:rsid w:val="00CC3C6D"/>
    <w:rsid w:val="00D20A8D"/>
    <w:rsid w:val="00D23CE5"/>
    <w:rsid w:val="00D26AA7"/>
    <w:rsid w:val="00D52A55"/>
    <w:rsid w:val="00D851A5"/>
    <w:rsid w:val="00D93DD4"/>
    <w:rsid w:val="00DE4D85"/>
    <w:rsid w:val="00DF57D0"/>
    <w:rsid w:val="00E24438"/>
    <w:rsid w:val="00E263AF"/>
    <w:rsid w:val="00E40DEF"/>
    <w:rsid w:val="00E53A86"/>
    <w:rsid w:val="00E57AF3"/>
    <w:rsid w:val="00E6231C"/>
    <w:rsid w:val="00EA3760"/>
    <w:rsid w:val="00EB2E3F"/>
    <w:rsid w:val="00EC0C8B"/>
    <w:rsid w:val="00ED53F1"/>
    <w:rsid w:val="00EF7356"/>
    <w:rsid w:val="00F01675"/>
    <w:rsid w:val="00F12BA0"/>
    <w:rsid w:val="00F1463D"/>
    <w:rsid w:val="00F534FA"/>
    <w:rsid w:val="00FA1003"/>
    <w:rsid w:val="00FB098F"/>
    <w:rsid w:val="00FB0ED6"/>
    <w:rsid w:val="00FD6010"/>
    <w:rsid w:val="00FF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7BFD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7BFD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0013359</dc:creator>
  <cp:lastModifiedBy>Shine David S.A.</cp:lastModifiedBy>
  <cp:revision>4</cp:revision>
  <dcterms:created xsi:type="dcterms:W3CDTF">2019-07-06T14:36:00Z</dcterms:created>
  <dcterms:modified xsi:type="dcterms:W3CDTF">2019-07-08T05:33:00Z</dcterms:modified>
</cp:coreProperties>
</file>