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E4" w:rsidRPr="00E559E6" w:rsidRDefault="002A03E4" w:rsidP="002A03E4">
      <w:pPr>
        <w:spacing w:after="240" w:line="360" w:lineRule="auto"/>
        <w:rPr>
          <w:rFonts w:ascii="Arial" w:hAnsi="Arial" w:cs="Arial"/>
        </w:rPr>
      </w:pPr>
      <w:proofErr w:type="gramStart"/>
      <w:r>
        <w:rPr>
          <w:rFonts w:ascii="Arial" w:hAnsi="Arial" w:cs="Arial"/>
          <w:b/>
        </w:rPr>
        <w:t>Additional file</w:t>
      </w:r>
      <w:r w:rsidRPr="00E559E6">
        <w:rPr>
          <w:rFonts w:ascii="Arial" w:hAnsi="Arial" w:cs="Arial"/>
          <w:b/>
        </w:rPr>
        <w:t xml:space="preserve"> 2.</w:t>
      </w:r>
      <w:proofErr w:type="gramEnd"/>
      <w:r w:rsidRPr="00E559E6">
        <w:rPr>
          <w:rFonts w:ascii="Arial" w:hAnsi="Arial" w:cs="Arial"/>
        </w:rPr>
        <w:t xml:space="preserve"> Algorithm to classify CRCs into “advanced”, “non-advanced” or “not classifiable” according to the information on the N and M status from cancer registry (</w:t>
      </w:r>
      <w:proofErr w:type="spellStart"/>
      <w:r w:rsidRPr="00E559E6">
        <w:rPr>
          <w:rFonts w:ascii="Arial" w:hAnsi="Arial" w:cs="Arial"/>
        </w:rPr>
        <w:t>ZfKD</w:t>
      </w:r>
      <w:proofErr w:type="spellEnd"/>
      <w:r w:rsidRPr="00E559E6">
        <w:rPr>
          <w:rFonts w:ascii="Arial" w:hAnsi="Arial" w:cs="Arial"/>
        </w:rPr>
        <w:t>) data and description of additional analyses conducted with respect to missing 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606"/>
        <w:gridCol w:w="4606"/>
      </w:tblGrid>
      <w:tr w:rsidR="002A03E4" w:rsidRPr="00E559E6" w:rsidTr="006F5473">
        <w:tc>
          <w:tcPr>
            <w:tcW w:w="4606" w:type="dxa"/>
            <w:shd w:val="clear" w:color="auto" w:fill="F2F2F2" w:themeFill="background1" w:themeFillShade="F2"/>
            <w:hideMark/>
          </w:tcPr>
          <w:p w:rsidR="002A03E4" w:rsidRPr="00E559E6" w:rsidRDefault="002A03E4" w:rsidP="006F5473">
            <w:pPr>
              <w:rPr>
                <w:rFonts w:ascii="Arial" w:hAnsi="Arial" w:cs="Arial"/>
                <w:lang w:val="de-DE"/>
              </w:rPr>
            </w:pPr>
            <w:r w:rsidRPr="00E559E6">
              <w:rPr>
                <w:rFonts w:ascii="Arial" w:hAnsi="Arial" w:cs="Arial"/>
              </w:rPr>
              <w:t xml:space="preserve">N &gt; 0  </w:t>
            </w:r>
            <w:r w:rsidRPr="00E559E6">
              <w:rPr>
                <w:rFonts w:ascii="Arial" w:hAnsi="Arial" w:cs="Arial"/>
                <w:i/>
              </w:rPr>
              <w:t>OR</w:t>
            </w:r>
            <w:r w:rsidRPr="00E559E6">
              <w:rPr>
                <w:rFonts w:ascii="Arial" w:hAnsi="Arial" w:cs="Arial"/>
              </w:rPr>
              <w:t xml:space="preserve">  M &gt; 0</w:t>
            </w:r>
          </w:p>
        </w:tc>
        <w:tc>
          <w:tcPr>
            <w:tcW w:w="4606" w:type="dxa"/>
            <w:shd w:val="clear" w:color="auto" w:fill="F2F2F2" w:themeFill="background1" w:themeFillShade="F2"/>
            <w:hideMark/>
          </w:tcPr>
          <w:p w:rsidR="002A03E4" w:rsidRPr="00E559E6" w:rsidRDefault="002A03E4" w:rsidP="006F5473">
            <w:pPr>
              <w:rPr>
                <w:rFonts w:ascii="Arial" w:hAnsi="Arial" w:cs="Arial"/>
                <w:lang w:val="de-DE"/>
              </w:rPr>
            </w:pPr>
            <w:r w:rsidRPr="00E559E6">
              <w:rPr>
                <w:rFonts w:ascii="Arial" w:hAnsi="Arial" w:cs="Arial"/>
              </w:rPr>
              <w:t>advanced</w:t>
            </w:r>
          </w:p>
        </w:tc>
      </w:tr>
      <w:tr w:rsidR="002A03E4" w:rsidRPr="00E559E6" w:rsidTr="006F5473">
        <w:tc>
          <w:tcPr>
            <w:tcW w:w="4606" w:type="dxa"/>
            <w:shd w:val="clear" w:color="auto" w:fill="auto"/>
            <w:hideMark/>
          </w:tcPr>
          <w:p w:rsidR="002A03E4" w:rsidRPr="00E559E6" w:rsidRDefault="002A03E4" w:rsidP="006F5473">
            <w:pPr>
              <w:rPr>
                <w:rFonts w:ascii="Arial" w:hAnsi="Arial" w:cs="Arial"/>
                <w:lang w:val="en-GB"/>
              </w:rPr>
            </w:pPr>
            <w:r w:rsidRPr="00E559E6">
              <w:rPr>
                <w:rFonts w:ascii="Arial" w:hAnsi="Arial" w:cs="Arial"/>
                <w:lang w:val="en-GB"/>
              </w:rPr>
              <w:t>N=0  / missing  AND  M=missing</w:t>
            </w:r>
          </w:p>
        </w:tc>
        <w:tc>
          <w:tcPr>
            <w:tcW w:w="4606" w:type="dxa"/>
            <w:shd w:val="clear" w:color="auto" w:fill="auto"/>
            <w:hideMark/>
          </w:tcPr>
          <w:p w:rsidR="002A03E4" w:rsidRPr="00E559E6" w:rsidRDefault="002A03E4" w:rsidP="006F5473">
            <w:pPr>
              <w:rPr>
                <w:rFonts w:ascii="Arial" w:hAnsi="Arial" w:cs="Arial"/>
                <w:lang w:val="en-GB"/>
              </w:rPr>
            </w:pPr>
            <w:r w:rsidRPr="00E559E6">
              <w:rPr>
                <w:rFonts w:ascii="Arial" w:hAnsi="Arial" w:cs="Arial"/>
                <w:lang w:val="en-GB"/>
              </w:rPr>
              <w:t>not classifiable</w:t>
            </w:r>
          </w:p>
        </w:tc>
      </w:tr>
      <w:tr w:rsidR="002A03E4" w:rsidRPr="00E559E6" w:rsidTr="006F5473">
        <w:tc>
          <w:tcPr>
            <w:tcW w:w="4606" w:type="dxa"/>
            <w:shd w:val="clear" w:color="auto" w:fill="F2F2F2" w:themeFill="background1" w:themeFillShade="F2"/>
            <w:hideMark/>
          </w:tcPr>
          <w:p w:rsidR="002A03E4" w:rsidRPr="00E559E6" w:rsidRDefault="002A03E4" w:rsidP="006F5473">
            <w:pPr>
              <w:rPr>
                <w:rFonts w:ascii="Arial" w:hAnsi="Arial" w:cs="Arial"/>
                <w:lang w:val="en-GB"/>
              </w:rPr>
            </w:pPr>
            <w:r w:rsidRPr="00E559E6">
              <w:rPr>
                <w:rFonts w:ascii="Arial" w:hAnsi="Arial" w:cs="Arial"/>
                <w:lang w:val="en-GB"/>
              </w:rPr>
              <w:t>N=missing AND M=0</w:t>
            </w:r>
          </w:p>
        </w:tc>
        <w:tc>
          <w:tcPr>
            <w:tcW w:w="4606" w:type="dxa"/>
            <w:shd w:val="clear" w:color="auto" w:fill="F2F2F2" w:themeFill="background1" w:themeFillShade="F2"/>
            <w:hideMark/>
          </w:tcPr>
          <w:p w:rsidR="002A03E4" w:rsidRPr="00E559E6" w:rsidRDefault="002A03E4" w:rsidP="006F5473">
            <w:pPr>
              <w:rPr>
                <w:rFonts w:ascii="Arial" w:hAnsi="Arial" w:cs="Arial"/>
                <w:lang w:val="en-GB"/>
              </w:rPr>
            </w:pPr>
            <w:r w:rsidRPr="00E559E6">
              <w:rPr>
                <w:rFonts w:ascii="Arial" w:hAnsi="Arial" w:cs="Arial"/>
                <w:lang w:val="en-GB"/>
              </w:rPr>
              <w:t>not classifiable</w:t>
            </w:r>
          </w:p>
        </w:tc>
      </w:tr>
      <w:tr w:rsidR="002A03E4" w:rsidRPr="00E559E6" w:rsidTr="006F5473">
        <w:tc>
          <w:tcPr>
            <w:tcW w:w="4606" w:type="dxa"/>
            <w:shd w:val="clear" w:color="auto" w:fill="auto"/>
            <w:hideMark/>
          </w:tcPr>
          <w:p w:rsidR="002A03E4" w:rsidRPr="00E559E6" w:rsidRDefault="002A03E4" w:rsidP="006F5473">
            <w:pPr>
              <w:rPr>
                <w:rFonts w:ascii="Arial" w:hAnsi="Arial" w:cs="Arial"/>
                <w:lang w:val="en-GB"/>
              </w:rPr>
            </w:pPr>
            <w:r w:rsidRPr="00E559E6">
              <w:rPr>
                <w:rFonts w:ascii="Arial" w:hAnsi="Arial" w:cs="Arial"/>
                <w:lang w:val="en-GB"/>
              </w:rPr>
              <w:t>All others</w:t>
            </w:r>
          </w:p>
        </w:tc>
        <w:tc>
          <w:tcPr>
            <w:tcW w:w="4606" w:type="dxa"/>
            <w:shd w:val="clear" w:color="auto" w:fill="auto"/>
            <w:hideMark/>
          </w:tcPr>
          <w:p w:rsidR="002A03E4" w:rsidRPr="00E559E6" w:rsidRDefault="002A03E4" w:rsidP="006F5473">
            <w:pPr>
              <w:rPr>
                <w:rFonts w:ascii="Arial" w:hAnsi="Arial" w:cs="Arial"/>
                <w:lang w:val="en-GB"/>
              </w:rPr>
            </w:pPr>
            <w:r w:rsidRPr="00E559E6">
              <w:rPr>
                <w:rFonts w:ascii="Arial" w:hAnsi="Arial" w:cs="Arial"/>
                <w:lang w:val="en-GB"/>
              </w:rPr>
              <w:t>non-advanced</w:t>
            </w:r>
          </w:p>
        </w:tc>
      </w:tr>
    </w:tbl>
    <w:p w:rsidR="00EA08F3" w:rsidRDefault="00EA08F3" w:rsidP="002A03E4">
      <w:pPr>
        <w:spacing w:after="0" w:line="480" w:lineRule="auto"/>
        <w:rPr>
          <w:rFonts w:ascii="Arial" w:hAnsi="Arial" w:cs="Arial"/>
        </w:rPr>
      </w:pPr>
    </w:p>
    <w:p w:rsidR="002A03E4" w:rsidRPr="00E559E6" w:rsidRDefault="002A03E4" w:rsidP="002A03E4">
      <w:pPr>
        <w:spacing w:after="0" w:line="480" w:lineRule="auto"/>
      </w:pPr>
      <w:r w:rsidRPr="00E559E6">
        <w:rPr>
          <w:rFonts w:ascii="Arial" w:hAnsi="Arial" w:cs="Arial"/>
        </w:rPr>
        <w:t>The proportions of CRCs that were not classifiable according to this algorithm were as follows (per calendar year):</w:t>
      </w:r>
    </w:p>
    <w:tbl>
      <w:tblPr>
        <w:tblStyle w:val="Tabellenraster"/>
        <w:tblW w:w="9571" w:type="dxa"/>
        <w:tblLayout w:type="fixed"/>
        <w:tblLook w:val="0420" w:firstRow="1" w:lastRow="0" w:firstColumn="0" w:lastColumn="0" w:noHBand="0" w:noVBand="1"/>
      </w:tblPr>
      <w:tblGrid>
        <w:gridCol w:w="1367"/>
        <w:gridCol w:w="1367"/>
        <w:gridCol w:w="1367"/>
        <w:gridCol w:w="1367"/>
        <w:gridCol w:w="1367"/>
        <w:gridCol w:w="1367"/>
        <w:gridCol w:w="1369"/>
      </w:tblGrid>
      <w:tr w:rsidR="002A03E4" w:rsidRPr="00E559E6" w:rsidTr="006F5473">
        <w:trPr>
          <w:trHeight w:val="384"/>
        </w:trPr>
        <w:tc>
          <w:tcPr>
            <w:tcW w:w="1367" w:type="dxa"/>
            <w:shd w:val="clear" w:color="auto" w:fill="F2F2F2" w:themeFill="background1" w:themeFillShade="F2"/>
          </w:tcPr>
          <w:p w:rsidR="002A03E4" w:rsidRPr="00E559E6" w:rsidRDefault="002A03E4" w:rsidP="006F5473">
            <w:pPr>
              <w:spacing w:before="120"/>
              <w:jc w:val="center"/>
              <w:rPr>
                <w:rFonts w:ascii="Arial" w:eastAsia="Times New Roman" w:hAnsi="Arial" w:cs="Arial"/>
                <w:b/>
                <w:color w:val="000000"/>
                <w:szCs w:val="20"/>
              </w:rPr>
            </w:pPr>
            <w:r w:rsidRPr="00E559E6">
              <w:rPr>
                <w:rFonts w:ascii="Arial" w:eastAsia="Times New Roman" w:hAnsi="Arial" w:cs="Arial"/>
                <w:b/>
                <w:color w:val="000000"/>
                <w:szCs w:val="20"/>
              </w:rPr>
              <w:t>2008</w:t>
            </w:r>
          </w:p>
        </w:tc>
        <w:tc>
          <w:tcPr>
            <w:tcW w:w="1367" w:type="dxa"/>
            <w:shd w:val="clear" w:color="auto" w:fill="F2F2F2" w:themeFill="background1" w:themeFillShade="F2"/>
          </w:tcPr>
          <w:p w:rsidR="002A03E4" w:rsidRPr="00E559E6" w:rsidRDefault="002A03E4" w:rsidP="006F5473">
            <w:pPr>
              <w:spacing w:before="120"/>
              <w:jc w:val="center"/>
              <w:rPr>
                <w:rFonts w:ascii="Arial" w:eastAsia="Times New Roman" w:hAnsi="Arial" w:cs="Arial"/>
                <w:b/>
                <w:color w:val="000000"/>
                <w:szCs w:val="20"/>
              </w:rPr>
            </w:pPr>
            <w:r w:rsidRPr="00E559E6">
              <w:rPr>
                <w:rFonts w:ascii="Arial" w:eastAsia="Times New Roman" w:hAnsi="Arial" w:cs="Arial"/>
                <w:b/>
                <w:color w:val="000000"/>
                <w:szCs w:val="20"/>
              </w:rPr>
              <w:t>2009</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szCs w:val="20"/>
              </w:rPr>
            </w:pPr>
            <w:r w:rsidRPr="00E559E6">
              <w:rPr>
                <w:rFonts w:ascii="Arial" w:eastAsia="Times New Roman" w:hAnsi="Arial" w:cs="Arial"/>
                <w:b/>
                <w:color w:val="000000"/>
                <w:szCs w:val="20"/>
              </w:rPr>
              <w:t>2010</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szCs w:val="20"/>
              </w:rPr>
            </w:pPr>
            <w:r w:rsidRPr="00E559E6">
              <w:rPr>
                <w:rFonts w:ascii="Arial" w:eastAsia="Times New Roman" w:hAnsi="Arial" w:cs="Arial"/>
                <w:b/>
                <w:color w:val="000000"/>
                <w:szCs w:val="20"/>
              </w:rPr>
              <w:t>2011</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szCs w:val="20"/>
              </w:rPr>
            </w:pPr>
            <w:r w:rsidRPr="00E559E6">
              <w:rPr>
                <w:rFonts w:ascii="Arial" w:eastAsia="Times New Roman" w:hAnsi="Arial" w:cs="Arial"/>
                <w:b/>
                <w:color w:val="000000"/>
                <w:szCs w:val="20"/>
              </w:rPr>
              <w:t>2012</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szCs w:val="20"/>
              </w:rPr>
            </w:pPr>
            <w:r w:rsidRPr="00E559E6">
              <w:rPr>
                <w:rFonts w:ascii="Arial" w:eastAsia="Times New Roman" w:hAnsi="Arial" w:cs="Arial"/>
                <w:b/>
                <w:color w:val="000000"/>
                <w:szCs w:val="20"/>
              </w:rPr>
              <w:t>2013</w:t>
            </w:r>
          </w:p>
        </w:tc>
        <w:tc>
          <w:tcPr>
            <w:tcW w:w="1369"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szCs w:val="20"/>
              </w:rPr>
            </w:pPr>
            <w:r w:rsidRPr="00E559E6">
              <w:rPr>
                <w:rFonts w:ascii="Arial" w:eastAsia="Times New Roman" w:hAnsi="Arial" w:cs="Arial"/>
                <w:b/>
                <w:color w:val="000000"/>
                <w:szCs w:val="20"/>
              </w:rPr>
              <w:t>2014</w:t>
            </w:r>
          </w:p>
        </w:tc>
      </w:tr>
      <w:tr w:rsidR="002A03E4" w:rsidRPr="00E559E6" w:rsidTr="006F5473">
        <w:trPr>
          <w:trHeight w:val="384"/>
        </w:trPr>
        <w:tc>
          <w:tcPr>
            <w:tcW w:w="1367" w:type="dxa"/>
            <w:shd w:val="clear" w:color="auto" w:fill="FFFFFF" w:themeFill="background1"/>
          </w:tcPr>
          <w:p w:rsidR="002A03E4" w:rsidRPr="00E559E6" w:rsidRDefault="002A03E4" w:rsidP="006F5473">
            <w:pPr>
              <w:spacing w:before="120"/>
              <w:jc w:val="center"/>
              <w:rPr>
                <w:rFonts w:ascii="Arial" w:eastAsia="Times New Roman" w:hAnsi="Arial" w:cs="Arial"/>
                <w:color w:val="000000"/>
                <w:szCs w:val="20"/>
              </w:rPr>
            </w:pPr>
            <w:r w:rsidRPr="00E559E6">
              <w:rPr>
                <w:rFonts w:ascii="Arial" w:eastAsia="Times New Roman" w:hAnsi="Arial" w:cs="Arial"/>
                <w:color w:val="000000"/>
                <w:szCs w:val="20"/>
              </w:rPr>
              <w:t>35.2%</w:t>
            </w:r>
          </w:p>
        </w:tc>
        <w:tc>
          <w:tcPr>
            <w:tcW w:w="1367" w:type="dxa"/>
            <w:shd w:val="clear" w:color="auto" w:fill="FFFFFF" w:themeFill="background1"/>
          </w:tcPr>
          <w:p w:rsidR="002A03E4" w:rsidRPr="00E559E6" w:rsidRDefault="002A03E4" w:rsidP="006F5473">
            <w:pPr>
              <w:spacing w:before="120"/>
              <w:jc w:val="center"/>
              <w:rPr>
                <w:rFonts w:ascii="Arial" w:eastAsia="Times New Roman" w:hAnsi="Arial" w:cs="Arial"/>
                <w:color w:val="000000"/>
                <w:szCs w:val="20"/>
              </w:rPr>
            </w:pPr>
            <w:r w:rsidRPr="00E559E6">
              <w:rPr>
                <w:rFonts w:ascii="Arial" w:eastAsia="Times New Roman" w:hAnsi="Arial" w:cs="Arial"/>
                <w:color w:val="000000"/>
                <w:szCs w:val="20"/>
              </w:rPr>
              <w:t>34.3%</w:t>
            </w:r>
          </w:p>
        </w:tc>
        <w:tc>
          <w:tcPr>
            <w:tcW w:w="1367" w:type="dxa"/>
            <w:shd w:val="clear" w:color="auto" w:fill="FFFFFF" w:themeFill="background1"/>
            <w:noWrap/>
            <w:hideMark/>
          </w:tcPr>
          <w:p w:rsidR="002A03E4" w:rsidRPr="00E559E6" w:rsidRDefault="002A03E4" w:rsidP="006F5473">
            <w:pPr>
              <w:spacing w:before="120"/>
              <w:jc w:val="center"/>
              <w:rPr>
                <w:rFonts w:ascii="Arial" w:eastAsia="Times New Roman" w:hAnsi="Arial" w:cs="Arial"/>
                <w:color w:val="000000"/>
                <w:szCs w:val="20"/>
              </w:rPr>
            </w:pPr>
            <w:r w:rsidRPr="00E559E6">
              <w:rPr>
                <w:rFonts w:ascii="Arial" w:eastAsia="Times New Roman" w:hAnsi="Arial" w:cs="Arial"/>
                <w:color w:val="000000"/>
                <w:szCs w:val="20"/>
              </w:rPr>
              <w:t>32.3%</w:t>
            </w:r>
          </w:p>
        </w:tc>
        <w:tc>
          <w:tcPr>
            <w:tcW w:w="1367" w:type="dxa"/>
            <w:shd w:val="clear" w:color="auto" w:fill="FFFFFF" w:themeFill="background1"/>
            <w:noWrap/>
            <w:hideMark/>
          </w:tcPr>
          <w:p w:rsidR="002A03E4" w:rsidRPr="00E559E6" w:rsidRDefault="002A03E4" w:rsidP="006F5473">
            <w:pPr>
              <w:spacing w:before="120"/>
              <w:jc w:val="center"/>
              <w:rPr>
                <w:rFonts w:ascii="Arial" w:eastAsia="Times New Roman" w:hAnsi="Arial" w:cs="Arial"/>
                <w:color w:val="000000"/>
                <w:szCs w:val="20"/>
              </w:rPr>
            </w:pPr>
            <w:r w:rsidRPr="00E559E6">
              <w:rPr>
                <w:rFonts w:ascii="Arial" w:eastAsia="Times New Roman" w:hAnsi="Arial" w:cs="Arial"/>
                <w:color w:val="000000"/>
                <w:szCs w:val="20"/>
              </w:rPr>
              <w:t>29.2%</w:t>
            </w:r>
          </w:p>
        </w:tc>
        <w:tc>
          <w:tcPr>
            <w:tcW w:w="1367" w:type="dxa"/>
            <w:shd w:val="clear" w:color="auto" w:fill="FFFFFF" w:themeFill="background1"/>
            <w:noWrap/>
            <w:hideMark/>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28.8</w:t>
            </w:r>
            <w:r w:rsidRPr="00E559E6">
              <w:rPr>
                <w:rFonts w:ascii="Arial" w:eastAsia="Times New Roman" w:hAnsi="Arial" w:cs="Arial"/>
                <w:color w:val="000000"/>
                <w:szCs w:val="20"/>
              </w:rPr>
              <w:t>%</w:t>
            </w:r>
          </w:p>
        </w:tc>
        <w:tc>
          <w:tcPr>
            <w:tcW w:w="1367" w:type="dxa"/>
            <w:shd w:val="clear" w:color="auto" w:fill="FFFFFF" w:themeFill="background1"/>
            <w:noWrap/>
            <w:hideMark/>
          </w:tcPr>
          <w:p w:rsidR="002A03E4" w:rsidRPr="00E559E6" w:rsidRDefault="002A03E4" w:rsidP="006F5473">
            <w:pPr>
              <w:spacing w:before="120"/>
              <w:jc w:val="center"/>
              <w:rPr>
                <w:rFonts w:ascii="Arial" w:eastAsia="Times New Roman" w:hAnsi="Arial" w:cs="Arial"/>
                <w:color w:val="000000"/>
                <w:szCs w:val="20"/>
              </w:rPr>
            </w:pPr>
            <w:r w:rsidRPr="00E559E6">
              <w:rPr>
                <w:rFonts w:ascii="Arial" w:eastAsia="Times New Roman" w:hAnsi="Arial" w:cs="Arial"/>
                <w:color w:val="000000"/>
                <w:szCs w:val="20"/>
              </w:rPr>
              <w:t>2</w:t>
            </w:r>
            <w:r>
              <w:rPr>
                <w:rFonts w:ascii="Arial" w:eastAsia="Times New Roman" w:hAnsi="Arial" w:cs="Arial"/>
                <w:color w:val="000000"/>
                <w:szCs w:val="20"/>
              </w:rPr>
              <w:t>6.9</w:t>
            </w:r>
            <w:r w:rsidRPr="00E559E6">
              <w:rPr>
                <w:rFonts w:ascii="Arial" w:eastAsia="Times New Roman" w:hAnsi="Arial" w:cs="Arial"/>
                <w:color w:val="000000"/>
                <w:szCs w:val="20"/>
              </w:rPr>
              <w:t>%</w:t>
            </w:r>
          </w:p>
        </w:tc>
        <w:tc>
          <w:tcPr>
            <w:tcW w:w="1369" w:type="dxa"/>
            <w:shd w:val="clear" w:color="auto" w:fill="FFFFFF" w:themeFill="background1"/>
            <w:noWrap/>
            <w:hideMark/>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28.6</w:t>
            </w:r>
            <w:r w:rsidRPr="00E559E6">
              <w:rPr>
                <w:rFonts w:ascii="Arial" w:eastAsia="Times New Roman" w:hAnsi="Arial" w:cs="Arial"/>
                <w:color w:val="000000"/>
                <w:szCs w:val="20"/>
              </w:rPr>
              <w:t>%</w:t>
            </w:r>
          </w:p>
        </w:tc>
      </w:tr>
    </w:tbl>
    <w:p w:rsidR="002A03E4" w:rsidRPr="00E559E6" w:rsidRDefault="002A03E4" w:rsidP="002A03E4">
      <w:pPr>
        <w:spacing w:before="240" w:line="480" w:lineRule="auto"/>
        <w:rPr>
          <w:rFonts w:ascii="Arial" w:hAnsi="Arial" w:cs="Arial"/>
        </w:rPr>
      </w:pPr>
      <w:r w:rsidRPr="00E559E6">
        <w:rPr>
          <w:rFonts w:ascii="Arial" w:hAnsi="Arial" w:cs="Arial"/>
        </w:rPr>
        <w:t xml:space="preserve">To explore whether it is plausible that the not classifiable CRCs tend to be non-advanced, we conducted additional analyses where we calculated ASIRs for non-advanced CRCs based on </w:t>
      </w:r>
      <w:proofErr w:type="spellStart"/>
      <w:r w:rsidRPr="00E559E6">
        <w:rPr>
          <w:rFonts w:ascii="Arial" w:hAnsi="Arial" w:cs="Arial"/>
        </w:rPr>
        <w:t>ZfKD</w:t>
      </w:r>
      <w:proofErr w:type="spellEnd"/>
      <w:r w:rsidRPr="00E559E6">
        <w:rPr>
          <w:rFonts w:ascii="Arial" w:hAnsi="Arial" w:cs="Arial"/>
        </w:rPr>
        <w:t xml:space="preserve"> data with and without consideration of not classifiable CRCs and compared these ASIRs to the ASIRs of non-advanced CRCs determined based on GePaRD. The results of these additional analyses are shown in </w:t>
      </w:r>
      <w:r>
        <w:rPr>
          <w:rFonts w:ascii="Arial" w:hAnsi="Arial" w:cs="Arial"/>
        </w:rPr>
        <w:t>Additional file</w:t>
      </w:r>
      <w:r w:rsidRPr="00E559E6">
        <w:rPr>
          <w:rFonts w:ascii="Arial" w:hAnsi="Arial" w:cs="Arial"/>
        </w:rPr>
        <w:t xml:space="preserve"> 3.</w:t>
      </w:r>
    </w:p>
    <w:p w:rsidR="002A03E4" w:rsidRPr="00E559E6" w:rsidRDefault="002A03E4" w:rsidP="002A03E4">
      <w:pPr>
        <w:spacing w:line="480" w:lineRule="auto"/>
        <w:rPr>
          <w:rFonts w:ascii="Arial" w:hAnsi="Arial" w:cs="Arial"/>
        </w:rPr>
      </w:pPr>
      <w:r w:rsidRPr="00E559E6">
        <w:rPr>
          <w:rFonts w:ascii="Arial" w:hAnsi="Arial" w:cs="Arial"/>
        </w:rPr>
        <w:t>Among the CRCs that were classified as “advanced”, those with “N=1 AND M=missing” could not further be stratified by UICC stage III vs. IV. The proportions of these advanced CRCs that could not be stratified by UICC stage III vs. IV were as follows (per calendar year; with all CRCs classified as “advanced” in the denominator):</w:t>
      </w:r>
    </w:p>
    <w:tbl>
      <w:tblPr>
        <w:tblStyle w:val="Tabellenraster"/>
        <w:tblW w:w="9571" w:type="dxa"/>
        <w:tblLayout w:type="fixed"/>
        <w:tblLook w:val="0420" w:firstRow="1" w:lastRow="0" w:firstColumn="0" w:lastColumn="0" w:noHBand="0" w:noVBand="1"/>
      </w:tblPr>
      <w:tblGrid>
        <w:gridCol w:w="1367"/>
        <w:gridCol w:w="1367"/>
        <w:gridCol w:w="1367"/>
        <w:gridCol w:w="1367"/>
        <w:gridCol w:w="1367"/>
        <w:gridCol w:w="1367"/>
        <w:gridCol w:w="1369"/>
      </w:tblGrid>
      <w:tr w:rsidR="002A03E4" w:rsidRPr="00E559E6" w:rsidTr="006F5473">
        <w:trPr>
          <w:trHeight w:val="384"/>
        </w:trPr>
        <w:tc>
          <w:tcPr>
            <w:tcW w:w="1367" w:type="dxa"/>
            <w:shd w:val="clear" w:color="auto" w:fill="F2F2F2" w:themeFill="background1" w:themeFillShade="F2"/>
          </w:tcPr>
          <w:p w:rsidR="002A03E4" w:rsidRPr="00E559E6" w:rsidRDefault="002A03E4" w:rsidP="006F5473">
            <w:pPr>
              <w:spacing w:before="120"/>
              <w:jc w:val="center"/>
              <w:rPr>
                <w:rFonts w:ascii="Arial" w:eastAsia="Times New Roman" w:hAnsi="Arial" w:cs="Arial"/>
                <w:b/>
                <w:color w:val="000000"/>
              </w:rPr>
            </w:pPr>
            <w:r w:rsidRPr="00E559E6">
              <w:rPr>
                <w:rFonts w:ascii="Arial" w:eastAsia="Times New Roman" w:hAnsi="Arial" w:cs="Arial"/>
                <w:b/>
                <w:color w:val="000000"/>
              </w:rPr>
              <w:t>2008</w:t>
            </w:r>
          </w:p>
        </w:tc>
        <w:tc>
          <w:tcPr>
            <w:tcW w:w="1367" w:type="dxa"/>
            <w:shd w:val="clear" w:color="auto" w:fill="F2F2F2" w:themeFill="background1" w:themeFillShade="F2"/>
          </w:tcPr>
          <w:p w:rsidR="002A03E4" w:rsidRPr="00E559E6" w:rsidRDefault="002A03E4" w:rsidP="006F5473">
            <w:pPr>
              <w:spacing w:before="120"/>
              <w:jc w:val="center"/>
              <w:rPr>
                <w:rFonts w:ascii="Arial" w:eastAsia="Times New Roman" w:hAnsi="Arial" w:cs="Arial"/>
                <w:b/>
                <w:color w:val="000000"/>
              </w:rPr>
            </w:pPr>
            <w:r w:rsidRPr="00E559E6">
              <w:rPr>
                <w:rFonts w:ascii="Arial" w:eastAsia="Times New Roman" w:hAnsi="Arial" w:cs="Arial"/>
                <w:b/>
                <w:color w:val="000000"/>
              </w:rPr>
              <w:t>2009</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rPr>
            </w:pPr>
            <w:r w:rsidRPr="00E559E6">
              <w:rPr>
                <w:rFonts w:ascii="Arial" w:eastAsia="Times New Roman" w:hAnsi="Arial" w:cs="Arial"/>
                <w:b/>
                <w:color w:val="000000"/>
              </w:rPr>
              <w:t>2010</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rPr>
            </w:pPr>
            <w:r w:rsidRPr="00E559E6">
              <w:rPr>
                <w:rFonts w:ascii="Arial" w:eastAsia="Times New Roman" w:hAnsi="Arial" w:cs="Arial"/>
                <w:b/>
                <w:color w:val="000000"/>
              </w:rPr>
              <w:t>2011</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rPr>
            </w:pPr>
            <w:r w:rsidRPr="00E559E6">
              <w:rPr>
                <w:rFonts w:ascii="Arial" w:eastAsia="Times New Roman" w:hAnsi="Arial" w:cs="Arial"/>
                <w:b/>
                <w:color w:val="000000"/>
              </w:rPr>
              <w:t>2012</w:t>
            </w:r>
          </w:p>
        </w:tc>
        <w:tc>
          <w:tcPr>
            <w:tcW w:w="1367"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rPr>
            </w:pPr>
            <w:r w:rsidRPr="00E559E6">
              <w:rPr>
                <w:rFonts w:ascii="Arial" w:eastAsia="Times New Roman" w:hAnsi="Arial" w:cs="Arial"/>
                <w:b/>
                <w:color w:val="000000"/>
              </w:rPr>
              <w:t>2013</w:t>
            </w:r>
          </w:p>
        </w:tc>
        <w:tc>
          <w:tcPr>
            <w:tcW w:w="1369" w:type="dxa"/>
            <w:shd w:val="clear" w:color="auto" w:fill="F2F2F2" w:themeFill="background1" w:themeFillShade="F2"/>
            <w:noWrap/>
            <w:hideMark/>
          </w:tcPr>
          <w:p w:rsidR="002A03E4" w:rsidRPr="00E559E6" w:rsidRDefault="002A03E4" w:rsidP="006F5473">
            <w:pPr>
              <w:spacing w:before="120"/>
              <w:jc w:val="center"/>
              <w:rPr>
                <w:rFonts w:ascii="Arial" w:eastAsia="Times New Roman" w:hAnsi="Arial" w:cs="Arial"/>
                <w:b/>
                <w:color w:val="000000"/>
              </w:rPr>
            </w:pPr>
            <w:r w:rsidRPr="00E559E6">
              <w:rPr>
                <w:rFonts w:ascii="Arial" w:eastAsia="Times New Roman" w:hAnsi="Arial" w:cs="Arial"/>
                <w:b/>
                <w:color w:val="000000"/>
              </w:rPr>
              <w:t>2014</w:t>
            </w:r>
          </w:p>
        </w:tc>
      </w:tr>
      <w:tr w:rsidR="002A03E4" w:rsidRPr="00E559E6" w:rsidTr="006F5473">
        <w:trPr>
          <w:trHeight w:val="384"/>
        </w:trPr>
        <w:tc>
          <w:tcPr>
            <w:tcW w:w="1367" w:type="dxa"/>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17.01</w:t>
            </w:r>
            <w:r w:rsidRPr="00E559E6">
              <w:rPr>
                <w:rFonts w:ascii="Arial" w:eastAsia="Times New Roman" w:hAnsi="Arial" w:cs="Arial"/>
                <w:color w:val="000000"/>
                <w:szCs w:val="20"/>
              </w:rPr>
              <w:t>%</w:t>
            </w:r>
          </w:p>
        </w:tc>
        <w:tc>
          <w:tcPr>
            <w:tcW w:w="1367" w:type="dxa"/>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15.81</w:t>
            </w:r>
            <w:r w:rsidRPr="00E559E6">
              <w:rPr>
                <w:rFonts w:ascii="Arial" w:eastAsia="Times New Roman" w:hAnsi="Arial" w:cs="Arial"/>
                <w:color w:val="000000"/>
                <w:szCs w:val="20"/>
              </w:rPr>
              <w:t>%</w:t>
            </w:r>
          </w:p>
        </w:tc>
        <w:tc>
          <w:tcPr>
            <w:tcW w:w="1367" w:type="dxa"/>
            <w:noWrap/>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11.46</w:t>
            </w:r>
            <w:r w:rsidRPr="00E559E6">
              <w:rPr>
                <w:rFonts w:ascii="Arial" w:eastAsia="Times New Roman" w:hAnsi="Arial" w:cs="Arial"/>
                <w:color w:val="000000"/>
                <w:szCs w:val="20"/>
              </w:rPr>
              <w:t>%</w:t>
            </w:r>
          </w:p>
        </w:tc>
        <w:tc>
          <w:tcPr>
            <w:tcW w:w="1367" w:type="dxa"/>
            <w:noWrap/>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9.07</w:t>
            </w:r>
            <w:r w:rsidRPr="00E559E6">
              <w:rPr>
                <w:rFonts w:ascii="Arial" w:eastAsia="Times New Roman" w:hAnsi="Arial" w:cs="Arial"/>
                <w:color w:val="000000"/>
                <w:szCs w:val="20"/>
              </w:rPr>
              <w:t>%</w:t>
            </w:r>
          </w:p>
        </w:tc>
        <w:tc>
          <w:tcPr>
            <w:tcW w:w="1367" w:type="dxa"/>
            <w:noWrap/>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9.00</w:t>
            </w:r>
            <w:r w:rsidRPr="00E559E6">
              <w:rPr>
                <w:rFonts w:ascii="Arial" w:eastAsia="Times New Roman" w:hAnsi="Arial" w:cs="Arial"/>
                <w:color w:val="000000"/>
                <w:szCs w:val="20"/>
              </w:rPr>
              <w:t>%</w:t>
            </w:r>
          </w:p>
        </w:tc>
        <w:tc>
          <w:tcPr>
            <w:tcW w:w="1367" w:type="dxa"/>
            <w:noWrap/>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7.28</w:t>
            </w:r>
            <w:r w:rsidRPr="00E559E6">
              <w:rPr>
                <w:rFonts w:ascii="Arial" w:eastAsia="Times New Roman" w:hAnsi="Arial" w:cs="Arial"/>
                <w:color w:val="000000"/>
                <w:szCs w:val="20"/>
              </w:rPr>
              <w:t>%</w:t>
            </w:r>
          </w:p>
        </w:tc>
        <w:tc>
          <w:tcPr>
            <w:tcW w:w="1369" w:type="dxa"/>
            <w:noWrap/>
          </w:tcPr>
          <w:p w:rsidR="002A03E4" w:rsidRPr="00E559E6" w:rsidRDefault="002A03E4" w:rsidP="006F5473">
            <w:pPr>
              <w:spacing w:before="120"/>
              <w:jc w:val="center"/>
              <w:rPr>
                <w:rFonts w:ascii="Arial" w:eastAsia="Times New Roman" w:hAnsi="Arial" w:cs="Arial"/>
                <w:color w:val="000000"/>
                <w:szCs w:val="20"/>
              </w:rPr>
            </w:pPr>
            <w:r>
              <w:rPr>
                <w:rFonts w:ascii="Arial" w:eastAsia="Times New Roman" w:hAnsi="Arial" w:cs="Arial"/>
                <w:color w:val="000000"/>
                <w:szCs w:val="20"/>
              </w:rPr>
              <w:t>7.41</w:t>
            </w:r>
            <w:r w:rsidRPr="00E559E6">
              <w:rPr>
                <w:rFonts w:ascii="Arial" w:eastAsia="Times New Roman" w:hAnsi="Arial" w:cs="Arial"/>
                <w:color w:val="000000"/>
                <w:szCs w:val="20"/>
              </w:rPr>
              <w:t>%</w:t>
            </w:r>
          </w:p>
        </w:tc>
      </w:tr>
    </w:tbl>
    <w:p w:rsidR="00BA22BB" w:rsidRPr="002A03E4" w:rsidRDefault="002A03E4" w:rsidP="00EA08F3">
      <w:pPr>
        <w:spacing w:before="240" w:line="480" w:lineRule="auto"/>
        <w:rPr>
          <w:rFonts w:ascii="Arial" w:hAnsi="Arial" w:cs="Arial"/>
        </w:rPr>
      </w:pPr>
      <w:r w:rsidRPr="00E559E6">
        <w:rPr>
          <w:rFonts w:ascii="Arial" w:hAnsi="Arial" w:cs="Arial"/>
        </w:rPr>
        <w:t xml:space="preserve">In the base-case analyses, we assumed that these CRCs were UICC III (i.e. that no distant metastasis were present). We conducted sensitivity analyses based on the extreme assumption that these CRCs were </w:t>
      </w:r>
      <w:r w:rsidR="000C3689">
        <w:rPr>
          <w:rFonts w:ascii="Arial" w:hAnsi="Arial" w:cs="Arial"/>
        </w:rPr>
        <w:t xml:space="preserve">exclusively </w:t>
      </w:r>
      <w:bookmarkStart w:id="0" w:name="_GoBack"/>
      <w:bookmarkEnd w:id="0"/>
      <w:r w:rsidRPr="00E559E6">
        <w:rPr>
          <w:rFonts w:ascii="Arial" w:hAnsi="Arial" w:cs="Arial"/>
        </w:rPr>
        <w:t xml:space="preserve">UICC IV. The results of these sensitivity analyses are shown in </w:t>
      </w:r>
      <w:r>
        <w:rPr>
          <w:rFonts w:ascii="Arial" w:hAnsi="Arial" w:cs="Arial"/>
        </w:rPr>
        <w:t>Additional file</w:t>
      </w:r>
      <w:r w:rsidRPr="00E559E6">
        <w:rPr>
          <w:rFonts w:ascii="Arial" w:hAnsi="Arial" w:cs="Arial"/>
        </w:rPr>
        <w:t xml:space="preserve"> 4.</w:t>
      </w:r>
    </w:p>
    <w:sectPr w:rsidR="00BA22BB" w:rsidRPr="002A03E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E4"/>
    <w:rsid w:val="000C3689"/>
    <w:rsid w:val="002A03E4"/>
    <w:rsid w:val="007B4DF0"/>
    <w:rsid w:val="00837041"/>
    <w:rsid w:val="00EA08F3"/>
    <w:rsid w:val="00EE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3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A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3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A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Oppelt</dc:creator>
  <cp:lastModifiedBy>Ulrike Haug</cp:lastModifiedBy>
  <cp:revision>3</cp:revision>
  <dcterms:created xsi:type="dcterms:W3CDTF">2019-03-12T12:40:00Z</dcterms:created>
  <dcterms:modified xsi:type="dcterms:W3CDTF">2019-06-14T11:26:00Z</dcterms:modified>
</cp:coreProperties>
</file>