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A41EC" w14:textId="385AEE63" w:rsidR="00737925" w:rsidRPr="005C466D" w:rsidRDefault="00737925" w:rsidP="00737925">
      <w:pPr>
        <w:widowControl w:val="0"/>
        <w:autoSpaceDE w:val="0"/>
        <w:autoSpaceDN w:val="0"/>
        <w:adjustRightInd w:val="0"/>
        <w:spacing w:after="0" w:line="360" w:lineRule="auto"/>
        <w:ind w:left="640" w:hanging="640"/>
        <w:outlineLvl w:val="0"/>
        <w:rPr>
          <w:rFonts w:ascii="Garamond" w:hAnsi="Garamond"/>
          <w:b/>
          <w:color w:val="000000"/>
        </w:rPr>
      </w:pPr>
      <w:r>
        <w:rPr>
          <w:rFonts w:ascii="Garamond" w:hAnsi="Garamond"/>
          <w:b/>
        </w:rPr>
        <w:t>Additional file</w:t>
      </w:r>
      <w:r w:rsidRPr="005C466D">
        <w:rPr>
          <w:rFonts w:ascii="Garamond" w:hAnsi="Garamond"/>
          <w:b/>
        </w:rPr>
        <w:t xml:space="preserve"> A. Calculation of number of women receiving paid maternity leave in 2020</w:t>
      </w:r>
    </w:p>
    <w:tbl>
      <w:tblPr>
        <w:tblW w:w="93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1032"/>
        <w:gridCol w:w="1032"/>
        <w:gridCol w:w="1173"/>
        <w:gridCol w:w="1173"/>
        <w:gridCol w:w="1173"/>
        <w:gridCol w:w="819"/>
        <w:gridCol w:w="953"/>
        <w:gridCol w:w="953"/>
      </w:tblGrid>
      <w:tr w:rsidR="00737925" w:rsidRPr="005C466D" w14:paraId="012FA805" w14:textId="77777777" w:rsidTr="00AD638D">
        <w:trPr>
          <w:trHeight w:val="302"/>
        </w:trPr>
        <w:tc>
          <w:tcPr>
            <w:tcW w:w="1032" w:type="dxa"/>
            <w:shd w:val="clear" w:color="auto" w:fill="auto"/>
            <w:noWrap/>
            <w:vAlign w:val="center"/>
          </w:tcPr>
          <w:p w14:paraId="681FE43B" w14:textId="77777777" w:rsidR="00737925" w:rsidRPr="005C466D" w:rsidRDefault="00737925" w:rsidP="00AD638D">
            <w:pPr>
              <w:spacing w:after="0" w:line="240" w:lineRule="auto"/>
              <w:jc w:val="center"/>
              <w:rPr>
                <w:rFonts w:ascii="Garamond" w:eastAsia="Times New Roman" w:hAnsi="Garamond" w:cs="Calibri"/>
                <w:color w:val="000000"/>
                <w:sz w:val="16"/>
                <w:szCs w:val="16"/>
              </w:rPr>
            </w:pPr>
            <w:r w:rsidRPr="005C466D">
              <w:rPr>
                <w:rFonts w:ascii="Garamond" w:hAnsi="Garamond"/>
                <w:sz w:val="16"/>
                <w:szCs w:val="16"/>
              </w:rPr>
              <w:t xml:space="preserve">Total population of children between 0 - 11 months age in 2010* </w:t>
            </w:r>
            <w:r w:rsidRPr="005C466D">
              <w:rPr>
                <w:rFonts w:ascii="Garamond" w:hAnsi="Garamond"/>
                <w:sz w:val="16"/>
                <w:szCs w:val="16"/>
              </w:rPr>
              <w:fldChar w:fldCharType="begin" w:fldLock="1"/>
            </w:r>
            <w:r>
              <w:rPr>
                <w:rFonts w:ascii="Garamond" w:hAnsi="Garamond"/>
                <w:sz w:val="16"/>
                <w:szCs w:val="16"/>
              </w:rPr>
              <w:instrText>ADDIN CSL_CITATION {"citationItems":[{"id":"ITEM-1","itemData":{"URL":"http://sp2010.bps.go.id/","accessed":{"date-parts":[["2016","8","11"]]},"author":[{"dropping-particle":"","family":"Badan Pusat Statistik (BPS) - Central Bureau Statistics","given":"","non-dropping-particle":"","parse-names":false,"suffix":""}],"id":"ITEM-1","issued":{"date-parts":[["2011"]]},"title":"Population Census 2010","type":"webpage"},"uris":["http://www.mendeley.com/documents/?uuid=69cafe40-a8cc-4d4e-9c33-a6672133bf1f"]}],"mendeley":{"formattedCitation":"[32]","plainTextFormattedCitation":"[32]","previouslyFormattedCitation":"[31]"},"properties":{"noteIndex":0},"schema":"https://github.com/citation-style-language/schema/raw/master/csl-citation.json"}</w:instrText>
            </w:r>
            <w:r w:rsidRPr="005C466D">
              <w:rPr>
                <w:rFonts w:ascii="Garamond" w:hAnsi="Garamond"/>
                <w:sz w:val="16"/>
                <w:szCs w:val="16"/>
              </w:rPr>
              <w:fldChar w:fldCharType="separate"/>
            </w:r>
            <w:r w:rsidRPr="00202E9A">
              <w:rPr>
                <w:rFonts w:ascii="Garamond" w:hAnsi="Garamond"/>
                <w:noProof/>
                <w:sz w:val="16"/>
                <w:szCs w:val="16"/>
              </w:rPr>
              <w:t>[32]</w:t>
            </w:r>
            <w:r w:rsidRPr="005C466D">
              <w:rPr>
                <w:rFonts w:ascii="Garamond" w:hAnsi="Garamond"/>
                <w:sz w:val="16"/>
                <w:szCs w:val="16"/>
              </w:rPr>
              <w:fldChar w:fldCharType="end"/>
            </w:r>
          </w:p>
        </w:tc>
        <w:tc>
          <w:tcPr>
            <w:tcW w:w="1032" w:type="dxa"/>
            <w:shd w:val="clear" w:color="auto" w:fill="auto"/>
            <w:noWrap/>
            <w:vAlign w:val="center"/>
          </w:tcPr>
          <w:p w14:paraId="2A83A20C" w14:textId="77777777" w:rsidR="00737925" w:rsidRPr="005C466D" w:rsidRDefault="00737925" w:rsidP="00AD638D">
            <w:pPr>
              <w:spacing w:after="0" w:line="240" w:lineRule="auto"/>
              <w:jc w:val="center"/>
              <w:rPr>
                <w:rFonts w:ascii="Garamond" w:eastAsia="Times New Roman" w:hAnsi="Garamond" w:cs="Calibri"/>
                <w:color w:val="000000"/>
                <w:sz w:val="16"/>
                <w:szCs w:val="16"/>
              </w:rPr>
            </w:pPr>
            <w:r w:rsidRPr="005C466D">
              <w:rPr>
                <w:rFonts w:ascii="Garamond" w:hAnsi="Garamond"/>
                <w:sz w:val="16"/>
                <w:szCs w:val="16"/>
              </w:rPr>
              <w:t xml:space="preserve">Yearly population growth of Indonesia </w:t>
            </w:r>
            <w:r w:rsidRPr="005C466D">
              <w:rPr>
                <w:rFonts w:ascii="Garamond" w:hAnsi="Garamond"/>
                <w:sz w:val="16"/>
                <w:szCs w:val="16"/>
              </w:rPr>
              <w:fldChar w:fldCharType="begin" w:fldLock="1"/>
            </w:r>
            <w:r>
              <w:rPr>
                <w:rFonts w:ascii="Garamond" w:hAnsi="Garamond"/>
                <w:sz w:val="16"/>
                <w:szCs w:val="16"/>
              </w:rPr>
              <w:instrText>ADDIN CSL_CITATION {"citationItems":[{"id":"ITEM-1","itemData":{"URL":"http://databank.worldbank.org/data/reports.aspx?source=2&amp;country=IDN","accessed":{"date-parts":[["2016","8","9"]]},"author":[{"dropping-particle":"","family":"Cooper","given":"By Mary H","non-dropping-particle":"","parse-names":false,"suffix":""}],"id":"ITEM-1","issued":{"date-parts":[["2017"]]},"page":"1-18","title":"Population Growth","type":"webpage"},"uris":["http://www.mendeley.com/documents/?uuid=4b3d7ff4-09bb-409e-8c68-bac3f88edb6a"]}],"mendeley":{"formattedCitation":"[31]","plainTextFormattedCitation":"[31]","previouslyFormattedCitation":"[30]"},"properties":{"noteIndex":0},"schema":"https://github.com/citation-style-language/schema/raw/master/csl-citation.json"}</w:instrText>
            </w:r>
            <w:r w:rsidRPr="005C466D">
              <w:rPr>
                <w:rFonts w:ascii="Garamond" w:hAnsi="Garamond"/>
                <w:sz w:val="16"/>
                <w:szCs w:val="16"/>
              </w:rPr>
              <w:fldChar w:fldCharType="separate"/>
            </w:r>
            <w:r w:rsidRPr="00202E9A">
              <w:rPr>
                <w:rFonts w:ascii="Garamond" w:hAnsi="Garamond"/>
                <w:noProof/>
                <w:sz w:val="16"/>
                <w:szCs w:val="16"/>
              </w:rPr>
              <w:t>[31]</w:t>
            </w:r>
            <w:r w:rsidRPr="005C466D">
              <w:rPr>
                <w:rFonts w:ascii="Garamond" w:hAnsi="Garamond"/>
                <w:sz w:val="16"/>
                <w:szCs w:val="16"/>
              </w:rPr>
              <w:fldChar w:fldCharType="end"/>
            </w:r>
            <w:r w:rsidRPr="005C466D">
              <w:rPr>
                <w:rFonts w:ascii="Garamond" w:hAnsi="Garamond"/>
                <w:sz w:val="16"/>
                <w:szCs w:val="16"/>
              </w:rPr>
              <w:t xml:space="preserve"> </w:t>
            </w:r>
          </w:p>
        </w:tc>
        <w:tc>
          <w:tcPr>
            <w:tcW w:w="1032" w:type="dxa"/>
            <w:shd w:val="clear" w:color="auto" w:fill="auto"/>
            <w:noWrap/>
            <w:vAlign w:val="center"/>
          </w:tcPr>
          <w:p w14:paraId="16EC6E71" w14:textId="77777777" w:rsidR="00737925" w:rsidRPr="005C466D" w:rsidRDefault="00737925" w:rsidP="00AD638D">
            <w:pPr>
              <w:spacing w:after="0" w:line="240" w:lineRule="auto"/>
              <w:jc w:val="center"/>
              <w:rPr>
                <w:rFonts w:ascii="Garamond" w:eastAsia="Times New Roman" w:hAnsi="Garamond" w:cs="Calibri"/>
                <w:color w:val="000000"/>
                <w:sz w:val="16"/>
                <w:szCs w:val="16"/>
              </w:rPr>
            </w:pPr>
            <w:r w:rsidRPr="005C466D">
              <w:rPr>
                <w:rFonts w:ascii="Garamond" w:hAnsi="Garamond"/>
                <w:sz w:val="16"/>
                <w:szCs w:val="16"/>
              </w:rPr>
              <w:t>Total population of children between 0 - 11 months age in 2020</w:t>
            </w:r>
          </w:p>
        </w:tc>
        <w:tc>
          <w:tcPr>
            <w:tcW w:w="1173" w:type="dxa"/>
            <w:shd w:val="clear" w:color="auto" w:fill="auto"/>
            <w:vAlign w:val="center"/>
          </w:tcPr>
          <w:p w14:paraId="0755B4DA" w14:textId="77777777" w:rsidR="00737925" w:rsidRPr="005C466D" w:rsidRDefault="00737925" w:rsidP="00AD638D">
            <w:pPr>
              <w:spacing w:after="0" w:line="240" w:lineRule="auto"/>
              <w:jc w:val="center"/>
              <w:rPr>
                <w:rFonts w:ascii="Garamond" w:eastAsia="Times New Roman" w:hAnsi="Garamond" w:cs="Calibri"/>
                <w:color w:val="000000"/>
                <w:sz w:val="16"/>
                <w:szCs w:val="16"/>
              </w:rPr>
            </w:pPr>
            <w:r w:rsidRPr="005C466D">
              <w:rPr>
                <w:rFonts w:ascii="Garamond" w:hAnsi="Garamond"/>
                <w:sz w:val="16"/>
                <w:szCs w:val="16"/>
              </w:rPr>
              <w:t xml:space="preserve">Female labor participation rate (2017) </w:t>
            </w:r>
            <w:r w:rsidRPr="005C466D">
              <w:rPr>
                <w:rFonts w:ascii="Garamond" w:hAnsi="Garamond"/>
                <w:sz w:val="16"/>
                <w:szCs w:val="16"/>
              </w:rPr>
              <w:fldChar w:fldCharType="begin" w:fldLock="1"/>
            </w:r>
            <w:r>
              <w:rPr>
                <w:rFonts w:ascii="Garamond" w:hAnsi="Garamond"/>
                <w:sz w:val="16"/>
                <w:szCs w:val="16"/>
              </w:rPr>
              <w:instrText>ADDIN CSL_CITATION {"citationItems":[{"id":"ITEM-1","itemData":{"URL":"http://databank.worldbank.org/data/reports.aspx?source=2&amp;series=SL.TLF.CACT.FE.ZS&amp;country=","accessed":{"date-parts":[["2016","8","20"]]},"author":[{"dropping-particle":"","family":"World Bank","given":"","non-dropping-particle":"","parse-names":false,"suffix":""}],"container-title":"World Development Indicators","id":"ITEM-1","issued":{"date-parts":[["2016"]]},"title":"Labor Force Participation Rate, Female (% of Female Population Ages 15+), Modeled ILO Estimate","type":"webpage"},"uris":["http://www.mendeley.com/documents/?uuid=b949def4-4867-41a4-adea-ff9906bdd784"]}],"mendeley":{"formattedCitation":"[6]","plainTextFormattedCitation":"[6]","previouslyFormattedCitation":"[6]"},"properties":{"noteIndex":0},"schema":"https://github.com/citation-style-language/schema/raw/master/csl-citation.json"}</w:instrText>
            </w:r>
            <w:r w:rsidRPr="005C466D">
              <w:rPr>
                <w:rFonts w:ascii="Garamond" w:hAnsi="Garamond"/>
                <w:sz w:val="16"/>
                <w:szCs w:val="16"/>
              </w:rPr>
              <w:fldChar w:fldCharType="separate"/>
            </w:r>
            <w:r w:rsidRPr="00852B80">
              <w:rPr>
                <w:rFonts w:ascii="Garamond" w:hAnsi="Garamond"/>
                <w:noProof/>
                <w:sz w:val="16"/>
                <w:szCs w:val="16"/>
              </w:rPr>
              <w:t>[6]</w:t>
            </w:r>
            <w:r w:rsidRPr="005C466D">
              <w:rPr>
                <w:rFonts w:ascii="Garamond" w:hAnsi="Garamond"/>
                <w:sz w:val="16"/>
                <w:szCs w:val="16"/>
              </w:rPr>
              <w:fldChar w:fldCharType="end"/>
            </w:r>
          </w:p>
        </w:tc>
        <w:tc>
          <w:tcPr>
            <w:tcW w:w="1173" w:type="dxa"/>
            <w:shd w:val="clear" w:color="auto" w:fill="auto"/>
            <w:noWrap/>
            <w:vAlign w:val="center"/>
          </w:tcPr>
          <w:p w14:paraId="7E07D3D3" w14:textId="77777777" w:rsidR="00737925" w:rsidRPr="005C466D" w:rsidRDefault="00737925" w:rsidP="00AD638D">
            <w:pPr>
              <w:spacing w:after="0" w:line="240" w:lineRule="auto"/>
              <w:jc w:val="center"/>
              <w:rPr>
                <w:rFonts w:ascii="Garamond" w:eastAsia="Times New Roman" w:hAnsi="Garamond" w:cs="Calibri"/>
                <w:color w:val="000000"/>
                <w:sz w:val="16"/>
                <w:szCs w:val="16"/>
              </w:rPr>
            </w:pPr>
            <w:r w:rsidRPr="005C466D">
              <w:rPr>
                <w:rFonts w:ascii="Garamond" w:hAnsi="Garamond"/>
                <w:sz w:val="16"/>
                <w:szCs w:val="16"/>
              </w:rPr>
              <w:t>Increase of female labor participation rate from 2016 to 2017</w:t>
            </w:r>
          </w:p>
        </w:tc>
        <w:tc>
          <w:tcPr>
            <w:tcW w:w="1173" w:type="dxa"/>
            <w:shd w:val="clear" w:color="auto" w:fill="auto"/>
            <w:noWrap/>
            <w:vAlign w:val="center"/>
          </w:tcPr>
          <w:p w14:paraId="0D56548B" w14:textId="77777777" w:rsidR="00737925" w:rsidRPr="005C466D" w:rsidRDefault="00737925" w:rsidP="00AD638D">
            <w:pPr>
              <w:spacing w:after="0" w:line="240" w:lineRule="auto"/>
              <w:jc w:val="center"/>
              <w:rPr>
                <w:rFonts w:ascii="Garamond" w:eastAsia="Times New Roman" w:hAnsi="Garamond" w:cs="Calibri"/>
                <w:color w:val="000000"/>
                <w:sz w:val="16"/>
                <w:szCs w:val="16"/>
              </w:rPr>
            </w:pPr>
            <w:r w:rsidRPr="005C466D">
              <w:rPr>
                <w:rFonts w:ascii="Garamond" w:hAnsi="Garamond"/>
                <w:sz w:val="16"/>
                <w:szCs w:val="16"/>
              </w:rPr>
              <w:t>Estimated female labor participation rate in 2020</w:t>
            </w:r>
          </w:p>
        </w:tc>
        <w:tc>
          <w:tcPr>
            <w:tcW w:w="819" w:type="dxa"/>
            <w:shd w:val="clear" w:color="auto" w:fill="auto"/>
            <w:noWrap/>
            <w:vAlign w:val="center"/>
          </w:tcPr>
          <w:p w14:paraId="43F61AF5" w14:textId="77777777" w:rsidR="00737925" w:rsidRPr="005C466D" w:rsidRDefault="00737925" w:rsidP="00AD638D">
            <w:pPr>
              <w:spacing w:after="0" w:line="240" w:lineRule="auto"/>
              <w:jc w:val="center"/>
              <w:rPr>
                <w:rFonts w:ascii="Garamond" w:eastAsia="Times New Roman" w:hAnsi="Garamond" w:cs="Calibri"/>
                <w:color w:val="000000"/>
                <w:sz w:val="16"/>
                <w:szCs w:val="16"/>
              </w:rPr>
            </w:pPr>
            <w:r w:rsidRPr="005C466D">
              <w:rPr>
                <w:rFonts w:ascii="Garamond" w:hAnsi="Garamond"/>
                <w:sz w:val="16"/>
                <w:szCs w:val="16"/>
              </w:rPr>
              <w:t xml:space="preserve">Women working in formal sector in 2020** </w:t>
            </w:r>
            <w:r w:rsidRPr="005C466D">
              <w:rPr>
                <w:rFonts w:ascii="Garamond" w:hAnsi="Garamond"/>
                <w:sz w:val="16"/>
                <w:szCs w:val="16"/>
              </w:rPr>
              <w:fldChar w:fldCharType="begin" w:fldLock="1"/>
            </w:r>
            <w:r>
              <w:rPr>
                <w:rFonts w:ascii="Garamond" w:hAnsi="Garamond"/>
                <w:sz w:val="16"/>
                <w:szCs w:val="16"/>
              </w:rPr>
              <w:instrText>ADDIN CSL_CITATION {"citationItems":[{"id":"ITEM-1","itemData":{"author":[{"dropping-particle":"","family":"Director of Demography and Labor Statistics","given":"","non-dropping-particle":"","parse-names":false,"suffix":""}],"container-title":"Badan Pusat Statistik (BPS) - Central Bureau Statistics","id":"ITEM-1","issued":{"date-parts":[["2013"]]},"title":"National Labor Survey 2012","type":"article-journal"},"uris":["http://www.mendeley.com/documents/?uuid=64c95c25-575e-48b6-bafc-227ad7fc6a21"]}],"mendeley":{"formattedCitation":"[26]","plainTextFormattedCitation":"[26]","previouslyFormattedCitation":"[25]"},"properties":{"noteIndex":0},"schema":"https://github.com/citation-style-language/schema/raw/master/csl-citation.json"}</w:instrText>
            </w:r>
            <w:r w:rsidRPr="005C466D">
              <w:rPr>
                <w:rFonts w:ascii="Garamond" w:hAnsi="Garamond"/>
                <w:sz w:val="16"/>
                <w:szCs w:val="16"/>
              </w:rPr>
              <w:fldChar w:fldCharType="separate"/>
            </w:r>
            <w:r w:rsidRPr="00202E9A">
              <w:rPr>
                <w:rFonts w:ascii="Garamond" w:hAnsi="Garamond"/>
                <w:noProof/>
                <w:sz w:val="16"/>
                <w:szCs w:val="16"/>
              </w:rPr>
              <w:t>[26]</w:t>
            </w:r>
            <w:r w:rsidRPr="005C466D">
              <w:rPr>
                <w:rFonts w:ascii="Garamond" w:hAnsi="Garamond"/>
                <w:sz w:val="16"/>
                <w:szCs w:val="16"/>
              </w:rPr>
              <w:fldChar w:fldCharType="end"/>
            </w:r>
          </w:p>
        </w:tc>
        <w:tc>
          <w:tcPr>
            <w:tcW w:w="953" w:type="dxa"/>
            <w:shd w:val="clear" w:color="auto" w:fill="auto"/>
            <w:vAlign w:val="center"/>
          </w:tcPr>
          <w:p w14:paraId="53750743" w14:textId="77777777" w:rsidR="00737925" w:rsidRPr="005C466D" w:rsidRDefault="00737925" w:rsidP="00AD638D">
            <w:pPr>
              <w:spacing w:after="0" w:line="240" w:lineRule="auto"/>
              <w:jc w:val="center"/>
              <w:rPr>
                <w:rFonts w:ascii="Garamond" w:eastAsia="Times New Roman" w:hAnsi="Garamond" w:cs="Calibri"/>
                <w:color w:val="000000"/>
                <w:sz w:val="16"/>
                <w:szCs w:val="16"/>
              </w:rPr>
            </w:pPr>
            <w:r w:rsidRPr="005C466D">
              <w:rPr>
                <w:rFonts w:ascii="Garamond" w:hAnsi="Garamond"/>
                <w:sz w:val="16"/>
                <w:szCs w:val="16"/>
              </w:rPr>
              <w:t xml:space="preserve">Coverage of female receiving paid maternity leave in 2020*** </w:t>
            </w:r>
            <w:r w:rsidRPr="005C466D">
              <w:rPr>
                <w:rFonts w:ascii="Garamond" w:hAnsi="Garamond"/>
                <w:sz w:val="16"/>
                <w:szCs w:val="16"/>
              </w:rPr>
              <w:fldChar w:fldCharType="begin" w:fldLock="1"/>
            </w:r>
            <w:r>
              <w:rPr>
                <w:rFonts w:ascii="Garamond" w:hAnsi="Garamond"/>
                <w:sz w:val="16"/>
                <w:szCs w:val="16"/>
              </w:rPr>
              <w:instrText>ADDIN CSL_CITATION {"citationItems":[{"id":"ITEM-1","itemData":{"ISBN":"9789221286301","ISSN":"17461278","abstract":"The study reviews national law and practice on both maternity and paternity at work in 185 countries and territories including leave, benefits, employment protection, health protection, breastfeeding arrangements at work and childcare.","author":[{"dropping-particle":"","family":"International Labour Organization (ILO)","given":"","non-dropping-particle":"","parse-names":false,"suffix":""}],"container-title":"International Labour Organization (ILO)","editor":[{"dropping-particle":"","family":"Addati","given":"Laura","non-dropping-particle":"","parse-names":false,"suffix":""}],"id":"ITEM-1","issued":{"date-parts":[["2014"]]},"publisher":"International Labour Organization (ILO)","publisher-place":"Geneva","title":"Maternity and paternity at work. Law and practice across the world","type":"book"},"uris":["http://www.mendeley.com/documents/?uuid=0aba855c-9ff8-4971-9fa1-cfe33c74db3c"]}],"mendeley":{"formattedCitation":"[1]","plainTextFormattedCitation":"[1]","previouslyFormattedCitation":"[1]"},"properties":{"noteIndex":0},"schema":"https://github.com/citation-style-language/schema/raw/master/csl-citation.json"}</w:instrText>
            </w:r>
            <w:r w:rsidRPr="005C466D">
              <w:rPr>
                <w:rFonts w:ascii="Garamond" w:hAnsi="Garamond"/>
                <w:sz w:val="16"/>
                <w:szCs w:val="16"/>
              </w:rPr>
              <w:fldChar w:fldCharType="separate"/>
            </w:r>
            <w:r w:rsidRPr="005C466D">
              <w:rPr>
                <w:rFonts w:ascii="Garamond" w:hAnsi="Garamond"/>
                <w:noProof/>
                <w:sz w:val="16"/>
                <w:szCs w:val="16"/>
              </w:rPr>
              <w:t>[1]</w:t>
            </w:r>
            <w:r w:rsidRPr="005C466D">
              <w:rPr>
                <w:rFonts w:ascii="Garamond" w:hAnsi="Garamond"/>
                <w:sz w:val="16"/>
                <w:szCs w:val="16"/>
              </w:rPr>
              <w:fldChar w:fldCharType="end"/>
            </w:r>
          </w:p>
        </w:tc>
        <w:tc>
          <w:tcPr>
            <w:tcW w:w="953" w:type="dxa"/>
            <w:shd w:val="clear" w:color="auto" w:fill="auto"/>
            <w:vAlign w:val="center"/>
          </w:tcPr>
          <w:p w14:paraId="4BA48283" w14:textId="77777777" w:rsidR="00737925" w:rsidRPr="005C466D" w:rsidRDefault="00737925" w:rsidP="00AD638D">
            <w:pPr>
              <w:spacing w:after="0" w:line="240" w:lineRule="auto"/>
              <w:jc w:val="center"/>
              <w:rPr>
                <w:rFonts w:ascii="Garamond" w:eastAsia="Times New Roman" w:hAnsi="Garamond" w:cs="Calibri"/>
                <w:color w:val="000000"/>
                <w:sz w:val="16"/>
                <w:szCs w:val="16"/>
              </w:rPr>
            </w:pPr>
            <w:r w:rsidRPr="005C466D">
              <w:rPr>
                <w:rFonts w:ascii="Garamond" w:hAnsi="Garamond"/>
                <w:sz w:val="16"/>
                <w:szCs w:val="16"/>
              </w:rPr>
              <w:t>Number of women receiving paid maternity leave in 2020</w:t>
            </w:r>
          </w:p>
        </w:tc>
      </w:tr>
      <w:tr w:rsidR="00737925" w:rsidRPr="005C466D" w14:paraId="144572A2" w14:textId="77777777" w:rsidTr="00AD638D">
        <w:trPr>
          <w:trHeight w:val="302"/>
        </w:trPr>
        <w:tc>
          <w:tcPr>
            <w:tcW w:w="1032" w:type="dxa"/>
            <w:shd w:val="clear" w:color="auto" w:fill="auto"/>
            <w:noWrap/>
            <w:vAlign w:val="center"/>
            <w:hideMark/>
          </w:tcPr>
          <w:p w14:paraId="1C4D85C9" w14:textId="77777777" w:rsidR="00737925" w:rsidRPr="005C466D" w:rsidRDefault="00737925" w:rsidP="00AD638D">
            <w:pPr>
              <w:spacing w:after="0" w:line="240" w:lineRule="auto"/>
              <w:jc w:val="center"/>
              <w:rPr>
                <w:rFonts w:ascii="Garamond" w:eastAsia="Times New Roman" w:hAnsi="Garamond" w:cs="Calibri"/>
                <w:color w:val="000000"/>
                <w:sz w:val="16"/>
                <w:szCs w:val="16"/>
              </w:rPr>
            </w:pPr>
          </w:p>
        </w:tc>
        <w:tc>
          <w:tcPr>
            <w:tcW w:w="1032" w:type="dxa"/>
            <w:shd w:val="clear" w:color="auto" w:fill="auto"/>
            <w:noWrap/>
            <w:vAlign w:val="center"/>
            <w:hideMark/>
          </w:tcPr>
          <w:p w14:paraId="65122BD0" w14:textId="77777777" w:rsidR="00737925" w:rsidRPr="005C466D" w:rsidRDefault="00737925" w:rsidP="00AD638D">
            <w:pPr>
              <w:spacing w:after="0" w:line="240" w:lineRule="auto"/>
              <w:jc w:val="center"/>
              <w:rPr>
                <w:rFonts w:ascii="Garamond" w:eastAsia="Times New Roman" w:hAnsi="Garamond" w:cs="Calibri"/>
                <w:color w:val="000000"/>
                <w:sz w:val="16"/>
                <w:szCs w:val="16"/>
              </w:rPr>
            </w:pPr>
          </w:p>
        </w:tc>
        <w:tc>
          <w:tcPr>
            <w:tcW w:w="1032" w:type="dxa"/>
            <w:shd w:val="clear" w:color="auto" w:fill="auto"/>
            <w:noWrap/>
            <w:vAlign w:val="center"/>
            <w:hideMark/>
          </w:tcPr>
          <w:p w14:paraId="0527ADF5" w14:textId="77777777" w:rsidR="00737925" w:rsidRPr="005C466D" w:rsidRDefault="00737925" w:rsidP="00AD638D">
            <w:pPr>
              <w:spacing w:after="0" w:line="240" w:lineRule="auto"/>
              <w:jc w:val="center"/>
              <w:rPr>
                <w:rFonts w:ascii="Garamond" w:eastAsia="Times New Roman" w:hAnsi="Garamond" w:cs="Calibri"/>
                <w:color w:val="000000"/>
                <w:sz w:val="16"/>
                <w:szCs w:val="16"/>
              </w:rPr>
            </w:pPr>
            <w:r w:rsidRPr="005C466D">
              <w:rPr>
                <w:rFonts w:ascii="Garamond" w:eastAsia="Times New Roman" w:hAnsi="Garamond" w:cs="Calibri"/>
                <w:color w:val="000000"/>
                <w:sz w:val="16"/>
                <w:szCs w:val="16"/>
              </w:rPr>
              <w:t>a</w:t>
            </w:r>
          </w:p>
        </w:tc>
        <w:tc>
          <w:tcPr>
            <w:tcW w:w="1173" w:type="dxa"/>
            <w:shd w:val="clear" w:color="auto" w:fill="auto"/>
            <w:vAlign w:val="center"/>
            <w:hideMark/>
          </w:tcPr>
          <w:p w14:paraId="5E4954A3" w14:textId="77777777" w:rsidR="00737925" w:rsidRPr="005C466D" w:rsidRDefault="00737925" w:rsidP="00AD638D">
            <w:pPr>
              <w:spacing w:after="0" w:line="240" w:lineRule="auto"/>
              <w:jc w:val="center"/>
              <w:rPr>
                <w:rFonts w:ascii="Garamond" w:eastAsia="Times New Roman" w:hAnsi="Garamond" w:cs="Calibri"/>
                <w:color w:val="000000"/>
                <w:sz w:val="16"/>
                <w:szCs w:val="16"/>
              </w:rPr>
            </w:pPr>
          </w:p>
        </w:tc>
        <w:tc>
          <w:tcPr>
            <w:tcW w:w="1173" w:type="dxa"/>
            <w:shd w:val="clear" w:color="auto" w:fill="auto"/>
            <w:noWrap/>
            <w:vAlign w:val="center"/>
            <w:hideMark/>
          </w:tcPr>
          <w:p w14:paraId="3E40D9BE" w14:textId="77777777" w:rsidR="00737925" w:rsidRPr="005C466D" w:rsidRDefault="00737925" w:rsidP="00AD638D">
            <w:pPr>
              <w:spacing w:after="0" w:line="240" w:lineRule="auto"/>
              <w:jc w:val="center"/>
              <w:rPr>
                <w:rFonts w:ascii="Garamond" w:eastAsia="Times New Roman" w:hAnsi="Garamond" w:cs="Calibri"/>
                <w:color w:val="000000"/>
                <w:sz w:val="16"/>
                <w:szCs w:val="16"/>
              </w:rPr>
            </w:pPr>
          </w:p>
        </w:tc>
        <w:tc>
          <w:tcPr>
            <w:tcW w:w="1173" w:type="dxa"/>
            <w:shd w:val="clear" w:color="auto" w:fill="auto"/>
            <w:noWrap/>
            <w:vAlign w:val="center"/>
            <w:hideMark/>
          </w:tcPr>
          <w:p w14:paraId="58EE1069" w14:textId="77777777" w:rsidR="00737925" w:rsidRPr="005C466D" w:rsidRDefault="00737925" w:rsidP="00AD638D">
            <w:pPr>
              <w:spacing w:after="0" w:line="240" w:lineRule="auto"/>
              <w:jc w:val="center"/>
              <w:rPr>
                <w:rFonts w:ascii="Garamond" w:eastAsia="Times New Roman" w:hAnsi="Garamond" w:cs="Calibri"/>
                <w:color w:val="000000"/>
                <w:sz w:val="16"/>
                <w:szCs w:val="16"/>
              </w:rPr>
            </w:pPr>
            <w:r w:rsidRPr="005C466D">
              <w:rPr>
                <w:rFonts w:ascii="Garamond" w:eastAsia="Times New Roman" w:hAnsi="Garamond" w:cs="Calibri"/>
                <w:color w:val="000000"/>
                <w:sz w:val="16"/>
                <w:szCs w:val="16"/>
              </w:rPr>
              <w:t>b</w:t>
            </w:r>
          </w:p>
        </w:tc>
        <w:tc>
          <w:tcPr>
            <w:tcW w:w="819" w:type="dxa"/>
            <w:shd w:val="clear" w:color="auto" w:fill="auto"/>
            <w:noWrap/>
            <w:vAlign w:val="center"/>
            <w:hideMark/>
          </w:tcPr>
          <w:p w14:paraId="3FF86370" w14:textId="77777777" w:rsidR="00737925" w:rsidRPr="005C466D" w:rsidRDefault="00737925" w:rsidP="00AD638D">
            <w:pPr>
              <w:spacing w:after="0" w:line="240" w:lineRule="auto"/>
              <w:jc w:val="center"/>
              <w:rPr>
                <w:rFonts w:ascii="Garamond" w:eastAsia="Times New Roman" w:hAnsi="Garamond" w:cs="Calibri"/>
                <w:color w:val="000000"/>
                <w:sz w:val="16"/>
                <w:szCs w:val="16"/>
              </w:rPr>
            </w:pPr>
            <w:r w:rsidRPr="005C466D">
              <w:rPr>
                <w:rFonts w:ascii="Garamond" w:eastAsia="Times New Roman" w:hAnsi="Garamond" w:cs="Calibri"/>
                <w:color w:val="000000"/>
                <w:sz w:val="16"/>
                <w:szCs w:val="16"/>
              </w:rPr>
              <w:t>c</w:t>
            </w:r>
          </w:p>
        </w:tc>
        <w:tc>
          <w:tcPr>
            <w:tcW w:w="953" w:type="dxa"/>
            <w:shd w:val="clear" w:color="auto" w:fill="auto"/>
            <w:vAlign w:val="center"/>
            <w:hideMark/>
          </w:tcPr>
          <w:p w14:paraId="370B8A9E" w14:textId="77777777" w:rsidR="00737925" w:rsidRPr="005C466D" w:rsidRDefault="00737925" w:rsidP="00AD638D">
            <w:pPr>
              <w:spacing w:after="0" w:line="240" w:lineRule="auto"/>
              <w:jc w:val="center"/>
              <w:rPr>
                <w:rFonts w:ascii="Garamond" w:eastAsia="Times New Roman" w:hAnsi="Garamond" w:cs="Calibri"/>
                <w:color w:val="000000"/>
                <w:sz w:val="16"/>
                <w:szCs w:val="16"/>
              </w:rPr>
            </w:pPr>
            <w:r w:rsidRPr="005C466D">
              <w:rPr>
                <w:rFonts w:ascii="Garamond" w:eastAsia="Times New Roman" w:hAnsi="Garamond" w:cs="Calibri"/>
                <w:color w:val="000000"/>
                <w:sz w:val="16"/>
                <w:szCs w:val="16"/>
              </w:rPr>
              <w:t>d</w:t>
            </w:r>
          </w:p>
        </w:tc>
        <w:tc>
          <w:tcPr>
            <w:tcW w:w="953" w:type="dxa"/>
            <w:shd w:val="clear" w:color="auto" w:fill="auto"/>
            <w:vAlign w:val="center"/>
            <w:hideMark/>
          </w:tcPr>
          <w:p w14:paraId="50D19B73" w14:textId="77777777" w:rsidR="00737925" w:rsidRPr="005C466D" w:rsidRDefault="00737925" w:rsidP="00AD638D">
            <w:pPr>
              <w:spacing w:after="0" w:line="240" w:lineRule="auto"/>
              <w:jc w:val="center"/>
              <w:rPr>
                <w:rFonts w:ascii="Garamond" w:eastAsia="Times New Roman" w:hAnsi="Garamond" w:cs="Calibri"/>
                <w:color w:val="000000"/>
                <w:sz w:val="16"/>
                <w:szCs w:val="16"/>
              </w:rPr>
            </w:pPr>
            <w:r w:rsidRPr="005C466D">
              <w:rPr>
                <w:rFonts w:ascii="Garamond" w:eastAsia="Times New Roman" w:hAnsi="Garamond" w:cs="Calibri"/>
                <w:color w:val="000000"/>
                <w:sz w:val="16"/>
                <w:szCs w:val="16"/>
              </w:rPr>
              <w:t>a*b*c*d</w:t>
            </w:r>
          </w:p>
        </w:tc>
      </w:tr>
      <w:tr w:rsidR="00737925" w:rsidRPr="005C466D" w14:paraId="5DED8DCA" w14:textId="77777777" w:rsidTr="00AD638D">
        <w:trPr>
          <w:trHeight w:val="302"/>
        </w:trPr>
        <w:tc>
          <w:tcPr>
            <w:tcW w:w="1032" w:type="dxa"/>
            <w:shd w:val="clear" w:color="auto" w:fill="auto"/>
            <w:noWrap/>
            <w:vAlign w:val="center"/>
            <w:hideMark/>
          </w:tcPr>
          <w:p w14:paraId="474B5AE3" w14:textId="77777777" w:rsidR="00737925" w:rsidRPr="005C466D" w:rsidRDefault="00737925" w:rsidP="00AD638D">
            <w:pPr>
              <w:spacing w:after="0" w:line="240" w:lineRule="auto"/>
              <w:jc w:val="center"/>
              <w:rPr>
                <w:rFonts w:ascii="Garamond" w:eastAsia="Times New Roman" w:hAnsi="Garamond" w:cs="Calibri"/>
                <w:bCs/>
                <w:color w:val="000000"/>
                <w:sz w:val="16"/>
                <w:szCs w:val="16"/>
              </w:rPr>
            </w:pPr>
            <w:r w:rsidRPr="005C466D">
              <w:rPr>
                <w:rFonts w:ascii="Garamond" w:eastAsia="Times New Roman" w:hAnsi="Garamond" w:cs="Calibri"/>
                <w:bCs/>
                <w:color w:val="000000"/>
                <w:sz w:val="16"/>
                <w:szCs w:val="16"/>
              </w:rPr>
              <w:t>4,398,405</w:t>
            </w:r>
          </w:p>
        </w:tc>
        <w:tc>
          <w:tcPr>
            <w:tcW w:w="1032" w:type="dxa"/>
            <w:shd w:val="clear" w:color="auto" w:fill="auto"/>
            <w:noWrap/>
            <w:vAlign w:val="center"/>
            <w:hideMark/>
          </w:tcPr>
          <w:p w14:paraId="30EA8C7C" w14:textId="77777777" w:rsidR="00737925" w:rsidRPr="005C466D" w:rsidRDefault="00737925" w:rsidP="00AD638D">
            <w:pPr>
              <w:spacing w:after="0" w:line="240" w:lineRule="auto"/>
              <w:jc w:val="center"/>
              <w:rPr>
                <w:rFonts w:ascii="Garamond" w:eastAsia="Times New Roman" w:hAnsi="Garamond" w:cs="Calibri"/>
                <w:color w:val="000000"/>
                <w:sz w:val="16"/>
                <w:szCs w:val="16"/>
              </w:rPr>
            </w:pPr>
            <w:r w:rsidRPr="005C466D">
              <w:rPr>
                <w:rFonts w:ascii="Garamond" w:eastAsia="Times New Roman" w:hAnsi="Garamond" w:cs="Calibri"/>
                <w:color w:val="000000"/>
                <w:sz w:val="16"/>
                <w:szCs w:val="16"/>
              </w:rPr>
              <w:t>1.30%</w:t>
            </w:r>
          </w:p>
        </w:tc>
        <w:tc>
          <w:tcPr>
            <w:tcW w:w="1032" w:type="dxa"/>
            <w:shd w:val="clear" w:color="auto" w:fill="auto"/>
            <w:noWrap/>
            <w:vAlign w:val="center"/>
            <w:hideMark/>
          </w:tcPr>
          <w:p w14:paraId="311C389B" w14:textId="77777777" w:rsidR="00737925" w:rsidRPr="005C466D" w:rsidRDefault="00737925" w:rsidP="00AD638D">
            <w:pPr>
              <w:spacing w:after="0" w:line="240" w:lineRule="auto"/>
              <w:jc w:val="center"/>
              <w:rPr>
                <w:rFonts w:ascii="Garamond" w:eastAsia="Times New Roman" w:hAnsi="Garamond" w:cs="Calibri"/>
                <w:bCs/>
                <w:color w:val="000000"/>
                <w:sz w:val="16"/>
                <w:szCs w:val="16"/>
              </w:rPr>
            </w:pPr>
            <w:r w:rsidRPr="005C466D">
              <w:rPr>
                <w:rFonts w:ascii="Garamond" w:eastAsia="Times New Roman" w:hAnsi="Garamond" w:cs="Calibri"/>
                <w:bCs/>
                <w:color w:val="000000"/>
                <w:sz w:val="16"/>
                <w:szCs w:val="16"/>
              </w:rPr>
              <w:t>5,004,834</w:t>
            </w:r>
          </w:p>
        </w:tc>
        <w:tc>
          <w:tcPr>
            <w:tcW w:w="1173" w:type="dxa"/>
            <w:shd w:val="clear" w:color="auto" w:fill="auto"/>
            <w:noWrap/>
            <w:vAlign w:val="center"/>
            <w:hideMark/>
          </w:tcPr>
          <w:p w14:paraId="22B457B2" w14:textId="77777777" w:rsidR="00737925" w:rsidRPr="005C466D" w:rsidRDefault="00737925" w:rsidP="00AD638D">
            <w:pPr>
              <w:spacing w:after="0" w:line="240" w:lineRule="auto"/>
              <w:jc w:val="center"/>
              <w:rPr>
                <w:rFonts w:ascii="Garamond" w:eastAsia="Times New Roman" w:hAnsi="Garamond" w:cs="Calibri"/>
                <w:bCs/>
                <w:color w:val="000000"/>
                <w:sz w:val="16"/>
                <w:szCs w:val="16"/>
              </w:rPr>
            </w:pPr>
            <w:r w:rsidRPr="005C466D">
              <w:rPr>
                <w:rFonts w:ascii="Garamond" w:eastAsia="Times New Roman" w:hAnsi="Garamond" w:cs="Calibri"/>
                <w:bCs/>
                <w:color w:val="000000"/>
                <w:sz w:val="16"/>
                <w:szCs w:val="16"/>
              </w:rPr>
              <w:t>50.70%</w:t>
            </w:r>
          </w:p>
        </w:tc>
        <w:tc>
          <w:tcPr>
            <w:tcW w:w="1173" w:type="dxa"/>
            <w:shd w:val="clear" w:color="auto" w:fill="auto"/>
            <w:noWrap/>
            <w:vAlign w:val="center"/>
            <w:hideMark/>
          </w:tcPr>
          <w:p w14:paraId="7B9502C7" w14:textId="77777777" w:rsidR="00737925" w:rsidRPr="005C466D" w:rsidRDefault="00737925" w:rsidP="00AD638D">
            <w:pPr>
              <w:spacing w:after="0" w:line="240" w:lineRule="auto"/>
              <w:jc w:val="center"/>
              <w:rPr>
                <w:rFonts w:ascii="Garamond" w:eastAsia="Times New Roman" w:hAnsi="Garamond" w:cs="Calibri"/>
                <w:bCs/>
                <w:color w:val="000000"/>
                <w:sz w:val="16"/>
                <w:szCs w:val="16"/>
              </w:rPr>
            </w:pPr>
            <w:r w:rsidRPr="005C466D">
              <w:rPr>
                <w:rFonts w:ascii="Garamond" w:eastAsia="Times New Roman" w:hAnsi="Garamond" w:cs="Calibri"/>
                <w:bCs/>
                <w:color w:val="000000"/>
                <w:sz w:val="16"/>
                <w:szCs w:val="16"/>
              </w:rPr>
              <w:t>0.20%</w:t>
            </w:r>
          </w:p>
        </w:tc>
        <w:tc>
          <w:tcPr>
            <w:tcW w:w="1173" w:type="dxa"/>
            <w:shd w:val="clear" w:color="auto" w:fill="auto"/>
            <w:noWrap/>
            <w:vAlign w:val="center"/>
            <w:hideMark/>
          </w:tcPr>
          <w:p w14:paraId="1E989890" w14:textId="77777777" w:rsidR="00737925" w:rsidRPr="005C466D" w:rsidRDefault="00737925" w:rsidP="00AD638D">
            <w:pPr>
              <w:spacing w:after="0" w:line="240" w:lineRule="auto"/>
              <w:jc w:val="center"/>
              <w:rPr>
                <w:rFonts w:ascii="Garamond" w:eastAsia="Times New Roman" w:hAnsi="Garamond" w:cs="Calibri"/>
                <w:bCs/>
                <w:color w:val="000000"/>
                <w:sz w:val="16"/>
                <w:szCs w:val="16"/>
              </w:rPr>
            </w:pPr>
            <w:r w:rsidRPr="005C466D">
              <w:rPr>
                <w:rFonts w:ascii="Garamond" w:eastAsia="Times New Roman" w:hAnsi="Garamond" w:cs="Calibri"/>
                <w:bCs/>
                <w:color w:val="000000"/>
                <w:sz w:val="16"/>
                <w:szCs w:val="16"/>
              </w:rPr>
              <w:t>51.30%</w:t>
            </w:r>
          </w:p>
        </w:tc>
        <w:tc>
          <w:tcPr>
            <w:tcW w:w="819" w:type="dxa"/>
            <w:shd w:val="clear" w:color="auto" w:fill="auto"/>
            <w:noWrap/>
            <w:vAlign w:val="center"/>
            <w:hideMark/>
          </w:tcPr>
          <w:p w14:paraId="5F2180FC" w14:textId="77777777" w:rsidR="00737925" w:rsidRPr="005C466D" w:rsidRDefault="00737925" w:rsidP="00AD638D">
            <w:pPr>
              <w:spacing w:after="0" w:line="240" w:lineRule="auto"/>
              <w:jc w:val="center"/>
              <w:rPr>
                <w:rFonts w:ascii="Garamond" w:eastAsia="Times New Roman" w:hAnsi="Garamond" w:cs="Calibri"/>
                <w:bCs/>
                <w:color w:val="000000"/>
                <w:sz w:val="16"/>
                <w:szCs w:val="16"/>
              </w:rPr>
            </w:pPr>
            <w:r w:rsidRPr="005C466D">
              <w:rPr>
                <w:rFonts w:ascii="Garamond" w:eastAsia="Times New Roman" w:hAnsi="Garamond" w:cs="Calibri"/>
                <w:bCs/>
                <w:color w:val="000000"/>
                <w:sz w:val="16"/>
                <w:szCs w:val="16"/>
              </w:rPr>
              <w:t>42.12%</w:t>
            </w:r>
          </w:p>
        </w:tc>
        <w:tc>
          <w:tcPr>
            <w:tcW w:w="953" w:type="dxa"/>
            <w:shd w:val="clear" w:color="auto" w:fill="auto"/>
            <w:noWrap/>
            <w:vAlign w:val="center"/>
            <w:hideMark/>
          </w:tcPr>
          <w:p w14:paraId="235E37FD" w14:textId="77777777" w:rsidR="00737925" w:rsidRPr="005C466D" w:rsidRDefault="00737925" w:rsidP="00AD638D">
            <w:pPr>
              <w:spacing w:after="0" w:line="240" w:lineRule="auto"/>
              <w:jc w:val="center"/>
              <w:rPr>
                <w:rFonts w:ascii="Garamond" w:eastAsia="Times New Roman" w:hAnsi="Garamond" w:cs="Calibri"/>
                <w:bCs/>
                <w:color w:val="000000"/>
                <w:sz w:val="16"/>
                <w:szCs w:val="16"/>
              </w:rPr>
            </w:pPr>
            <w:r w:rsidRPr="005C466D">
              <w:rPr>
                <w:rFonts w:ascii="Garamond" w:eastAsia="Times New Roman" w:hAnsi="Garamond" w:cs="Calibri"/>
                <w:bCs/>
                <w:color w:val="000000"/>
                <w:sz w:val="16"/>
                <w:szCs w:val="16"/>
              </w:rPr>
              <w:t>4.50%</w:t>
            </w:r>
          </w:p>
        </w:tc>
        <w:tc>
          <w:tcPr>
            <w:tcW w:w="953" w:type="dxa"/>
            <w:shd w:val="clear" w:color="auto" w:fill="auto"/>
            <w:noWrap/>
            <w:vAlign w:val="center"/>
            <w:hideMark/>
          </w:tcPr>
          <w:p w14:paraId="7096A2B9" w14:textId="77777777" w:rsidR="00737925" w:rsidRPr="005C466D" w:rsidRDefault="00737925" w:rsidP="00AD638D">
            <w:pPr>
              <w:spacing w:after="0" w:line="240" w:lineRule="auto"/>
              <w:jc w:val="center"/>
              <w:rPr>
                <w:rFonts w:ascii="Garamond" w:eastAsia="Times New Roman" w:hAnsi="Garamond" w:cs="Calibri"/>
                <w:bCs/>
                <w:color w:val="000000"/>
                <w:sz w:val="16"/>
                <w:szCs w:val="16"/>
              </w:rPr>
            </w:pPr>
            <w:r w:rsidRPr="005C466D">
              <w:rPr>
                <w:rFonts w:ascii="Garamond" w:eastAsia="Times New Roman" w:hAnsi="Garamond" w:cs="Calibri"/>
                <w:bCs/>
                <w:color w:val="000000"/>
                <w:sz w:val="16"/>
                <w:szCs w:val="16"/>
              </w:rPr>
              <w:t>48,664</w:t>
            </w:r>
          </w:p>
        </w:tc>
      </w:tr>
    </w:tbl>
    <w:p w14:paraId="7D655E83" w14:textId="77777777" w:rsidR="00737925" w:rsidRPr="005C466D" w:rsidRDefault="00737925" w:rsidP="00737925">
      <w:pPr>
        <w:widowControl w:val="0"/>
        <w:autoSpaceDE w:val="0"/>
        <w:autoSpaceDN w:val="0"/>
        <w:adjustRightInd w:val="0"/>
        <w:spacing w:after="0" w:line="360" w:lineRule="auto"/>
        <w:ind w:left="640" w:hanging="640"/>
        <w:outlineLvl w:val="0"/>
        <w:rPr>
          <w:rFonts w:ascii="Garamond" w:eastAsia="Times New Roman" w:hAnsi="Garamond" w:cs="Calibri"/>
          <w:bCs/>
          <w:iCs/>
          <w:color w:val="000000"/>
          <w:sz w:val="16"/>
          <w:szCs w:val="16"/>
        </w:rPr>
      </w:pPr>
      <w:r w:rsidRPr="005C466D">
        <w:rPr>
          <w:rFonts w:ascii="Garamond" w:hAnsi="Garamond"/>
          <w:color w:val="000000"/>
          <w:sz w:val="16"/>
          <w:szCs w:val="16"/>
        </w:rPr>
        <w:t>*A</w:t>
      </w:r>
      <w:r w:rsidRPr="005C466D">
        <w:rPr>
          <w:rFonts w:ascii="Garamond" w:eastAsia="Times New Roman" w:hAnsi="Garamond" w:cs="Calibri"/>
          <w:bCs/>
          <w:iCs/>
          <w:color w:val="000000"/>
          <w:sz w:val="16"/>
          <w:szCs w:val="16"/>
        </w:rPr>
        <w:t>s a proxy for women who should be exclusively breastfeeding their children</w:t>
      </w:r>
    </w:p>
    <w:p w14:paraId="34E7C984" w14:textId="77777777" w:rsidR="00737925" w:rsidRPr="005C466D" w:rsidRDefault="00737925" w:rsidP="00737925">
      <w:pPr>
        <w:widowControl w:val="0"/>
        <w:autoSpaceDE w:val="0"/>
        <w:autoSpaceDN w:val="0"/>
        <w:adjustRightInd w:val="0"/>
        <w:spacing w:after="0" w:line="360" w:lineRule="auto"/>
        <w:ind w:left="640" w:hanging="640"/>
        <w:outlineLvl w:val="0"/>
        <w:rPr>
          <w:rFonts w:ascii="Garamond" w:eastAsia="Times New Roman" w:hAnsi="Garamond" w:cs="Calibri"/>
          <w:bCs/>
          <w:iCs/>
          <w:color w:val="000000"/>
          <w:sz w:val="16"/>
          <w:szCs w:val="16"/>
        </w:rPr>
      </w:pPr>
      <w:r w:rsidRPr="005C466D">
        <w:rPr>
          <w:rFonts w:ascii="Garamond" w:eastAsia="Times New Roman" w:hAnsi="Garamond" w:cs="Calibri"/>
          <w:bCs/>
          <w:iCs/>
          <w:color w:val="000000"/>
          <w:sz w:val="16"/>
          <w:szCs w:val="16"/>
        </w:rPr>
        <w:t>**Assumed to be constant since 2012</w:t>
      </w:r>
    </w:p>
    <w:p w14:paraId="3B2AA598" w14:textId="77777777" w:rsidR="00737925" w:rsidRPr="005C466D" w:rsidRDefault="00737925" w:rsidP="00737925">
      <w:pPr>
        <w:widowControl w:val="0"/>
        <w:autoSpaceDE w:val="0"/>
        <w:autoSpaceDN w:val="0"/>
        <w:adjustRightInd w:val="0"/>
        <w:spacing w:after="0" w:line="360" w:lineRule="auto"/>
        <w:ind w:left="640" w:hanging="640"/>
        <w:outlineLvl w:val="0"/>
        <w:rPr>
          <w:rFonts w:ascii="Garamond" w:eastAsia="Times New Roman" w:hAnsi="Garamond" w:cs="Calibri"/>
          <w:bCs/>
          <w:color w:val="000000"/>
          <w:sz w:val="16"/>
          <w:szCs w:val="16"/>
        </w:rPr>
      </w:pPr>
      <w:r w:rsidRPr="005C466D">
        <w:rPr>
          <w:rFonts w:ascii="Garamond" w:eastAsia="Times New Roman" w:hAnsi="Garamond" w:cs="Calibri"/>
          <w:bCs/>
          <w:color w:val="000000"/>
          <w:sz w:val="16"/>
          <w:szCs w:val="16"/>
        </w:rPr>
        <w:t>***Assumed to be constant since 2010</w:t>
      </w:r>
    </w:p>
    <w:p w14:paraId="6E1F8D7C" w14:textId="77777777" w:rsidR="00737925" w:rsidRPr="008A1CB7" w:rsidRDefault="00737925" w:rsidP="008A1CB7">
      <w:pPr>
        <w:widowControl w:val="0"/>
        <w:autoSpaceDE w:val="0"/>
        <w:autoSpaceDN w:val="0"/>
        <w:adjustRightInd w:val="0"/>
        <w:spacing w:after="0" w:line="360" w:lineRule="auto"/>
        <w:outlineLvl w:val="0"/>
        <w:rPr>
          <w:rFonts w:ascii="Garamond" w:hAnsi="Garamond"/>
          <w:color w:val="000000"/>
        </w:rPr>
      </w:pPr>
      <w:r w:rsidRPr="008A1CB7">
        <w:rPr>
          <w:rFonts w:ascii="Garamond" w:hAnsi="Garamond"/>
          <w:color w:val="000000"/>
        </w:rPr>
        <w:t>This table shows th</w:t>
      </w:r>
      <w:bookmarkStart w:id="0" w:name="_GoBack"/>
      <w:bookmarkEnd w:id="0"/>
      <w:r w:rsidRPr="008A1CB7">
        <w:rPr>
          <w:rFonts w:ascii="Garamond" w:hAnsi="Garamond"/>
          <w:color w:val="000000"/>
        </w:rPr>
        <w:t>e calculation of estimating the number of women receiving paid maternity leave in 2020</w:t>
      </w:r>
    </w:p>
    <w:p w14:paraId="2D3218D4" w14:textId="77777777" w:rsidR="00C75C50" w:rsidRDefault="00C75C50"/>
    <w:sectPr w:rsidR="00C75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6D5"/>
    <w:rsid w:val="00737925"/>
    <w:rsid w:val="008A1CB7"/>
    <w:rsid w:val="00C75C50"/>
    <w:rsid w:val="00EE76D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7594B"/>
  <w15:chartTrackingRefBased/>
  <w15:docId w15:val="{99E74D81-8ECE-44BA-BC9F-3725F2E3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92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789</Words>
  <Characters>4499</Characters>
  <Application>Microsoft Office Word</Application>
  <DocSecurity>0</DocSecurity>
  <Lines>37</Lines>
  <Paragraphs>10</Paragraphs>
  <ScaleCrop>false</ScaleCrop>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Adiatma Siregar</dc:creator>
  <cp:keywords/>
  <dc:description/>
  <cp:lastModifiedBy>Adiatma Siregar</cp:lastModifiedBy>
  <cp:revision>3</cp:revision>
  <dcterms:created xsi:type="dcterms:W3CDTF">2019-02-17T07:35:00Z</dcterms:created>
  <dcterms:modified xsi:type="dcterms:W3CDTF">2019-02-17T07:37:00Z</dcterms:modified>
</cp:coreProperties>
</file>