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6AE4" w14:textId="77777777" w:rsidR="003B2887" w:rsidRDefault="003B2887" w:rsidP="00ED76B6">
      <w:bookmarkStart w:id="0" w:name="_GoBack"/>
      <w:bookmarkEnd w:id="0"/>
    </w:p>
    <w:tbl>
      <w:tblPr>
        <w:tblW w:w="6740" w:type="dxa"/>
        <w:tblInd w:w="70" w:type="dxa"/>
        <w:tblCellMar>
          <w:top w:w="15" w:type="dxa"/>
          <w:left w:w="70" w:type="dxa"/>
          <w:bottom w:w="15" w:type="dxa"/>
          <w:right w:w="70" w:type="dxa"/>
        </w:tblCellMar>
        <w:tblLook w:val="04A0" w:firstRow="1" w:lastRow="0" w:firstColumn="1" w:lastColumn="0" w:noHBand="0" w:noVBand="1"/>
      </w:tblPr>
      <w:tblGrid>
        <w:gridCol w:w="980"/>
        <w:gridCol w:w="960"/>
        <w:gridCol w:w="960"/>
        <w:gridCol w:w="960"/>
        <w:gridCol w:w="960"/>
        <w:gridCol w:w="960"/>
        <w:gridCol w:w="960"/>
      </w:tblGrid>
      <w:tr w:rsidR="00ED76B6" w:rsidRPr="00187C93" w14:paraId="79B0C5C7" w14:textId="77777777" w:rsidTr="0068635D">
        <w:trPr>
          <w:trHeight w:val="285"/>
        </w:trPr>
        <w:tc>
          <w:tcPr>
            <w:tcW w:w="980" w:type="dxa"/>
            <w:tcBorders>
              <w:top w:val="nil"/>
              <w:left w:val="nil"/>
              <w:bottom w:val="nil"/>
              <w:right w:val="nil"/>
            </w:tcBorders>
            <w:noWrap/>
            <w:vAlign w:val="bottom"/>
            <w:hideMark/>
          </w:tcPr>
          <w:p w14:paraId="207B9DB9" w14:textId="77777777" w:rsidR="00ED76B6" w:rsidRPr="00187C93" w:rsidRDefault="00ED76B6" w:rsidP="0068635D">
            <w:pPr>
              <w:spacing w:before="0" w:after="0"/>
              <w:rPr>
                <w:rFonts w:eastAsia="Times New Roman" w:cs="Times New Roman"/>
                <w:sz w:val="20"/>
                <w:szCs w:val="20"/>
                <w:lang w:eastAsia="de-DE"/>
              </w:rPr>
            </w:pPr>
          </w:p>
        </w:tc>
        <w:tc>
          <w:tcPr>
            <w:tcW w:w="960" w:type="dxa"/>
            <w:tcBorders>
              <w:top w:val="nil"/>
              <w:left w:val="nil"/>
              <w:bottom w:val="nil"/>
              <w:right w:val="nil"/>
            </w:tcBorders>
            <w:shd w:val="clear" w:color="000000" w:fill="A6A6A6"/>
            <w:noWrap/>
            <w:vAlign w:val="bottom"/>
            <w:hideMark/>
          </w:tcPr>
          <w:p w14:paraId="415E7D2D" w14:textId="77777777" w:rsidR="00ED76B6" w:rsidRPr="00187C93" w:rsidRDefault="00ED76B6" w:rsidP="0068635D">
            <w:pPr>
              <w:spacing w:before="0" w:after="0"/>
              <w:rPr>
                <w:rFonts w:eastAsia="Times New Roman" w:cs="Times New Roman"/>
                <w:sz w:val="20"/>
                <w:szCs w:val="20"/>
                <w:lang w:eastAsia="de-DE"/>
              </w:rPr>
            </w:pPr>
          </w:p>
        </w:tc>
        <w:tc>
          <w:tcPr>
            <w:tcW w:w="960" w:type="dxa"/>
            <w:tcBorders>
              <w:top w:val="nil"/>
              <w:left w:val="nil"/>
              <w:bottom w:val="nil"/>
              <w:right w:val="nil"/>
            </w:tcBorders>
            <w:shd w:val="clear" w:color="000000" w:fill="A6A6A6"/>
            <w:noWrap/>
            <w:vAlign w:val="bottom"/>
            <w:hideMark/>
          </w:tcPr>
          <w:p w14:paraId="60F4FF50"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NL</w:t>
            </w:r>
          </w:p>
        </w:tc>
        <w:tc>
          <w:tcPr>
            <w:tcW w:w="960" w:type="dxa"/>
            <w:tcBorders>
              <w:top w:val="nil"/>
              <w:left w:val="nil"/>
              <w:bottom w:val="nil"/>
              <w:right w:val="nil"/>
            </w:tcBorders>
            <w:shd w:val="clear" w:color="000000" w:fill="A6A6A6"/>
            <w:noWrap/>
            <w:vAlign w:val="bottom"/>
            <w:hideMark/>
          </w:tcPr>
          <w:p w14:paraId="31F38358"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p>
        </w:tc>
        <w:tc>
          <w:tcPr>
            <w:tcW w:w="960" w:type="dxa"/>
            <w:tcBorders>
              <w:top w:val="nil"/>
              <w:left w:val="nil"/>
              <w:bottom w:val="nil"/>
              <w:right w:val="nil"/>
            </w:tcBorders>
            <w:shd w:val="clear" w:color="000000" w:fill="D9D9D9"/>
            <w:noWrap/>
            <w:vAlign w:val="bottom"/>
            <w:hideMark/>
          </w:tcPr>
          <w:p w14:paraId="6602944B" w14:textId="77777777" w:rsidR="00ED76B6" w:rsidRPr="00187C93" w:rsidRDefault="00ED76B6" w:rsidP="0068635D">
            <w:pPr>
              <w:spacing w:before="0" w:after="0"/>
              <w:jc w:val="center"/>
              <w:rPr>
                <w:rFonts w:eastAsia="Times New Roman" w:cs="Times New Roman"/>
                <w:sz w:val="20"/>
                <w:szCs w:val="20"/>
                <w:lang w:val="de-DE" w:eastAsia="de-DE"/>
              </w:rPr>
            </w:pPr>
          </w:p>
        </w:tc>
        <w:tc>
          <w:tcPr>
            <w:tcW w:w="960" w:type="dxa"/>
            <w:tcBorders>
              <w:top w:val="nil"/>
              <w:left w:val="nil"/>
              <w:bottom w:val="nil"/>
              <w:right w:val="nil"/>
            </w:tcBorders>
            <w:shd w:val="clear" w:color="000000" w:fill="D9D9D9"/>
            <w:noWrap/>
            <w:vAlign w:val="bottom"/>
            <w:hideMark/>
          </w:tcPr>
          <w:p w14:paraId="0BFFEC79"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LL</w:t>
            </w:r>
          </w:p>
        </w:tc>
        <w:tc>
          <w:tcPr>
            <w:tcW w:w="960" w:type="dxa"/>
            <w:tcBorders>
              <w:top w:val="nil"/>
              <w:left w:val="nil"/>
              <w:bottom w:val="nil"/>
              <w:right w:val="nil"/>
            </w:tcBorders>
            <w:shd w:val="clear" w:color="000000" w:fill="D9D9D9"/>
            <w:noWrap/>
            <w:vAlign w:val="bottom"/>
            <w:hideMark/>
          </w:tcPr>
          <w:p w14:paraId="741F8EA8"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p>
        </w:tc>
      </w:tr>
      <w:tr w:rsidR="00ED76B6" w:rsidRPr="00187C93" w14:paraId="4149FF3C" w14:textId="77777777" w:rsidTr="0068635D">
        <w:trPr>
          <w:trHeight w:val="285"/>
        </w:trPr>
        <w:tc>
          <w:tcPr>
            <w:tcW w:w="980" w:type="dxa"/>
            <w:tcBorders>
              <w:top w:val="nil"/>
              <w:left w:val="nil"/>
              <w:bottom w:val="nil"/>
              <w:right w:val="nil"/>
            </w:tcBorders>
            <w:noWrap/>
            <w:vAlign w:val="bottom"/>
            <w:hideMark/>
          </w:tcPr>
          <w:p w14:paraId="0DA06226" w14:textId="77777777" w:rsidR="00ED76B6" w:rsidRPr="00187C93" w:rsidRDefault="00ED76B6" w:rsidP="0068635D">
            <w:pPr>
              <w:spacing w:before="0" w:after="0"/>
              <w:rPr>
                <w:rFonts w:eastAsia="Times New Roman" w:cs="Times New Roman"/>
                <w:sz w:val="20"/>
                <w:szCs w:val="20"/>
                <w:lang w:val="de-DE" w:eastAsia="de-DE"/>
              </w:rPr>
            </w:pPr>
          </w:p>
        </w:tc>
        <w:tc>
          <w:tcPr>
            <w:tcW w:w="960" w:type="dxa"/>
            <w:tcBorders>
              <w:top w:val="nil"/>
              <w:left w:val="nil"/>
              <w:bottom w:val="nil"/>
              <w:right w:val="nil"/>
            </w:tcBorders>
            <w:shd w:val="clear" w:color="000000" w:fill="auto"/>
            <w:noWrap/>
            <w:vAlign w:val="bottom"/>
            <w:hideMark/>
          </w:tcPr>
          <w:p w14:paraId="5CE21336"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SGA</w:t>
            </w:r>
          </w:p>
        </w:tc>
        <w:tc>
          <w:tcPr>
            <w:tcW w:w="960" w:type="dxa"/>
            <w:tcBorders>
              <w:top w:val="nil"/>
              <w:left w:val="nil"/>
              <w:bottom w:val="nil"/>
              <w:right w:val="nil"/>
            </w:tcBorders>
            <w:shd w:val="clear" w:color="000000" w:fill="auto"/>
            <w:noWrap/>
            <w:vAlign w:val="bottom"/>
            <w:hideMark/>
          </w:tcPr>
          <w:p w14:paraId="6807DC6D"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SGB</w:t>
            </w:r>
          </w:p>
        </w:tc>
        <w:tc>
          <w:tcPr>
            <w:tcW w:w="960" w:type="dxa"/>
            <w:tcBorders>
              <w:top w:val="nil"/>
              <w:left w:val="nil"/>
              <w:bottom w:val="nil"/>
              <w:right w:val="nil"/>
            </w:tcBorders>
            <w:shd w:val="clear" w:color="000000" w:fill="auto"/>
            <w:noWrap/>
            <w:vAlign w:val="bottom"/>
            <w:hideMark/>
          </w:tcPr>
          <w:p w14:paraId="10A02B53"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SC/ST</w:t>
            </w:r>
          </w:p>
        </w:tc>
        <w:tc>
          <w:tcPr>
            <w:tcW w:w="960" w:type="dxa"/>
            <w:tcBorders>
              <w:top w:val="nil"/>
              <w:left w:val="nil"/>
              <w:bottom w:val="single" w:sz="4" w:space="0" w:color="auto"/>
              <w:right w:val="nil"/>
            </w:tcBorders>
            <w:shd w:val="clear" w:color="000000" w:fill="auto"/>
            <w:noWrap/>
            <w:vAlign w:val="bottom"/>
            <w:hideMark/>
          </w:tcPr>
          <w:p w14:paraId="6BAACDF1"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SGA</w:t>
            </w:r>
          </w:p>
        </w:tc>
        <w:tc>
          <w:tcPr>
            <w:tcW w:w="960" w:type="dxa"/>
            <w:tcBorders>
              <w:top w:val="nil"/>
              <w:left w:val="nil"/>
              <w:bottom w:val="single" w:sz="4" w:space="0" w:color="auto"/>
              <w:right w:val="nil"/>
            </w:tcBorders>
            <w:shd w:val="clear" w:color="000000" w:fill="auto"/>
            <w:noWrap/>
            <w:vAlign w:val="bottom"/>
            <w:hideMark/>
          </w:tcPr>
          <w:p w14:paraId="12AB78A3"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SGB</w:t>
            </w:r>
          </w:p>
        </w:tc>
        <w:tc>
          <w:tcPr>
            <w:tcW w:w="960" w:type="dxa"/>
            <w:tcBorders>
              <w:top w:val="nil"/>
              <w:left w:val="nil"/>
              <w:bottom w:val="single" w:sz="4" w:space="0" w:color="auto"/>
              <w:right w:val="nil"/>
            </w:tcBorders>
            <w:shd w:val="clear" w:color="000000" w:fill="auto"/>
            <w:noWrap/>
            <w:vAlign w:val="bottom"/>
            <w:hideMark/>
          </w:tcPr>
          <w:p w14:paraId="573FAFD9"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SC/ST</w:t>
            </w:r>
          </w:p>
        </w:tc>
      </w:tr>
      <w:tr w:rsidR="00ED76B6" w:rsidRPr="00187C93" w14:paraId="73EF5B00" w14:textId="77777777" w:rsidTr="0068635D">
        <w:trPr>
          <w:trHeight w:val="285"/>
        </w:trPr>
        <w:tc>
          <w:tcPr>
            <w:tcW w:w="980" w:type="dxa"/>
            <w:tcBorders>
              <w:top w:val="nil"/>
              <w:left w:val="nil"/>
              <w:bottom w:val="nil"/>
              <w:right w:val="nil"/>
            </w:tcBorders>
            <w:noWrap/>
            <w:vAlign w:val="bottom"/>
            <w:hideMark/>
          </w:tcPr>
          <w:p w14:paraId="4ED16DBF" w14:textId="77777777" w:rsidR="00ED76B6" w:rsidRPr="00187C93" w:rsidRDefault="00ED76B6" w:rsidP="0068635D">
            <w:pPr>
              <w:spacing w:before="0" w:after="0"/>
              <w:jc w:val="right"/>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Jan 08</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6C2721"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100</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2608A8"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2715E9" w14:textId="77777777" w:rsidR="00ED76B6" w:rsidRPr="00187C93" w:rsidRDefault="00ED76B6" w:rsidP="0068635D">
            <w:pPr>
              <w:spacing w:before="0" w:after="0"/>
              <w:jc w:val="center"/>
              <w:rPr>
                <w:rFonts w:eastAsia="Times New Roman" w:cs="Times New Roman"/>
                <w:sz w:val="20"/>
                <w:szCs w:val="20"/>
                <w:lang w:val="de-DE" w:eastAsia="de-DE"/>
              </w:rPr>
            </w:pPr>
            <w:r w:rsidRPr="00187C93">
              <w:rPr>
                <w:rFonts w:eastAsia="Times New Roman" w:cs="Times New Roman"/>
                <w:sz w:val="20"/>
                <w:szCs w:val="20"/>
                <w:lang w:val="de-DE" w:eastAsia="de-DE"/>
              </w:rPr>
              <w:t>-</w:t>
            </w:r>
          </w:p>
        </w:tc>
        <w:tc>
          <w:tcPr>
            <w:tcW w:w="960" w:type="dxa"/>
            <w:tcBorders>
              <w:top w:val="single" w:sz="4" w:space="0" w:color="auto"/>
              <w:left w:val="nil"/>
              <w:bottom w:val="single" w:sz="4" w:space="0" w:color="auto"/>
              <w:right w:val="single" w:sz="4" w:space="0" w:color="auto"/>
            </w:tcBorders>
            <w:shd w:val="clear" w:color="000000" w:fill="auto"/>
            <w:noWrap/>
            <w:vAlign w:val="bottom"/>
            <w:hideMark/>
          </w:tcPr>
          <w:p w14:paraId="3B804F4E" w14:textId="77777777" w:rsidR="00ED76B6" w:rsidRPr="00187C93" w:rsidRDefault="00ED76B6" w:rsidP="0068635D">
            <w:pPr>
              <w:spacing w:before="0" w:after="0"/>
              <w:jc w:val="center"/>
              <w:rPr>
                <w:rFonts w:eastAsia="Times New Roman" w:cs="Times New Roman"/>
                <w:sz w:val="20"/>
                <w:szCs w:val="20"/>
                <w:lang w:val="de-DE" w:eastAsia="de-DE"/>
              </w:rPr>
            </w:pPr>
            <w:r w:rsidRPr="00187C93">
              <w:rPr>
                <w:rFonts w:eastAsia="Times New Roman" w:cs="Times New Roman"/>
                <w:sz w:val="20"/>
                <w:szCs w:val="20"/>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6F3E00" w14:textId="77777777" w:rsidR="00ED76B6" w:rsidRPr="00187C93" w:rsidRDefault="00ED76B6" w:rsidP="0068635D">
            <w:pPr>
              <w:spacing w:before="0" w:after="0"/>
              <w:jc w:val="center"/>
              <w:rPr>
                <w:rFonts w:eastAsia="Times New Roman" w:cs="Times New Roman"/>
                <w:sz w:val="20"/>
                <w:szCs w:val="20"/>
                <w:lang w:val="de-DE" w:eastAsia="de-DE"/>
              </w:rPr>
            </w:pPr>
            <w:r w:rsidRPr="00187C93">
              <w:rPr>
                <w:rFonts w:eastAsia="Times New Roman" w:cs="Times New Roman"/>
                <w:sz w:val="20"/>
                <w:szCs w:val="20"/>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AA5798" w14:textId="77777777" w:rsidR="00ED76B6" w:rsidRPr="00187C93" w:rsidRDefault="00ED76B6" w:rsidP="0068635D">
            <w:pPr>
              <w:spacing w:before="0" w:after="0"/>
              <w:jc w:val="center"/>
              <w:rPr>
                <w:rFonts w:eastAsia="Times New Roman" w:cs="Times New Roman"/>
                <w:sz w:val="20"/>
                <w:szCs w:val="20"/>
                <w:lang w:val="de-DE" w:eastAsia="de-DE"/>
              </w:rPr>
            </w:pPr>
            <w:r w:rsidRPr="00187C93">
              <w:rPr>
                <w:rFonts w:eastAsia="Times New Roman" w:cs="Times New Roman"/>
                <w:sz w:val="20"/>
                <w:szCs w:val="20"/>
                <w:lang w:val="de-DE" w:eastAsia="de-DE"/>
              </w:rPr>
              <w:t>-</w:t>
            </w:r>
          </w:p>
        </w:tc>
      </w:tr>
      <w:tr w:rsidR="00ED76B6" w:rsidRPr="00187C93" w14:paraId="3A985B41" w14:textId="77777777" w:rsidTr="0068635D">
        <w:trPr>
          <w:trHeight w:val="285"/>
        </w:trPr>
        <w:tc>
          <w:tcPr>
            <w:tcW w:w="980" w:type="dxa"/>
            <w:tcBorders>
              <w:top w:val="nil"/>
              <w:left w:val="nil"/>
              <w:bottom w:val="nil"/>
              <w:right w:val="nil"/>
            </w:tcBorders>
            <w:noWrap/>
            <w:vAlign w:val="bottom"/>
            <w:hideMark/>
          </w:tcPr>
          <w:p w14:paraId="408307B6" w14:textId="77777777" w:rsidR="00ED76B6" w:rsidRPr="00187C93" w:rsidRDefault="00ED76B6" w:rsidP="0068635D">
            <w:pPr>
              <w:spacing w:before="0" w:after="0"/>
              <w:jc w:val="right"/>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Feb 18</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B9C91"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45</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426383"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55</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F03D62"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6F9332"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40</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6EC0A6"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60</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E19832"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r>
      <w:tr w:rsidR="00ED76B6" w:rsidRPr="00187C93" w14:paraId="244181AA" w14:textId="77777777" w:rsidTr="0068635D">
        <w:trPr>
          <w:trHeight w:val="285"/>
        </w:trPr>
        <w:tc>
          <w:tcPr>
            <w:tcW w:w="980" w:type="dxa"/>
            <w:tcBorders>
              <w:top w:val="nil"/>
              <w:left w:val="nil"/>
              <w:bottom w:val="nil"/>
              <w:right w:val="nil"/>
            </w:tcBorders>
            <w:noWrap/>
            <w:vAlign w:val="bottom"/>
            <w:hideMark/>
          </w:tcPr>
          <w:p w14:paraId="01F1A316" w14:textId="77777777" w:rsidR="00ED76B6" w:rsidRPr="00187C93" w:rsidRDefault="00ED76B6" w:rsidP="0068635D">
            <w:pPr>
              <w:spacing w:before="0" w:after="0"/>
              <w:jc w:val="right"/>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Mar 19</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0A27A2"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33</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9F44E0"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66</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2219BF"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427C18"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37</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B9F780A"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63</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CCF0DF"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r>
      <w:tr w:rsidR="00ED76B6" w:rsidRPr="00187C93" w14:paraId="7C6391D9" w14:textId="77777777" w:rsidTr="0068635D">
        <w:trPr>
          <w:trHeight w:val="285"/>
        </w:trPr>
        <w:tc>
          <w:tcPr>
            <w:tcW w:w="980" w:type="dxa"/>
            <w:tcBorders>
              <w:top w:val="nil"/>
              <w:left w:val="nil"/>
              <w:bottom w:val="nil"/>
              <w:right w:val="nil"/>
            </w:tcBorders>
            <w:noWrap/>
            <w:vAlign w:val="bottom"/>
            <w:hideMark/>
          </w:tcPr>
          <w:p w14:paraId="00182AE8" w14:textId="77777777" w:rsidR="00ED76B6" w:rsidRPr="00187C93" w:rsidRDefault="00ED76B6" w:rsidP="0068635D">
            <w:pPr>
              <w:spacing w:before="0" w:after="0"/>
              <w:jc w:val="right"/>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Apr 25</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32B915"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11</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F33A50"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89</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10F4D0"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8CC307"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45</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022B9F1"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55</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43F039"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r>
      <w:tr w:rsidR="00ED76B6" w:rsidRPr="00187C93" w14:paraId="1B8B112B" w14:textId="77777777" w:rsidTr="0068635D">
        <w:trPr>
          <w:trHeight w:val="285"/>
        </w:trPr>
        <w:tc>
          <w:tcPr>
            <w:tcW w:w="980" w:type="dxa"/>
            <w:tcBorders>
              <w:top w:val="nil"/>
              <w:left w:val="nil"/>
              <w:bottom w:val="nil"/>
              <w:right w:val="nil"/>
            </w:tcBorders>
            <w:noWrap/>
            <w:vAlign w:val="bottom"/>
            <w:hideMark/>
          </w:tcPr>
          <w:p w14:paraId="12DF2394" w14:textId="77777777" w:rsidR="00ED76B6" w:rsidRPr="00187C93" w:rsidRDefault="00ED76B6" w:rsidP="0068635D">
            <w:pPr>
              <w:spacing w:before="0" w:after="0"/>
              <w:jc w:val="right"/>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Jun 11</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5648E0E"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AA65C8" w14:textId="77777777" w:rsidR="00ED76B6" w:rsidRPr="00187C93" w:rsidRDefault="00ED76B6" w:rsidP="0068635D">
            <w:pPr>
              <w:spacing w:before="0" w:after="0"/>
              <w:jc w:val="center"/>
              <w:rPr>
                <w:rFonts w:eastAsia="Times New Roman" w:cs="Times New Roman"/>
                <w:sz w:val="20"/>
                <w:szCs w:val="20"/>
                <w:lang w:val="de-DE" w:eastAsia="de-DE"/>
              </w:rPr>
            </w:pPr>
            <w:r w:rsidRPr="00187C93">
              <w:rPr>
                <w:rFonts w:eastAsia="Times New Roman" w:cs="Times New Roman"/>
                <w:sz w:val="20"/>
                <w:szCs w:val="20"/>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0F9A6D"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100/0</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A4093B"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44</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032123"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w:t>
            </w:r>
          </w:p>
        </w:tc>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1AE334" w14:textId="77777777" w:rsidR="00ED76B6" w:rsidRPr="00187C93" w:rsidRDefault="00ED76B6" w:rsidP="0068635D">
            <w:pPr>
              <w:spacing w:before="0" w:after="0"/>
              <w:jc w:val="center"/>
              <w:rPr>
                <w:rFonts w:ascii="Calibri" w:eastAsia="Times New Roman" w:hAnsi="Calibri" w:cs="Calibri"/>
                <w:color w:val="000000"/>
                <w:sz w:val="22"/>
                <w:lang w:val="de-DE" w:eastAsia="de-DE"/>
              </w:rPr>
            </w:pPr>
            <w:r w:rsidRPr="00187C93">
              <w:rPr>
                <w:rFonts w:ascii="Calibri" w:eastAsia="Times New Roman" w:hAnsi="Calibri" w:cs="Calibri"/>
                <w:color w:val="000000"/>
                <w:sz w:val="22"/>
                <w:lang w:val="de-DE" w:eastAsia="de-DE"/>
              </w:rPr>
              <w:t>28/28</w:t>
            </w:r>
          </w:p>
        </w:tc>
      </w:tr>
    </w:tbl>
    <w:p w14:paraId="411E6FD8" w14:textId="76EB2579" w:rsidR="00ED76B6" w:rsidRDefault="00ED76B6" w:rsidP="00ED76B6">
      <w:pPr>
        <w:keepNext/>
        <w:rPr>
          <w:rFonts w:cs="Times New Roman"/>
          <w:szCs w:val="24"/>
        </w:rPr>
      </w:pPr>
      <w:r>
        <w:rPr>
          <w:rFonts w:cs="Times New Roman"/>
          <w:b/>
          <w:szCs w:val="24"/>
        </w:rPr>
        <w:t xml:space="preserve">Table </w:t>
      </w:r>
      <w:r w:rsidR="009B4980">
        <w:rPr>
          <w:rFonts w:cs="Times New Roman"/>
          <w:b/>
          <w:szCs w:val="24"/>
        </w:rPr>
        <w:t>S</w:t>
      </w:r>
      <w:r>
        <w:rPr>
          <w:rFonts w:cs="Times New Roman"/>
          <w:b/>
          <w:szCs w:val="24"/>
        </w:rPr>
        <w:t>2</w:t>
      </w:r>
      <w:r w:rsidRPr="0001436A">
        <w:rPr>
          <w:rFonts w:cs="Times New Roman"/>
          <w:b/>
          <w:szCs w:val="24"/>
        </w:rPr>
        <w:t>.</w:t>
      </w:r>
      <w:r w:rsidRPr="001549D3">
        <w:rPr>
          <w:rFonts w:cs="Times New Roman"/>
          <w:szCs w:val="24"/>
        </w:rPr>
        <w:t xml:space="preserve"> </w:t>
      </w:r>
      <w:r w:rsidRPr="00187C93">
        <w:rPr>
          <w:rFonts w:cs="Times New Roman"/>
          <w:szCs w:val="24"/>
        </w:rPr>
        <w:t>Percent distribution of males showing type A spermatogonia (SGA), type B spermatogonia (SGB), or spermatocytes/spermatids (SC/ST) as furthest developed germ cell stage on the different sampling dates of experiment 2. After the initial control sampling on January 8, exposure to normal light (NL) continued, or exposure to constant light (LL) started on February 1 for half of the animals.</w:t>
      </w:r>
    </w:p>
    <w:p w14:paraId="64F33EF3" w14:textId="77777777" w:rsidR="000912B9" w:rsidRPr="000E1CCC" w:rsidRDefault="000912B9" w:rsidP="000E1CCC"/>
    <w:sectPr w:rsidR="000912B9" w:rsidRPr="000E1CCC" w:rsidSect="00043485">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F98F" w14:textId="77777777" w:rsidR="002C45EA" w:rsidRDefault="002C45EA" w:rsidP="00972755">
      <w:r>
        <w:separator/>
      </w:r>
    </w:p>
  </w:endnote>
  <w:endnote w:type="continuationSeparator" w:id="0">
    <w:p w14:paraId="67FE20BA" w14:textId="77777777" w:rsidR="002C45EA" w:rsidRDefault="002C45EA"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8861" w14:textId="77777777" w:rsidR="00972755" w:rsidRDefault="0097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CE03" w14:textId="77777777" w:rsidR="00972755" w:rsidRDefault="0097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381" w14:textId="77777777" w:rsidR="00972755" w:rsidRDefault="0097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F0CB" w14:textId="77777777" w:rsidR="002C45EA" w:rsidRDefault="002C45EA" w:rsidP="00972755">
      <w:r>
        <w:separator/>
      </w:r>
    </w:p>
  </w:footnote>
  <w:footnote w:type="continuationSeparator" w:id="0">
    <w:p w14:paraId="7B68CD38" w14:textId="77777777" w:rsidR="002C45EA" w:rsidRDefault="002C45EA" w:rsidP="0097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AF06" w14:textId="77777777" w:rsidR="00972755" w:rsidRDefault="0097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34DE" w14:textId="77777777" w:rsidR="00972755" w:rsidRDefault="0097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71A9" w14:textId="77777777" w:rsidR="00972755" w:rsidRDefault="00972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B6"/>
    <w:rsid w:val="00043485"/>
    <w:rsid w:val="00044647"/>
    <w:rsid w:val="00070D33"/>
    <w:rsid w:val="000912B9"/>
    <w:rsid w:val="000E1CCC"/>
    <w:rsid w:val="00122BC7"/>
    <w:rsid w:val="0013693F"/>
    <w:rsid w:val="002C45EA"/>
    <w:rsid w:val="003B2887"/>
    <w:rsid w:val="003D1959"/>
    <w:rsid w:val="00405E10"/>
    <w:rsid w:val="00412FE8"/>
    <w:rsid w:val="00572780"/>
    <w:rsid w:val="00664636"/>
    <w:rsid w:val="00726CFE"/>
    <w:rsid w:val="00746335"/>
    <w:rsid w:val="0084220E"/>
    <w:rsid w:val="008C42DA"/>
    <w:rsid w:val="009349D3"/>
    <w:rsid w:val="00972755"/>
    <w:rsid w:val="00987673"/>
    <w:rsid w:val="009B4980"/>
    <w:rsid w:val="00A044CC"/>
    <w:rsid w:val="00BE24CB"/>
    <w:rsid w:val="00CB12D0"/>
    <w:rsid w:val="00E638C9"/>
    <w:rsid w:val="00E8247E"/>
    <w:rsid w:val="00ED76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FD09E"/>
  <w15:chartTrackingRefBased/>
  <w15:docId w15:val="{7329E834-F13D-4A1B-89E6-78A2DB0A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6B6"/>
    <w:pPr>
      <w:spacing w:before="120" w:after="240"/>
    </w:pPr>
    <w:rPr>
      <w:rFonts w:ascii="Times New Roman" w:eastAsiaTheme="minorHAnsi" w:hAnsi="Times New Roman" w:cstheme="minorBidi"/>
      <w:sz w:val="24"/>
      <w:szCs w:val="22"/>
      <w:lang w:val="en-US" w:eastAsia="en-US"/>
    </w:rPr>
  </w:style>
  <w:style w:type="paragraph" w:styleId="Heading1">
    <w:name w:val="heading 1"/>
    <w:basedOn w:val="Normal"/>
    <w:next w:val="Normal"/>
    <w:link w:val="Heading1Char"/>
    <w:uiPriority w:val="9"/>
    <w:qFormat/>
    <w:rsid w:val="000E1CCC"/>
    <w:pPr>
      <w:keepNext/>
      <w:spacing w:after="120"/>
      <w:outlineLvl w:val="0"/>
    </w:pPr>
    <w:rPr>
      <w:b/>
      <w:bCs/>
      <w:sz w:val="28"/>
      <w:szCs w:val="32"/>
    </w:rPr>
  </w:style>
  <w:style w:type="paragraph" w:styleId="Heading2">
    <w:name w:val="heading 2"/>
    <w:basedOn w:val="Normal"/>
    <w:next w:val="Normal"/>
    <w:link w:val="Heading2Char"/>
    <w:uiPriority w:val="9"/>
    <w:unhideWhenUsed/>
    <w:qFormat/>
    <w:rsid w:val="000E1CCC"/>
    <w:pPr>
      <w:keepNext/>
      <w:spacing w:after="120"/>
      <w:outlineLvl w:val="1"/>
    </w:pPr>
    <w:rPr>
      <w:b/>
      <w:bCs/>
      <w:iCs/>
      <w:szCs w:val="28"/>
    </w:rPr>
  </w:style>
  <w:style w:type="paragraph" w:styleId="Heading3">
    <w:name w:val="heading 3"/>
    <w:basedOn w:val="Normal"/>
    <w:next w:val="Normal"/>
    <w:link w:val="Heading3Char"/>
    <w:uiPriority w:val="9"/>
    <w:unhideWhenUsed/>
    <w:qFormat/>
    <w:rsid w:val="000E1CCC"/>
    <w:pPr>
      <w:keepNext/>
      <w:spacing w:after="60"/>
      <w:outlineLvl w:val="2"/>
    </w:pPr>
    <w:rPr>
      <w:rFonts w:eastAsia="Times New Roman"/>
      <w:b/>
      <w:bCs/>
      <w:szCs w:val="26"/>
    </w:rPr>
  </w:style>
  <w:style w:type="paragraph" w:styleId="Heading4">
    <w:name w:val="heading 4"/>
    <w:basedOn w:val="Normal"/>
    <w:next w:val="Normal"/>
    <w:link w:val="Heading4Char"/>
    <w:uiPriority w:val="9"/>
    <w:unhideWhenUsed/>
    <w:qFormat/>
    <w:rsid w:val="000E1CCC"/>
    <w:pPr>
      <w:spacing w:after="60"/>
      <w:outlineLvl w:val="3"/>
    </w:pPr>
    <w:rPr>
      <w:rFonts w:eastAsia="Times New Roman"/>
      <w:iCs/>
      <w:szCs w:val="24"/>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1CCC"/>
    <w:rPr>
      <w:rFonts w:ascii="Times New Roman" w:eastAsia="Calibri" w:hAnsi="Times New Roman" w:cs="Times New Roman"/>
      <w:b/>
      <w:bCs/>
      <w:sz w:val="28"/>
      <w:szCs w:val="32"/>
      <w:lang w:eastAsia="nb-NO"/>
    </w:rPr>
  </w:style>
  <w:style w:type="character" w:customStyle="1" w:styleId="Heading2Char">
    <w:name w:val="Heading 2 Char"/>
    <w:link w:val="Heading2"/>
    <w:uiPriority w:val="9"/>
    <w:rsid w:val="000E1CCC"/>
    <w:rPr>
      <w:rFonts w:ascii="Times New Roman" w:eastAsia="Calibri" w:hAnsi="Times New Roman" w:cs="Times New Roman"/>
      <w:b/>
      <w:bCs/>
      <w:iCs/>
      <w:sz w:val="24"/>
      <w:szCs w:val="28"/>
      <w:lang w:eastAsia="nb-NO"/>
    </w:rPr>
  </w:style>
  <w:style w:type="character" w:customStyle="1" w:styleId="Heading3Char">
    <w:name w:val="Heading 3 Char"/>
    <w:link w:val="Heading3"/>
    <w:uiPriority w:val="9"/>
    <w:rsid w:val="000E1CCC"/>
    <w:rPr>
      <w:rFonts w:ascii="Times New Roman" w:eastAsia="Times New Roman" w:hAnsi="Times New Roman" w:cs="Times New Roman"/>
      <w:b/>
      <w:bCs/>
      <w:sz w:val="24"/>
      <w:szCs w:val="26"/>
      <w:lang w:eastAsia="nb-NO"/>
    </w:rPr>
  </w:style>
  <w:style w:type="character" w:customStyle="1" w:styleId="Heading4Char">
    <w:name w:val="Heading 4 Char"/>
    <w:link w:val="Heading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rPr>
      <w:sz w:val="20"/>
    </w:rPr>
  </w:style>
  <w:style w:type="paragraph" w:customStyle="1" w:styleId="ref">
    <w:name w:val="ref"/>
    <w:basedOn w:val="Normal"/>
    <w:autoRedefine/>
    <w:qFormat/>
    <w:rsid w:val="000E1CCC"/>
    <w:pPr>
      <w:ind w:left="709" w:hanging="709"/>
    </w:pPr>
    <w:rPr>
      <w:sz w:val="20"/>
      <w:lang w:val="en-GB"/>
    </w:rPr>
  </w:style>
  <w:style w:type="paragraph" w:customStyle="1" w:styleId="Tabell">
    <w:name w:val="Tabell"/>
    <w:basedOn w:val="figur"/>
    <w:qFormat/>
    <w:rsid w:val="000E1CCC"/>
    <w:pPr>
      <w:spacing w:before="0" w:after="120"/>
    </w:pPr>
    <w:rPr>
      <w:lang w:val="en-GB"/>
    </w:rPr>
  </w:style>
  <w:style w:type="paragraph" w:styleId="Header">
    <w:name w:val="header"/>
    <w:basedOn w:val="Normal"/>
    <w:link w:val="HeaderChar"/>
    <w:uiPriority w:val="99"/>
    <w:unhideWhenUsed/>
    <w:rsid w:val="00972755"/>
    <w:pPr>
      <w:tabs>
        <w:tab w:val="center" w:pos="4536"/>
        <w:tab w:val="right" w:pos="9072"/>
      </w:tabs>
    </w:pPr>
  </w:style>
  <w:style w:type="character" w:customStyle="1" w:styleId="HeaderChar">
    <w:name w:val="Header Char"/>
    <w:link w:val="Header"/>
    <w:uiPriority w:val="99"/>
    <w:rsid w:val="00972755"/>
    <w:rPr>
      <w:rFonts w:ascii="Times New Roman" w:hAnsi="Times New Roman"/>
      <w:sz w:val="24"/>
      <w:szCs w:val="22"/>
    </w:rPr>
  </w:style>
  <w:style w:type="paragraph" w:styleId="Footer">
    <w:name w:val="footer"/>
    <w:basedOn w:val="Normal"/>
    <w:link w:val="FooterChar"/>
    <w:uiPriority w:val="99"/>
    <w:unhideWhenUsed/>
    <w:rsid w:val="00972755"/>
    <w:pPr>
      <w:tabs>
        <w:tab w:val="center" w:pos="4536"/>
        <w:tab w:val="right" w:pos="9072"/>
      </w:tabs>
    </w:pPr>
  </w:style>
  <w:style w:type="character" w:customStyle="1" w:styleId="FooterChar">
    <w:name w:val="Footer Char"/>
    <w:link w:val="Footer"/>
    <w:uiPriority w:val="99"/>
    <w:rsid w:val="00972755"/>
    <w:rPr>
      <w:rFonts w:ascii="Times New Roman" w:hAnsi="Times New Roman"/>
      <w:sz w:val="24"/>
      <w:szCs w:val="22"/>
    </w:rPr>
  </w:style>
  <w:style w:type="paragraph" w:customStyle="1" w:styleId="AuthorList">
    <w:name w:val="Author List"/>
    <w:aliases w:val="Keywords,Abstract"/>
    <w:basedOn w:val="Subtitle"/>
    <w:next w:val="Normal"/>
    <w:uiPriority w:val="1"/>
    <w:qFormat/>
    <w:rsid w:val="00ED76B6"/>
    <w:pPr>
      <w:numPr>
        <w:ilvl w:val="0"/>
      </w:numPr>
      <w:spacing w:before="240" w:after="240"/>
    </w:pPr>
    <w:rPr>
      <w:rFonts w:ascii="Times New Roman" w:eastAsiaTheme="minorHAnsi" w:hAnsi="Times New Roman" w:cs="Times New Roman"/>
      <w:b/>
      <w:color w:val="auto"/>
      <w:spacing w:val="0"/>
      <w:sz w:val="24"/>
      <w:szCs w:val="24"/>
    </w:rPr>
  </w:style>
  <w:style w:type="character" w:styleId="Hyperlink">
    <w:name w:val="Hyperlink"/>
    <w:basedOn w:val="DefaultParagraphFont"/>
    <w:uiPriority w:val="99"/>
    <w:unhideWhenUsed/>
    <w:rsid w:val="00ED76B6"/>
    <w:rPr>
      <w:color w:val="0000FF"/>
      <w:u w:val="single"/>
    </w:rPr>
  </w:style>
  <w:style w:type="paragraph" w:styleId="Title">
    <w:name w:val="Title"/>
    <w:basedOn w:val="Normal"/>
    <w:next w:val="Normal"/>
    <w:link w:val="TitleChar"/>
    <w:qFormat/>
    <w:rsid w:val="00ED76B6"/>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ED76B6"/>
    <w:rPr>
      <w:rFonts w:ascii="Times New Roman" w:eastAsiaTheme="minorHAnsi" w:hAnsi="Times New Roman"/>
      <w:b/>
      <w:sz w:val="32"/>
      <w:szCs w:val="32"/>
      <w:lang w:val="en-US" w:eastAsia="en-US"/>
    </w:rPr>
  </w:style>
  <w:style w:type="paragraph" w:customStyle="1" w:styleId="SupplementaryMaterial">
    <w:name w:val="Supplementary Material"/>
    <w:basedOn w:val="Title"/>
    <w:next w:val="Title"/>
    <w:qFormat/>
    <w:rsid w:val="00ED76B6"/>
    <w:pPr>
      <w:spacing w:after="120"/>
    </w:pPr>
    <w:rPr>
      <w:i/>
    </w:rPr>
  </w:style>
  <w:style w:type="paragraph" w:styleId="Subtitle">
    <w:name w:val="Subtitle"/>
    <w:basedOn w:val="Normal"/>
    <w:next w:val="Normal"/>
    <w:link w:val="SubtitleChar"/>
    <w:uiPriority w:val="11"/>
    <w:qFormat/>
    <w:rsid w:val="00ED76B6"/>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76B6"/>
    <w:rPr>
      <w:rFonts w:asciiTheme="minorHAnsi" w:eastAsiaTheme="minorEastAsia" w:hAnsiTheme="minorHAnsi" w:cstheme="minorBidi"/>
      <w:color w:val="5A5A5A" w:themeColor="text1" w:themeTint="A5"/>
      <w:spacing w:val="15"/>
      <w:sz w:val="22"/>
      <w:szCs w:val="22"/>
      <w:lang w:val="en-US" w:eastAsia="en-US"/>
    </w:rPr>
  </w:style>
  <w:style w:type="paragraph" w:styleId="BalloonText">
    <w:name w:val="Balloon Text"/>
    <w:basedOn w:val="Normal"/>
    <w:link w:val="BalloonTextChar"/>
    <w:uiPriority w:val="99"/>
    <w:semiHidden/>
    <w:unhideWhenUsed/>
    <w:rsid w:val="009B49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80"/>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717AF66F</Template>
  <TotalTime>0</TotalTime>
  <Pages>1</Pages>
  <Words>87</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evaa</dc:creator>
  <cp:keywords/>
  <dc:description/>
  <cp:lastModifiedBy>Schulz, R.W. (Rudiger)</cp:lastModifiedBy>
  <cp:revision>2</cp:revision>
  <cp:lastPrinted>2019-04-23T15:39:00Z</cp:lastPrinted>
  <dcterms:created xsi:type="dcterms:W3CDTF">2019-05-01T07:59:00Z</dcterms:created>
  <dcterms:modified xsi:type="dcterms:W3CDTF">2019-05-01T07:59:00Z</dcterms:modified>
</cp:coreProperties>
</file>