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A4A" w:rsidRDefault="00F20A4A" w:rsidP="00F20A4A">
      <w:pPr>
        <w:ind w:firstLine="0"/>
      </w:pPr>
      <w:bookmarkStart w:id="0" w:name="_GoBack"/>
      <w:bookmarkEnd w:id="0"/>
      <w:r w:rsidRPr="00622F05">
        <w:rPr>
          <w:b/>
        </w:rPr>
        <w:t>Supplementary Material for:</w:t>
      </w:r>
      <w:r>
        <w:t xml:space="preserve"> </w:t>
      </w:r>
      <w:r w:rsidRPr="00C250C5">
        <w:rPr>
          <w:rFonts w:eastAsia="Calibri"/>
        </w:rPr>
        <w:t>Frailty Effects on Non-Demented</w:t>
      </w:r>
      <w:r>
        <w:rPr>
          <w:rFonts w:eastAsia="Calibri"/>
        </w:rPr>
        <w:t xml:space="preserve"> </w:t>
      </w:r>
      <w:r w:rsidRPr="00C250C5">
        <w:rPr>
          <w:rFonts w:eastAsia="Calibri"/>
        </w:rPr>
        <w:t>Cognitiv</w:t>
      </w:r>
      <w:r>
        <w:rPr>
          <w:rFonts w:eastAsia="Calibri"/>
        </w:rPr>
        <w:t>e Trajectories</w:t>
      </w:r>
      <w:r w:rsidRPr="00C250C5">
        <w:rPr>
          <w:rFonts w:eastAsia="Calibri"/>
        </w:rPr>
        <w:t xml:space="preserve"> are Moderated by Sex and </w:t>
      </w:r>
      <w:r>
        <w:rPr>
          <w:rFonts w:eastAsia="Calibri"/>
        </w:rPr>
        <w:t xml:space="preserve">Alzheimer’s </w:t>
      </w:r>
      <w:r w:rsidRPr="00C250C5">
        <w:rPr>
          <w:rFonts w:eastAsia="Calibri"/>
        </w:rPr>
        <w:t>Genetic Risk</w:t>
      </w:r>
    </w:p>
    <w:p w:rsidR="00F20A4A" w:rsidRPr="0059460A" w:rsidRDefault="004F4582" w:rsidP="00F20A4A">
      <w:pPr>
        <w:spacing w:line="240" w:lineRule="auto"/>
        <w:ind w:firstLine="0"/>
        <w:outlineLvl w:val="9"/>
        <w:rPr>
          <w:b/>
          <w:color w:val="4472C4" w:themeColor="accent1"/>
        </w:rPr>
      </w:pPr>
      <w:r w:rsidRPr="0059460A">
        <w:rPr>
          <w:b/>
          <w:color w:val="4472C4" w:themeColor="accent1"/>
        </w:rPr>
        <w:t>Statistical Analyses</w:t>
      </w:r>
    </w:p>
    <w:p w:rsidR="004F4582" w:rsidRPr="0059460A" w:rsidRDefault="004F4582" w:rsidP="00F20A4A">
      <w:pPr>
        <w:spacing w:line="240" w:lineRule="auto"/>
        <w:ind w:firstLine="0"/>
        <w:outlineLvl w:val="9"/>
        <w:rPr>
          <w:color w:val="4472C4" w:themeColor="accent1"/>
        </w:rPr>
      </w:pPr>
    </w:p>
    <w:p w:rsidR="004F4582" w:rsidRPr="0059460A" w:rsidRDefault="004F4582" w:rsidP="004F4582">
      <w:pPr>
        <w:ind w:firstLine="425"/>
        <w:rPr>
          <w:color w:val="4472C4" w:themeColor="accent1"/>
        </w:rPr>
      </w:pPr>
      <w:r w:rsidRPr="0059460A">
        <w:rPr>
          <w:b/>
          <w:i/>
          <w:color w:val="4472C4" w:themeColor="accent1"/>
        </w:rPr>
        <w:t>Longitudinal Measurement Invariance</w:t>
      </w:r>
      <w:r w:rsidRPr="0059460A">
        <w:rPr>
          <w:color w:val="4472C4" w:themeColor="accent1"/>
        </w:rPr>
        <w:t>. Tested using (a) configural invariance, which is used to determine if the same EF measures represent the latent variable at each wave of data collection, (b) metric invariance, which is used to determine that each EF latent variable was measuring the same construct, and (c) scalar invariance, which tests whether there are mean differences at the latent mean level. Model fit was determined using standard indices: (a) χ</w:t>
      </w:r>
      <w:r w:rsidRPr="0059460A">
        <w:rPr>
          <w:color w:val="4472C4" w:themeColor="accent1"/>
          <w:vertAlign w:val="superscript"/>
        </w:rPr>
        <w:t xml:space="preserve">2 </w:t>
      </w:r>
      <w:r w:rsidRPr="0059460A">
        <w:rPr>
          <w:color w:val="4472C4" w:themeColor="accent1"/>
        </w:rPr>
        <w:t>for which a good fit would produce a non-significant test (p &gt; .05), indicating the data are not significantly different than the model estimates, (b) comparative fit index (CFI) for which ≥ .95 was judged a good fit and between .90 and .94 was judged an adequate fit, (c) root mean square error of approximation (</w:t>
      </w:r>
      <w:r w:rsidRPr="0059460A">
        <w:rPr>
          <w:rFonts w:eastAsia="Times New Roman"/>
          <w:color w:val="4472C4" w:themeColor="accent1"/>
        </w:rPr>
        <w:t>RMSEA</w:t>
      </w:r>
      <w:r w:rsidRPr="0059460A">
        <w:rPr>
          <w:color w:val="4472C4" w:themeColor="accent1"/>
        </w:rPr>
        <w:t>), for which ≤ .05 would be judged good and between .06 and .08 would be judged adequate, and (d) standardized root-mean-square residual (</w:t>
      </w:r>
      <w:r w:rsidRPr="0059460A">
        <w:rPr>
          <w:rFonts w:eastAsia="Times New Roman"/>
          <w:color w:val="4472C4" w:themeColor="accent1"/>
        </w:rPr>
        <w:t>SRMR</w:t>
      </w:r>
      <w:r w:rsidRPr="0059460A">
        <w:rPr>
          <w:color w:val="4472C4" w:themeColor="accent1"/>
        </w:rPr>
        <w:t xml:space="preserve">) for which good fit is judged by a value of  ≤ .08 </w:t>
      </w:r>
      <w:r w:rsidR="00311352" w:rsidRPr="0059460A">
        <w:rPr>
          <w:color w:val="4472C4" w:themeColor="accent1"/>
        </w:rPr>
        <w:fldChar w:fldCharType="begin">
          <w:fldData xml:space="preserve">PEVuZE5vdGU+PENpdGU+PEF1dGhvcj5LbGluZTwvQXV0aG9yPjxZZWFyPjIwMTE8L1llYXI+PFJl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</w:fldData>
        </w:fldChar>
      </w:r>
      <w:r w:rsidR="00812329">
        <w:rPr>
          <w:color w:val="4472C4" w:themeColor="accent1"/>
        </w:rPr>
        <w:instrText xml:space="preserve"> ADDIN EN.CITE </w:instrText>
      </w:r>
      <w:r w:rsidR="00311352">
        <w:rPr>
          <w:color w:val="4472C4" w:themeColor="accent1"/>
        </w:rPr>
        <w:fldChar w:fldCharType="begin">
          <w:fldData xml:space="preserve">PEVuZE5vdGU+PENpdGU+PEF1dGhvcj5LbGluZTwvQXV0aG9yPjxZZWFyPjIwMTE8L1llYXI+PFJl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</w:fldData>
        </w:fldChar>
      </w:r>
      <w:r w:rsidR="00812329">
        <w:rPr>
          <w:color w:val="4472C4" w:themeColor="accent1"/>
        </w:rPr>
        <w:instrText xml:space="preserve"> ADDIN EN.CITE.DATA </w:instrText>
      </w:r>
      <w:r w:rsidR="00311352">
        <w:rPr>
          <w:color w:val="4472C4" w:themeColor="accent1"/>
        </w:rPr>
      </w:r>
      <w:r w:rsidR="00311352">
        <w:rPr>
          <w:color w:val="4472C4" w:themeColor="accent1"/>
        </w:rPr>
        <w:fldChar w:fldCharType="end"/>
      </w:r>
      <w:r w:rsidR="00311352" w:rsidRPr="0059460A">
        <w:rPr>
          <w:color w:val="4472C4" w:themeColor="accent1"/>
        </w:rPr>
      </w:r>
      <w:r w:rsidR="00311352" w:rsidRPr="0059460A">
        <w:rPr>
          <w:color w:val="4472C4" w:themeColor="accent1"/>
        </w:rPr>
        <w:fldChar w:fldCharType="separate"/>
      </w:r>
      <w:r w:rsidR="00812329">
        <w:rPr>
          <w:noProof/>
          <w:color w:val="4472C4" w:themeColor="accent1"/>
        </w:rPr>
        <w:t>(Kline, 2011; Little, 2013)</w:t>
      </w:r>
      <w:r w:rsidR="00311352" w:rsidRPr="0059460A">
        <w:rPr>
          <w:color w:val="4472C4" w:themeColor="accent1"/>
        </w:rPr>
        <w:fldChar w:fldCharType="end"/>
      </w:r>
      <w:r w:rsidRPr="0059460A">
        <w:rPr>
          <w:color w:val="4472C4" w:themeColor="accent1"/>
        </w:rPr>
        <w:t xml:space="preserve">. </w:t>
      </w:r>
    </w:p>
    <w:p w:rsidR="004F4582" w:rsidRPr="00812329" w:rsidRDefault="004F4582" w:rsidP="004F4582">
      <w:pPr>
        <w:ind w:firstLine="425"/>
        <w:rPr>
          <w:color w:val="4472C4" w:themeColor="accent1"/>
        </w:rPr>
      </w:pPr>
      <w:r w:rsidRPr="0059460A">
        <w:rPr>
          <w:b/>
          <w:i/>
          <w:color w:val="4472C4" w:themeColor="accent1"/>
        </w:rPr>
        <w:t>Latent Growth Modeling.</w:t>
      </w:r>
      <w:r w:rsidRPr="0059460A">
        <w:rPr>
          <w:color w:val="4472C4" w:themeColor="accent1"/>
        </w:rPr>
        <w:t xml:space="preserve"> Growth models were tested in this order: (</w:t>
      </w:r>
      <w:r w:rsidRPr="0059460A">
        <w:rPr>
          <w:color w:val="4472C4" w:themeColor="accent1"/>
          <w:lang w:val="en-CA"/>
        </w:rPr>
        <w:t xml:space="preserve">a) a fixed intercept model, which assumed no inter- or intra-individual variation, (b) a random intercept model, which modeled inter-individual variability in overall level but no intra-individual change, (c) a random intercept fixed slope model, which allowed inter-individual variability in level but assumes all individuals exhibited the same rate of change, and (d) a random intercept, random slope model which allowed inter-individual variability in level and change. When growth modeling uses individually varying times of observation as parameters the traditional SEM model fit indices (i.e., chi-square, RMSEA, CFI, etc) are not available. Therefore, the log-likelihood (LL) and indices of relative fit, the Akaike (AIC) and Bayesian information criteria </w:t>
      </w:r>
      <w:r w:rsidRPr="0059460A">
        <w:rPr>
          <w:color w:val="4472C4" w:themeColor="accent1"/>
          <w:lang w:val="en-CA"/>
        </w:rPr>
        <w:lastRenderedPageBreak/>
        <w:t xml:space="preserve">(BIC), are provided. The LL </w:t>
      </w:r>
      <w:r w:rsidRPr="0059460A">
        <w:rPr>
          <w:color w:val="4472C4" w:themeColor="accent1"/>
        </w:rPr>
        <w:t xml:space="preserve">is the measure of the magnitude of the log-likelihood function for the particular combination of parameter estimates and observed data </w:t>
      </w:r>
      <w:r w:rsidR="00311352" w:rsidRPr="0059460A">
        <w:rPr>
          <w:color w:val="4472C4" w:themeColor="accent1"/>
        </w:rPr>
        <w:fldChar w:fldCharType="begin"/>
      </w:r>
      <w:r w:rsidR="00812329">
        <w:rPr>
          <w:color w:val="4472C4" w:themeColor="accent1"/>
        </w:rPr>
        <w:instrText xml:space="preserve"> ADDIN EN.CITE &lt;EndNote&gt;&lt;Cite&gt;&lt;Author&gt;Singer&lt;/Author&gt;&lt;Year&gt;2003&lt;/Year&gt;&lt;RecNum&gt;628&lt;/RecNum&gt;&lt;DisplayText&gt;(Singer &amp;amp; Willett, 2003)&lt;/DisplayText&gt;&lt;record&gt;&lt;rec-number&gt;628&lt;/rec-number&gt;&lt;foreign-keys&gt;&lt;key app="EN" db-id="rxpsa5s56d92rnefffjx52ssavssz5ez55s2" timestamp="1486251198"&gt;628&lt;/key&gt;&lt;/foreign-keys&gt;&lt;ref-type name="Book"&gt;6&lt;/ref-type&gt;&lt;contributors&gt;&lt;authors&gt;&lt;author&gt;Singer, Judith D.&lt;/author&gt;&lt;author&gt;Willett, John B.&lt;/author&gt;&lt;/authors&gt;&lt;/contributors&gt;&lt;auth-address&gt;Singer, Judith D.: Harvard U, Graduate School of Education, Cambridge, MA, US Willett, John B.: Harvard U, Graduate School of Education, Cambridge, MA, US&lt;/auth-address&gt;&lt;titles&gt;&lt;title&gt;Applied longitudinal data analysis: Modeling change and event occurrence&lt;/title&gt;&lt;/titles&gt;&lt;number&gt;Book, Whole&lt;/number&gt;&lt;keywords&gt;&lt;keyword&gt;statistical methods, multilevel individual change models, hazard &amp;amp; survival models, methods&lt;/keyword&gt;&lt;keyword&gt;Methodology&lt;/keyword&gt;&lt;keyword&gt;Statistical Analysis&lt;/keyword&gt;&lt;keyword&gt;Statistics&lt;/keyword&gt;&lt;keyword&gt;Time&lt;/keyword&gt;&lt;/keywords&gt;&lt;dates&gt;&lt;year&gt;2003&lt;/year&gt;&lt;/dates&gt;&lt;pub-location&gt;New York, NY&lt;/pub-location&gt;&lt;publisher&gt;Oxford University Press; US&lt;/publisher&gt;&lt;isbn&gt;0-19-515296-4 (Hardcover)&lt;/isbn&gt;&lt;urls&gt;&lt;related-urls&gt;&lt;url&gt;http://resolver.library.ualberta.ca/resolver?sid=OVID:psycdb&amp;amp;id=pmid:&amp;amp;id=doi:&amp;amp;issn=&amp;amp;isbn=0-19-515296-4&amp;amp;volume=&amp;amp;issue=&amp;amp;spage=&amp;amp;pages=&amp;amp;date=2003&amp;amp;title=Applied+longitudinal+data+analysis%3A+Modeling+change+and+event+occurrence.&amp;amp;atitle=Applied+longitudinal+data+analysis%3A+Modeling+change+and+event+occurrence.&amp;amp;aulast=Singer&amp;amp;pid=%3Cauthor%3ESinger%2C+Judith+D%2CWillett%2C+John+B%3C%2Fauthor%3E%3CAN%3E2003-00630-000%3C%2FAN%3E%3CDT%3E%3C%2FDT%3E&lt;/url&gt;&lt;/related-urls&gt;&lt;/urls&gt;&lt;/record&gt;&lt;/Cite&gt;&lt;/EndNote&gt;</w:instrText>
      </w:r>
      <w:r w:rsidR="00311352" w:rsidRPr="0059460A">
        <w:rPr>
          <w:color w:val="4472C4" w:themeColor="accent1"/>
        </w:rPr>
        <w:fldChar w:fldCharType="separate"/>
      </w:r>
      <w:r w:rsidR="00812329">
        <w:rPr>
          <w:noProof/>
          <w:color w:val="4472C4" w:themeColor="accent1"/>
        </w:rPr>
        <w:t>(Singer &amp; Willett, 2003)</w:t>
      </w:r>
      <w:r w:rsidR="00311352" w:rsidRPr="0059460A">
        <w:rPr>
          <w:color w:val="4472C4" w:themeColor="accent1"/>
        </w:rPr>
        <w:fldChar w:fldCharType="end"/>
      </w:r>
      <w:r w:rsidRPr="0059460A">
        <w:rPr>
          <w:color w:val="4472C4" w:themeColor="accent1"/>
        </w:rPr>
        <w:t xml:space="preserve">. It contains all parameters (sample data and the unknown parameters);  smaller absolute values mean a better model fit </w:t>
      </w:r>
      <w:r w:rsidR="00311352" w:rsidRPr="0059460A">
        <w:rPr>
          <w:color w:val="4472C4" w:themeColor="accent1"/>
        </w:rPr>
        <w:fldChar w:fldCharType="begin"/>
      </w:r>
      <w:r w:rsidR="00812329">
        <w:rPr>
          <w:color w:val="4472C4" w:themeColor="accent1"/>
        </w:rPr>
        <w:instrText xml:space="preserve"> ADDIN EN.CITE &lt;EndNote&gt;&lt;Cite&gt;&lt;Author&gt;Singer&lt;/Author&gt;&lt;Year&gt;2003&lt;/Year&gt;&lt;RecNum&gt;628&lt;/RecNum&gt;&lt;DisplayText&gt;(Singer &amp;amp; Willett, 2003)&lt;/DisplayText&gt;&lt;record&gt;&lt;rec-number&gt;628&lt;/rec-number&gt;&lt;foreign-keys&gt;&lt;key app="EN" db-id="rxpsa5s56d92rnefffjx52ssavssz5ez55s2" timestamp="1486251198"&gt;628&lt;/key&gt;&lt;/foreign-keys&gt;&lt;ref-type name="Book"&gt;6&lt;/ref-type&gt;&lt;contributors&gt;&lt;authors&gt;&lt;author&gt;Singer, Judith D.&lt;/author&gt;&lt;author&gt;Willett, John B.&lt;/author&gt;&lt;/authors&gt;&lt;/contributors&gt;&lt;auth-address&gt;Singer, Judith D.: Harvard U, Graduate School of Education, Cambridge, MA, US Willett, John B.: Harvard U, Graduate School of Education, Cambridge, MA, US&lt;/auth-address&gt;&lt;titles&gt;&lt;title&gt;Applied longitudinal data analysis: Modeling change and event occurrence&lt;/title&gt;&lt;/titles&gt;&lt;number&gt;Book, Whole&lt;/number&gt;&lt;keywords&gt;&lt;keyword&gt;statistical methods, multilevel individual change models, hazard &amp;amp; survival models, methods&lt;/keyword&gt;&lt;keyword&gt;Methodology&lt;/keyword&gt;&lt;keyword&gt;Statistical Analysis&lt;/keyword&gt;&lt;keyword&gt;Statistics&lt;/keyword&gt;&lt;keyword&gt;Time&lt;/keyword&gt;&lt;/keywords&gt;&lt;dates&gt;&lt;year&gt;2003&lt;/year&gt;&lt;/dates&gt;&lt;pub-location&gt;New York, NY&lt;/pub-location&gt;&lt;publisher&gt;Oxford University Press; US&lt;/publisher&gt;&lt;isbn&gt;0-19-515296-4 (Hardcover)&lt;/isbn&gt;&lt;urls&gt;&lt;related-urls&gt;&lt;url&gt;http://resolver.library.ualberta.ca/resolver?sid=OVID:psycdb&amp;amp;id=pmid:&amp;amp;id=doi:&amp;amp;issn=&amp;amp;isbn=0-19-515296-4&amp;amp;volume=&amp;amp;issue=&amp;amp;spage=&amp;amp;pages=&amp;amp;date=2003&amp;amp;title=Applied+longitudinal+data+analysis%3A+Modeling+change+and+event+occurrence.&amp;amp;atitle=Applied+longitudinal+data+analysis%3A+Modeling+change+and+event+occurrence.&amp;amp;aulast=Singer&amp;amp;pid=%3Cauthor%3ESinger%2C+Judith+D%2CWillett%2C+John+B%3C%2Fauthor%3E%3CAN%3E2003-00630-000%3C%2FAN%3E%3CDT%3E%3C%2FDT%3E&lt;/url&gt;&lt;/related-urls&gt;&lt;/urls&gt;&lt;/record&gt;&lt;/Cite&gt;&lt;/EndNote&gt;</w:instrText>
      </w:r>
      <w:r w:rsidR="00311352" w:rsidRPr="0059460A">
        <w:rPr>
          <w:color w:val="4472C4" w:themeColor="accent1"/>
        </w:rPr>
        <w:fldChar w:fldCharType="separate"/>
      </w:r>
      <w:r w:rsidR="00812329">
        <w:rPr>
          <w:noProof/>
          <w:color w:val="4472C4" w:themeColor="accent1"/>
        </w:rPr>
        <w:t>(Singer &amp; Willett, 2003)</w:t>
      </w:r>
      <w:r w:rsidR="00311352" w:rsidRPr="0059460A">
        <w:rPr>
          <w:color w:val="4472C4" w:themeColor="accent1"/>
        </w:rPr>
        <w:fldChar w:fldCharType="end"/>
      </w:r>
      <w:r w:rsidRPr="0059460A">
        <w:rPr>
          <w:color w:val="4472C4" w:themeColor="accent1"/>
        </w:rPr>
        <w:t>. To compare the nested growth models, the Deviance statistic was used (</w:t>
      </w:r>
      <w:r w:rsidRPr="0059460A">
        <w:rPr>
          <w:i/>
          <w:color w:val="4472C4" w:themeColor="accent1"/>
        </w:rPr>
        <w:t>D</w:t>
      </w:r>
      <w:r w:rsidRPr="0059460A">
        <w:rPr>
          <w:color w:val="4472C4" w:themeColor="accent1"/>
        </w:rPr>
        <w:t>). The deviance statistic is -2 times the sample LL and measures the discrepancy between the current model and the full model. The difference (Δ</w:t>
      </w:r>
      <w:r w:rsidRPr="0059460A">
        <w:rPr>
          <w:i/>
          <w:color w:val="4472C4" w:themeColor="accent1"/>
        </w:rPr>
        <w:t>D)</w:t>
      </w:r>
      <w:r w:rsidRPr="0059460A">
        <w:rPr>
          <w:color w:val="4472C4" w:themeColor="accent1"/>
        </w:rPr>
        <w:t xml:space="preserve"> between the a full model and the reduced model has a χ</w:t>
      </w:r>
      <w:r w:rsidRPr="0059460A">
        <w:rPr>
          <w:color w:val="4472C4" w:themeColor="accent1"/>
          <w:vertAlign w:val="superscript"/>
        </w:rPr>
        <w:t>2</w:t>
      </w:r>
      <w:r w:rsidRPr="0059460A">
        <w:rPr>
          <w:color w:val="4472C4" w:themeColor="accent1"/>
        </w:rPr>
        <w:t xml:space="preserve"> distribution with degrees of freedom which is the number of constraints imposed </w:t>
      </w:r>
      <w:r w:rsidR="00311352" w:rsidRPr="0059460A">
        <w:rPr>
          <w:color w:val="4472C4" w:themeColor="accent1"/>
        </w:rPr>
        <w:fldChar w:fldCharType="begin"/>
      </w:r>
      <w:r w:rsidR="00812329">
        <w:rPr>
          <w:color w:val="4472C4" w:themeColor="accent1"/>
        </w:rPr>
        <w:instrText xml:space="preserve"> ADDIN EN.CITE &lt;EndNote&gt;&lt;Cite&gt;&lt;Author&gt;Singer&lt;/Author&gt;&lt;Year&gt;2003&lt;/Year&gt;&lt;RecNum&gt;628&lt;/RecNum&gt;&lt;DisplayText&gt;(Singer &amp;amp; Willett, 2003)&lt;/DisplayText&gt;&lt;record&gt;&lt;rec-number&gt;628&lt;/rec-number&gt;&lt;foreign-keys&gt;&lt;key app="EN" db-id="rxpsa5s56d92rnefffjx52ssavssz5ez55s2" timestamp="1486251198"&gt;628&lt;/key&gt;&lt;/foreign-keys&gt;&lt;ref-type name="Book"&gt;6&lt;/ref-type&gt;&lt;contributors&gt;&lt;authors&gt;&lt;author&gt;Singer, Judith D.&lt;/author&gt;&lt;author&gt;Willett, John B.&lt;/author&gt;&lt;/authors&gt;&lt;/contributors&gt;&lt;auth-address&gt;Singer, Judith D.: Harvard U, Graduate School of Education, Cambridge, MA, US Willett, John B.: Harvard U, Graduate School of Education, Cambridge, MA, US&lt;/auth-address&gt;&lt;titles&gt;&lt;title&gt;Applied longitudinal data analysis: Modeling change and event occurrence&lt;/title&gt;&lt;/titles&gt;&lt;number&gt;Book, Whole&lt;/number&gt;&lt;keywords&gt;&lt;keyword&gt;statistical methods, multilevel individual change models, hazard &amp;amp; survival models, methods&lt;/keyword&gt;&lt;keyword&gt;Methodology&lt;/keyword&gt;&lt;keyword&gt;Statistical Analysis&lt;/keyword&gt;&lt;keyword&gt;Statistics&lt;/keyword&gt;&lt;keyword&gt;Time&lt;/keyword&gt;&lt;/keywords&gt;&lt;dates&gt;&lt;year&gt;2003&lt;/year&gt;&lt;/dates&gt;&lt;pub-location&gt;New York, NY&lt;/pub-location&gt;&lt;publisher&gt;Oxford University Press; US&lt;/publisher&gt;&lt;isbn&gt;0-19-515296-4 (Hardcover)&lt;/isbn&gt;&lt;urls&gt;&lt;related-urls&gt;&lt;url&gt;http://resolver.library.ualberta.ca/resolver?sid=OVID:psycdb&amp;amp;id=pmid:&amp;amp;id=doi:&amp;amp;issn=&amp;amp;isbn=0-19-515296-4&amp;amp;volume=&amp;amp;issue=&amp;amp;spage=&amp;amp;pages=&amp;amp;date=2003&amp;amp;title=Applied+longitudinal+data+analysis%3A+Modeling+change+and+event+occurrence.&amp;amp;atitle=Applied+longitudinal+data+analysis%3A+Modeling+change+and+event+occurrence.&amp;amp;aulast=Singer&amp;amp;pid=%3Cauthor%3ESinger%2C+Judith+D%2CWillett%2C+John+B%3C%2Fauthor%3E%3CAN%3E2003-00630-000%3C%2FAN%3E%3CDT%3E%3C%2FDT%3E&lt;/url&gt;&lt;/related-urls&gt;&lt;/urls&gt;&lt;/record&gt;&lt;/Cite&gt;&lt;/EndNote&gt;</w:instrText>
      </w:r>
      <w:r w:rsidR="00311352" w:rsidRPr="0059460A">
        <w:rPr>
          <w:color w:val="4472C4" w:themeColor="accent1"/>
        </w:rPr>
        <w:fldChar w:fldCharType="separate"/>
      </w:r>
      <w:r w:rsidR="00812329">
        <w:rPr>
          <w:noProof/>
          <w:color w:val="4472C4" w:themeColor="accent1"/>
        </w:rPr>
        <w:t>(Singer &amp; Willett, 2003)</w:t>
      </w:r>
      <w:r w:rsidR="00311352" w:rsidRPr="0059460A">
        <w:rPr>
          <w:color w:val="4472C4" w:themeColor="accent1"/>
        </w:rPr>
        <w:fldChar w:fldCharType="end"/>
      </w:r>
      <w:r w:rsidRPr="0059460A">
        <w:rPr>
          <w:color w:val="4472C4" w:themeColor="accent1"/>
        </w:rPr>
        <w:t>. The Δ</w:t>
      </w:r>
      <w:r w:rsidRPr="0059460A">
        <w:rPr>
          <w:i/>
          <w:color w:val="4472C4" w:themeColor="accent1"/>
        </w:rPr>
        <w:t>D</w:t>
      </w:r>
      <w:r w:rsidRPr="0059460A">
        <w:rPr>
          <w:color w:val="4472C4" w:themeColor="accent1"/>
        </w:rPr>
        <w:t xml:space="preserve"> value was compared to a χ</w:t>
      </w:r>
      <w:r w:rsidRPr="0059460A">
        <w:rPr>
          <w:color w:val="4472C4" w:themeColor="accent1"/>
          <w:vertAlign w:val="superscript"/>
        </w:rPr>
        <w:t xml:space="preserve">2 </w:t>
      </w:r>
      <w:r w:rsidRPr="0059460A">
        <w:rPr>
          <w:color w:val="4472C4" w:themeColor="accent1"/>
        </w:rPr>
        <w:t xml:space="preserve">critical value with the appropriate degrees of freedom; a significant </w:t>
      </w:r>
      <w:r w:rsidRPr="00812329">
        <w:rPr>
          <w:color w:val="4472C4" w:themeColor="accent1"/>
        </w:rPr>
        <w:t xml:space="preserve">deviance statistic indicates a better model fit than the previous model. Additionally, we evaluated the resulting parameter estimates to ensure that all variances were positive (i.e., no Heywood cases) and the resulting parameter estimates were plausible </w:t>
      </w:r>
      <w:r w:rsidR="00311352" w:rsidRPr="00812329">
        <w:rPr>
          <w:color w:val="4472C4" w:themeColor="accent1"/>
        </w:rPr>
        <w:fldChar w:fldCharType="begin"/>
      </w:r>
      <w:r w:rsidR="00812329">
        <w:rPr>
          <w:color w:val="4472C4" w:themeColor="accent1"/>
        </w:rPr>
        <w:instrText xml:space="preserve"> ADDIN EN.CITE &lt;EndNote&gt;&lt;Cite&gt;&lt;Author&gt;Singer&lt;/Author&gt;&lt;Year&gt;2003&lt;/Year&gt;&lt;RecNum&gt;628&lt;/RecNum&gt;&lt;DisplayText&gt;(Singer &amp;amp; Willett, 2003)&lt;/DisplayText&gt;&lt;record&gt;&lt;rec-number&gt;628&lt;/rec-number&gt;&lt;foreign-keys&gt;&lt;key app="EN" db-id="rxpsa5s56d92rnefffjx52ssavssz5ez55s2" timestamp="1486251198"&gt;628&lt;/key&gt;&lt;/foreign-keys&gt;&lt;ref-type name="Book"&gt;6&lt;/ref-type&gt;&lt;contributors&gt;&lt;authors&gt;&lt;author&gt;Singer, Judith D.&lt;/author&gt;&lt;author&gt;Willett, John B.&lt;/author&gt;&lt;/authors&gt;&lt;/contributors&gt;&lt;auth-address&gt;Singer, Judith D.: Harvard U, Graduate School of Education, Cambridge, MA, US Willett, John B.: Harvard U, Graduate School of Education, Cambridge, MA, US&lt;/auth-address&gt;&lt;titles&gt;&lt;title&gt;Applied longitudinal data analysis: Modeling change and event occurrence&lt;/title&gt;&lt;/titles&gt;&lt;number&gt;Book, Whole&lt;/number&gt;&lt;keywords&gt;&lt;keyword&gt;statistical methods, multilevel individual change models, hazard &amp;amp; survival models, methods&lt;/keyword&gt;&lt;keyword&gt;Methodology&lt;/keyword&gt;&lt;keyword&gt;Statistical Analysis&lt;/keyword&gt;&lt;keyword&gt;Statistics&lt;/keyword&gt;&lt;keyword&gt;Time&lt;/keyword&gt;&lt;/keywords&gt;&lt;dates&gt;&lt;year&gt;2003&lt;/year&gt;&lt;/dates&gt;&lt;pub-location&gt;New York, NY&lt;/pub-location&gt;&lt;publisher&gt;Oxford University Press; US&lt;/publisher&gt;&lt;isbn&gt;0-19-515296-4 (Hardcover)&lt;/isbn&gt;&lt;urls&gt;&lt;related-urls&gt;&lt;url&gt;http://resolver.library.ualberta.ca/resolver?sid=OVID:psycdb&amp;amp;id=pmid:&amp;amp;id=doi:&amp;amp;issn=&amp;amp;isbn=0-19-515296-4&amp;amp;volume=&amp;amp;issue=&amp;amp;spage=&amp;amp;pages=&amp;amp;date=2003&amp;amp;title=Applied+longitudinal+data+analysis%3A+Modeling+change+and+event+occurrence.&amp;amp;atitle=Applied+longitudinal+data+analysis%3A+Modeling+change+and+event+occurrence.&amp;amp;aulast=Singer&amp;amp;pid=%3Cauthor%3ESinger%2C+Judith+D%2CWillett%2C+John+B%3C%2Fauthor%3E%3CAN%3E2003-00630-000%3C%2FAN%3E%3CDT%3E%3C%2FDT%3E&lt;/url&gt;&lt;/related-urls&gt;&lt;/urls&gt;&lt;/record&gt;&lt;/Cite&gt;&lt;/EndNote&gt;</w:instrText>
      </w:r>
      <w:r w:rsidR="00311352" w:rsidRPr="00812329">
        <w:rPr>
          <w:color w:val="4472C4" w:themeColor="accent1"/>
        </w:rPr>
        <w:fldChar w:fldCharType="separate"/>
      </w:r>
      <w:r w:rsidR="00812329">
        <w:rPr>
          <w:noProof/>
          <w:color w:val="4472C4" w:themeColor="accent1"/>
        </w:rPr>
        <w:t>(Singer &amp; Willett, 2003)</w:t>
      </w:r>
      <w:r w:rsidR="00311352" w:rsidRPr="00812329">
        <w:rPr>
          <w:color w:val="4472C4" w:themeColor="accent1"/>
        </w:rPr>
        <w:fldChar w:fldCharType="end"/>
      </w:r>
      <w:r w:rsidRPr="00812329">
        <w:rPr>
          <w:color w:val="4472C4" w:themeColor="accent1"/>
        </w:rPr>
        <w:t>.</w:t>
      </w:r>
    </w:p>
    <w:p w:rsidR="004F4582" w:rsidRPr="0059460A" w:rsidRDefault="004F4582" w:rsidP="007D3C45">
      <w:pPr>
        <w:ind w:firstLine="0"/>
        <w:rPr>
          <w:color w:val="4472C4" w:themeColor="accent1"/>
        </w:rPr>
      </w:pPr>
      <w:r w:rsidRPr="00812329">
        <w:rPr>
          <w:color w:val="4472C4" w:themeColor="accent1"/>
        </w:rPr>
        <w:tab/>
      </w:r>
      <w:r w:rsidRPr="00812329">
        <w:rPr>
          <w:b/>
          <w:i/>
          <w:color w:val="4472C4" w:themeColor="accent1"/>
        </w:rPr>
        <w:t>Parallel Process Model</w:t>
      </w:r>
      <w:r w:rsidR="007D3C45">
        <w:rPr>
          <w:b/>
          <w:i/>
          <w:color w:val="4472C4" w:themeColor="accent1"/>
        </w:rPr>
        <w:t>s</w:t>
      </w:r>
      <w:r w:rsidRPr="00812329">
        <w:rPr>
          <w:b/>
          <w:i/>
          <w:color w:val="4472C4" w:themeColor="accent1"/>
        </w:rPr>
        <w:t>.</w:t>
      </w:r>
      <w:r w:rsidRPr="00812329">
        <w:rPr>
          <w:color w:val="4472C4" w:themeColor="accent1"/>
        </w:rPr>
        <w:t xml:space="preserve"> </w:t>
      </w:r>
      <w:r w:rsidR="00812329" w:rsidRPr="00812329">
        <w:rPr>
          <w:color w:val="4472C4" w:themeColor="accent1"/>
        </w:rPr>
        <w:t>We tested whether frailty predicted memory, speed, or executive function using latent growth curve parallel process models. Latent growth curve parallel process models address the foundational question of whether or not there is an association between growth parameters</w:t>
      </w:r>
      <w:r w:rsidR="00812329">
        <w:rPr>
          <w:color w:val="4472C4" w:themeColor="accent1"/>
        </w:rPr>
        <w:t xml:space="preserve"> </w:t>
      </w:r>
      <w:r w:rsidR="00311352">
        <w:rPr>
          <w:color w:val="4472C4" w:themeColor="accent1"/>
        </w:rPr>
        <w:fldChar w:fldCharType="begin"/>
      </w:r>
      <w:r w:rsidR="00812329">
        <w:rPr>
          <w:color w:val="4472C4" w:themeColor="accent1"/>
        </w:rPr>
        <w:instrText xml:space="preserve"> ADDIN EN.CITE &lt;EndNote&gt;&lt;Cite&gt;&lt;Author&gt;Little&lt;/Author&gt;&lt;Year&gt;2013&lt;/Year&gt;&lt;RecNum&gt;558&lt;/RecNum&gt;&lt;DisplayText&gt;(Little, 2013)&lt;/DisplayText&gt;&lt;record&gt;&lt;rec-number&gt;558&lt;/rec-number&gt;&lt;foreign-keys&gt;&lt;key app="EN" db-id="rxpsa5s56d92rnefffjx52ssavssz5ez55s2" timestamp="1486251195"&gt;558&lt;/key&gt;&lt;/foreign-keys&gt;&lt;ref-type name="Book"&gt;6&lt;/ref-type&gt;&lt;contributors&gt;&lt;authors&gt;&lt;author&gt;Little, Todd D.&lt;/author&gt;&lt;/authors&gt;&lt;/contributors&gt;&lt;titles&gt;&lt;title&gt;Longitudinal structural equation modeling&lt;/title&gt;&lt;/titles&gt;&lt;number&gt;Book, Whole&lt;/number&gt;&lt;dates&gt;&lt;year&gt;2013&lt;/year&gt;&lt;/dates&gt;&lt;pub-location&gt;New York, NY&lt;/pub-location&gt;&lt;publisher&gt;Guilford Press&lt;/publisher&gt;&lt;urls&gt;&lt;related-urls&gt;&lt;url&gt;http://resolver.library.ualberta.ca/resolver?sid=OVID:psycdb&amp;amp;id=pmid:&amp;amp;id=doi:&amp;amp;issn=&amp;amp;isbn=978-1-4625-1016-0&amp;amp;volume=&amp;amp;issue=&amp;amp;spage=&amp;amp;pages=&amp;amp;date=2013&amp;amp;title=Longitudinal+structural+equation+modeling.&amp;amp;atitle=Longitudinal+structural+equation+modeling.&amp;amp;aulast=Little&amp;amp;pid=%3Cauthor%3ELittle%2C+Todd+D%3C%2Fauthor%3E%3CAN%3E2013-17205-000%3C%2FAN%3E%3CDT%3E%3C%2FDT%3E&lt;/url&gt;&lt;/related-urls&gt;&lt;/urls&gt;&lt;/record&gt;&lt;/Cite&gt;&lt;/EndNote&gt;</w:instrText>
      </w:r>
      <w:r w:rsidR="00311352">
        <w:rPr>
          <w:color w:val="4472C4" w:themeColor="accent1"/>
        </w:rPr>
        <w:fldChar w:fldCharType="separate"/>
      </w:r>
      <w:r w:rsidR="00812329">
        <w:rPr>
          <w:noProof/>
          <w:color w:val="4472C4" w:themeColor="accent1"/>
        </w:rPr>
        <w:t>(Little, 2013)</w:t>
      </w:r>
      <w:r w:rsidR="00311352">
        <w:rPr>
          <w:color w:val="4472C4" w:themeColor="accent1"/>
        </w:rPr>
        <w:fldChar w:fldCharType="end"/>
      </w:r>
      <w:r w:rsidR="00812329" w:rsidRPr="00812329">
        <w:rPr>
          <w:color w:val="4472C4" w:themeColor="accent1"/>
        </w:rPr>
        <w:t xml:space="preserve">. </w:t>
      </w:r>
      <w:r w:rsidRPr="00812329">
        <w:rPr>
          <w:color w:val="4472C4" w:themeColor="accent1"/>
        </w:rPr>
        <w:t>Three parallel process models were tested to see whether (a) level of frailty predicted either level or change in (separately) memory, speed, or EF, and (b) change in frailty predicted change in (separately) memory, speed, or EF. First, we tested the frailty growth model in parallel process with the memory growth</w:t>
      </w:r>
      <w:r w:rsidRPr="0059460A">
        <w:rPr>
          <w:color w:val="4472C4" w:themeColor="accent1"/>
        </w:rPr>
        <w:t xml:space="preserve"> model to evaluate whether frailty or change in frailty exerted important effects on level or change in memory. Path analyses were used to determine the effects (a) level of frailty (intercept) regressed on level of memory performance (intercept), (b) level of frailty (intercept) regressed on memory change (slope), and (c) change in frailty (slope) regressed on memory change (slope). These steps were </w:t>
      </w:r>
      <w:r w:rsidRPr="0059460A">
        <w:rPr>
          <w:color w:val="4472C4" w:themeColor="accent1"/>
        </w:rPr>
        <w:lastRenderedPageBreak/>
        <w:t>repeated using the frailty growth model in parallel process with the speed growth model, an</w:t>
      </w:r>
      <w:r w:rsidR="007D3C45">
        <w:rPr>
          <w:color w:val="4472C4" w:themeColor="accent1"/>
        </w:rPr>
        <w:t>d then with the EF growth model.</w:t>
      </w:r>
    </w:p>
    <w:p w:rsidR="00F20A4A" w:rsidRPr="0059460A" w:rsidRDefault="00311352" w:rsidP="00F20A4A">
      <w:pPr>
        <w:spacing w:line="240" w:lineRule="auto"/>
        <w:ind w:firstLine="0"/>
        <w:outlineLvl w:val="9"/>
        <w:rPr>
          <w:color w:val="4472C4" w:themeColor="accent1"/>
        </w:rPr>
      </w:pPr>
      <w:r w:rsidRPr="0059460A">
        <w:rPr>
          <w:color w:val="4472C4" w:themeColor="accent1"/>
        </w:rPr>
        <w:fldChar w:fldCharType="begin"/>
      </w:r>
      <w:r w:rsidR="00F20A4A" w:rsidRPr="0059460A">
        <w:rPr>
          <w:color w:val="4472C4" w:themeColor="accent1"/>
        </w:rPr>
        <w:instrText xml:space="preserve"> ADDIN EN.SECTION.REFLIST </w:instrText>
      </w:r>
      <w:r w:rsidRPr="0059460A">
        <w:rPr>
          <w:color w:val="4472C4" w:themeColor="accent1"/>
        </w:rPr>
        <w:fldChar w:fldCharType="end"/>
      </w:r>
    </w:p>
    <w:p w:rsidR="004F4582" w:rsidRPr="0059460A" w:rsidRDefault="004F4582" w:rsidP="004F4582">
      <w:pPr>
        <w:ind w:firstLine="0"/>
        <w:jc w:val="center"/>
        <w:outlineLvl w:val="9"/>
        <w:rPr>
          <w:b/>
          <w:color w:val="4472C4" w:themeColor="accent1"/>
        </w:rPr>
      </w:pPr>
      <w:r w:rsidRPr="0059460A">
        <w:rPr>
          <w:b/>
          <w:color w:val="4472C4" w:themeColor="accent1"/>
        </w:rPr>
        <w:t>Results</w:t>
      </w:r>
    </w:p>
    <w:p w:rsidR="004F4582" w:rsidRPr="0059460A" w:rsidRDefault="004F4582" w:rsidP="004F4582">
      <w:pPr>
        <w:ind w:firstLine="0"/>
        <w:outlineLvl w:val="9"/>
        <w:rPr>
          <w:b/>
          <w:color w:val="4472C4" w:themeColor="accent1"/>
        </w:rPr>
      </w:pPr>
      <w:r w:rsidRPr="0059460A">
        <w:rPr>
          <w:b/>
          <w:noProof/>
          <w:color w:val="4472C4" w:themeColor="accent1"/>
        </w:rPr>
        <w:t>Foundational Analyses</w:t>
      </w:r>
      <w:r w:rsidRPr="0059460A">
        <w:rPr>
          <w:b/>
          <w:color w:val="4472C4" w:themeColor="accent1"/>
        </w:rPr>
        <w:t xml:space="preserve"> </w:t>
      </w:r>
    </w:p>
    <w:p w:rsidR="004F4582" w:rsidRPr="0059460A" w:rsidRDefault="004F4582" w:rsidP="004F4582">
      <w:pPr>
        <w:ind w:firstLine="0"/>
        <w:outlineLvl w:val="9"/>
        <w:rPr>
          <w:color w:val="4472C4" w:themeColor="accent1"/>
        </w:rPr>
      </w:pPr>
      <w:r w:rsidRPr="0059460A">
        <w:rPr>
          <w:b/>
          <w:color w:val="4472C4" w:themeColor="accent1"/>
        </w:rPr>
        <w:tab/>
      </w:r>
      <w:r w:rsidRPr="0059460A">
        <w:rPr>
          <w:b/>
          <w:i/>
          <w:color w:val="4472C4" w:themeColor="accent1"/>
        </w:rPr>
        <w:t>Confirmatory factor analysis and measurement invariance testing.</w:t>
      </w:r>
      <w:r w:rsidRPr="0059460A">
        <w:rPr>
          <w:color w:val="4472C4" w:themeColor="accent1"/>
        </w:rPr>
        <w:t xml:space="preserve"> Briefly, a single-factor memory model comprised of four memory </w:t>
      </w:r>
      <w:r w:rsidR="000C4ACC" w:rsidRPr="0059460A">
        <w:rPr>
          <w:color w:val="4472C4" w:themeColor="accent1"/>
        </w:rPr>
        <w:t>manifest</w:t>
      </w:r>
      <w:r w:rsidRPr="0059460A">
        <w:rPr>
          <w:color w:val="4472C4" w:themeColor="accent1"/>
        </w:rPr>
        <w:t xml:space="preserve"> indicators fit this sample of participants, and had partial scalar invariance across time (final model fit indices: RMSEA = .07; CFI = .95; SRMR = .08; </w:t>
      </w:r>
      <w:r w:rsidRPr="0059460A">
        <w:rPr>
          <w:i/>
          <w:color w:val="4472C4" w:themeColor="accent1"/>
        </w:rPr>
        <w:t>Δχ</w:t>
      </w:r>
      <w:r w:rsidRPr="0059460A">
        <w:rPr>
          <w:i/>
          <w:color w:val="4472C4" w:themeColor="accent1"/>
          <w:vertAlign w:val="superscript"/>
        </w:rPr>
        <w:t>2</w:t>
      </w:r>
      <w:r w:rsidRPr="0059460A">
        <w:rPr>
          <w:color w:val="4472C4" w:themeColor="accent1"/>
        </w:rPr>
        <w:t xml:space="preserve"> = 9.88, </w:t>
      </w:r>
      <w:r w:rsidRPr="0059460A">
        <w:rPr>
          <w:i/>
          <w:color w:val="4472C4" w:themeColor="accent1"/>
        </w:rPr>
        <w:t>Δdf</w:t>
      </w:r>
      <w:r w:rsidRPr="0059460A">
        <w:rPr>
          <w:color w:val="4472C4" w:themeColor="accent1"/>
        </w:rPr>
        <w:t xml:space="preserve"> = 4, </w:t>
      </w:r>
      <w:r w:rsidRPr="0059460A">
        <w:rPr>
          <w:i/>
          <w:color w:val="4472C4" w:themeColor="accent1"/>
        </w:rPr>
        <w:t>p</w:t>
      </w:r>
      <w:r w:rsidRPr="0059460A">
        <w:rPr>
          <w:color w:val="4472C4" w:themeColor="accent1"/>
        </w:rPr>
        <w:t xml:space="preserve"> = .042). A single-factor speed model comprised of four manifest indicators fit this sample of participants, and had partial scalar invariance (RMSEA = .096; CFI = .94, SRMR = .086; </w:t>
      </w:r>
      <w:r w:rsidRPr="0059460A">
        <w:rPr>
          <w:i/>
          <w:color w:val="4472C4" w:themeColor="accent1"/>
        </w:rPr>
        <w:t>Δχ</w:t>
      </w:r>
      <w:r w:rsidRPr="0059460A">
        <w:rPr>
          <w:i/>
          <w:color w:val="4472C4" w:themeColor="accent1"/>
          <w:vertAlign w:val="superscript"/>
        </w:rPr>
        <w:t>2</w:t>
      </w:r>
      <w:r w:rsidRPr="0059460A">
        <w:rPr>
          <w:color w:val="4472C4" w:themeColor="accent1"/>
        </w:rPr>
        <w:t xml:space="preserve"> = 94.32, </w:t>
      </w:r>
      <w:r w:rsidRPr="0059460A">
        <w:rPr>
          <w:i/>
          <w:color w:val="4472C4" w:themeColor="accent1"/>
        </w:rPr>
        <w:t>Δdf</w:t>
      </w:r>
      <w:r w:rsidRPr="0059460A">
        <w:rPr>
          <w:color w:val="4472C4" w:themeColor="accent1"/>
        </w:rPr>
        <w:t xml:space="preserve"> = 2, </w:t>
      </w:r>
      <w:r w:rsidRPr="0059460A">
        <w:rPr>
          <w:i/>
          <w:color w:val="4472C4" w:themeColor="accent1"/>
        </w:rPr>
        <w:t>p</w:t>
      </w:r>
      <w:r w:rsidRPr="0059460A">
        <w:rPr>
          <w:color w:val="4472C4" w:themeColor="accent1"/>
        </w:rPr>
        <w:t xml:space="preserve"> &lt; .001). A single-factor EF model comprised of four manifest indicators fit the data and had partial scalar invariance (RMSEA = .04; CFI = .97, SRMR = .08; </w:t>
      </w:r>
      <w:r w:rsidRPr="0059460A">
        <w:rPr>
          <w:i/>
          <w:color w:val="4472C4" w:themeColor="accent1"/>
        </w:rPr>
        <w:t>Δχ</w:t>
      </w:r>
      <w:r w:rsidRPr="0059460A">
        <w:rPr>
          <w:i/>
          <w:color w:val="4472C4" w:themeColor="accent1"/>
          <w:vertAlign w:val="superscript"/>
        </w:rPr>
        <w:t>2</w:t>
      </w:r>
      <w:r w:rsidRPr="0059460A">
        <w:rPr>
          <w:color w:val="4472C4" w:themeColor="accent1"/>
        </w:rPr>
        <w:t xml:space="preserve"> = 44.7, </w:t>
      </w:r>
      <w:r w:rsidRPr="0059460A">
        <w:rPr>
          <w:i/>
          <w:color w:val="4472C4" w:themeColor="accent1"/>
        </w:rPr>
        <w:t>Δdf</w:t>
      </w:r>
      <w:r w:rsidRPr="0059460A">
        <w:rPr>
          <w:color w:val="4472C4" w:themeColor="accent1"/>
        </w:rPr>
        <w:t xml:space="preserve"> = 4, </w:t>
      </w:r>
      <w:r w:rsidRPr="0059460A">
        <w:rPr>
          <w:i/>
          <w:color w:val="4472C4" w:themeColor="accent1"/>
        </w:rPr>
        <w:t>p</w:t>
      </w:r>
      <w:r w:rsidRPr="0059460A">
        <w:rPr>
          <w:color w:val="4472C4" w:themeColor="accent1"/>
        </w:rPr>
        <w:t xml:space="preserve"> &lt; .001; see Supplementary Material tables S</w:t>
      </w:r>
      <w:r w:rsidR="00FA2537">
        <w:rPr>
          <w:color w:val="4472C4" w:themeColor="accent1"/>
        </w:rPr>
        <w:t>1</w:t>
      </w:r>
      <w:r w:rsidRPr="0059460A">
        <w:rPr>
          <w:color w:val="4472C4" w:themeColor="accent1"/>
        </w:rPr>
        <w:t xml:space="preserve">-S4 for model fit and model testing comparisons). Partial scalar invariance for all measures indicates mean differences were evident at the factor level and mean level for </w:t>
      </w:r>
      <w:proofErr w:type="gramStart"/>
      <w:r w:rsidRPr="0059460A">
        <w:rPr>
          <w:color w:val="4472C4" w:themeColor="accent1"/>
        </w:rPr>
        <w:t>the majority of</w:t>
      </w:r>
      <w:proofErr w:type="gramEnd"/>
      <w:r w:rsidRPr="0059460A">
        <w:rPr>
          <w:color w:val="4472C4" w:themeColor="accent1"/>
        </w:rPr>
        <w:t xml:space="preserve"> the indicators, and we “can proceed with making comparisons of the construct’s key parameters” (Little, 2011, pg. 178).  </w:t>
      </w:r>
    </w:p>
    <w:p w:rsidR="004F4582" w:rsidRDefault="004F4582" w:rsidP="004F4582">
      <w:pPr>
        <w:ind w:firstLine="0"/>
        <w:outlineLvl w:val="9"/>
      </w:pPr>
      <w:r w:rsidRPr="0059460A">
        <w:rPr>
          <w:b/>
          <w:i/>
          <w:color w:val="4472C4" w:themeColor="accent1"/>
        </w:rPr>
        <w:tab/>
        <w:t>Latent growth models</w:t>
      </w:r>
      <w:r w:rsidR="00C11197" w:rsidRPr="0059460A">
        <w:rPr>
          <w:b/>
          <w:i/>
          <w:color w:val="4472C4" w:themeColor="accent1"/>
        </w:rPr>
        <w:t xml:space="preserve"> for speed, memory, and EF</w:t>
      </w:r>
      <w:r w:rsidRPr="0059460A">
        <w:rPr>
          <w:b/>
          <w:i/>
          <w:color w:val="4472C4" w:themeColor="accent1"/>
        </w:rPr>
        <w:t>.</w:t>
      </w:r>
      <w:r w:rsidRPr="0059460A">
        <w:rPr>
          <w:color w:val="4472C4" w:themeColor="accent1"/>
        </w:rPr>
        <w:t xml:space="preserve"> </w:t>
      </w:r>
      <w:r w:rsidR="00C11197" w:rsidRPr="0059460A">
        <w:rPr>
          <w:color w:val="4472C4" w:themeColor="accent1"/>
        </w:rPr>
        <w:t>F</w:t>
      </w:r>
      <w:r w:rsidRPr="0059460A">
        <w:rPr>
          <w:color w:val="4472C4" w:themeColor="accent1"/>
        </w:rPr>
        <w:t>or memory we observed that individuals varied in performance at the centering age (</w:t>
      </w:r>
      <w:r w:rsidRPr="0059460A">
        <w:rPr>
          <w:i/>
          <w:color w:val="4472C4" w:themeColor="accent1"/>
        </w:rPr>
        <w:t>b</w:t>
      </w:r>
      <w:r w:rsidRPr="0059460A">
        <w:rPr>
          <w:color w:val="4472C4" w:themeColor="accent1"/>
        </w:rPr>
        <w:t xml:space="preserve"> = 17.745, </w:t>
      </w:r>
      <w:r w:rsidRPr="0059460A">
        <w:rPr>
          <w:i/>
          <w:color w:val="4472C4" w:themeColor="accent1"/>
        </w:rPr>
        <w:t xml:space="preserve">p </w:t>
      </w:r>
      <w:r w:rsidRPr="0059460A">
        <w:rPr>
          <w:color w:val="4472C4" w:themeColor="accent1"/>
        </w:rPr>
        <w:t>&lt; 0.01), exhibited significant decrease in memory performance (</w:t>
      </w:r>
      <w:r w:rsidRPr="0059460A">
        <w:rPr>
          <w:i/>
          <w:color w:val="4472C4" w:themeColor="accent1"/>
        </w:rPr>
        <w:t>M</w:t>
      </w:r>
      <w:r w:rsidRPr="0059460A">
        <w:rPr>
          <w:color w:val="4472C4" w:themeColor="accent1"/>
        </w:rPr>
        <w:t xml:space="preserve"> = -0.073, </w:t>
      </w:r>
      <w:r w:rsidRPr="0059460A">
        <w:rPr>
          <w:i/>
          <w:color w:val="4472C4" w:themeColor="accent1"/>
        </w:rPr>
        <w:t xml:space="preserve">p </w:t>
      </w:r>
      <w:r w:rsidRPr="0059460A">
        <w:rPr>
          <w:color w:val="4472C4" w:themeColor="accent1"/>
        </w:rPr>
        <w:t>&lt; 0.01), and showed variable patterns of decline (</w:t>
      </w:r>
      <w:r w:rsidRPr="0059460A">
        <w:rPr>
          <w:i/>
          <w:color w:val="4472C4" w:themeColor="accent1"/>
        </w:rPr>
        <w:t>b</w:t>
      </w:r>
      <w:r w:rsidRPr="0059460A">
        <w:rPr>
          <w:color w:val="4472C4" w:themeColor="accent1"/>
        </w:rPr>
        <w:t xml:space="preserve"> = 0.027, </w:t>
      </w:r>
      <w:r w:rsidRPr="0059460A">
        <w:rPr>
          <w:i/>
          <w:color w:val="4472C4" w:themeColor="accent1"/>
        </w:rPr>
        <w:t>p</w:t>
      </w:r>
      <w:r w:rsidRPr="0059460A">
        <w:rPr>
          <w:color w:val="4472C4" w:themeColor="accent1"/>
        </w:rPr>
        <w:t xml:space="preserve"> &lt; 0.01; see Supplementary Material Figure S2). Third, for speed we observed that individuals varied in level of speed performance at age 75 (</w:t>
      </w:r>
      <w:r w:rsidRPr="0059460A">
        <w:rPr>
          <w:i/>
          <w:color w:val="4472C4" w:themeColor="accent1"/>
        </w:rPr>
        <w:t>b</w:t>
      </w:r>
      <w:r w:rsidRPr="0059460A">
        <w:rPr>
          <w:color w:val="4472C4" w:themeColor="accent1"/>
        </w:rPr>
        <w:t xml:space="preserve"> = 67.849, </w:t>
      </w:r>
      <w:r w:rsidRPr="0059460A">
        <w:rPr>
          <w:i/>
          <w:color w:val="4472C4" w:themeColor="accent1"/>
        </w:rPr>
        <w:t>p</w:t>
      </w:r>
      <w:r w:rsidRPr="0059460A">
        <w:rPr>
          <w:color w:val="4472C4" w:themeColor="accent1"/>
        </w:rPr>
        <w:t xml:space="preserve"> &lt; 0.01), exhibited significant decrease in performance (</w:t>
      </w:r>
      <w:r w:rsidRPr="0059460A">
        <w:rPr>
          <w:i/>
          <w:color w:val="4472C4" w:themeColor="accent1"/>
        </w:rPr>
        <w:t xml:space="preserve">M </w:t>
      </w:r>
      <w:r w:rsidRPr="0059460A">
        <w:rPr>
          <w:color w:val="4472C4" w:themeColor="accent1"/>
        </w:rPr>
        <w:t>= -0.100,</w:t>
      </w:r>
      <w:r w:rsidRPr="0059460A">
        <w:rPr>
          <w:i/>
          <w:color w:val="4472C4" w:themeColor="accent1"/>
        </w:rPr>
        <w:t xml:space="preserve"> p</w:t>
      </w:r>
      <w:r w:rsidRPr="0059460A">
        <w:rPr>
          <w:color w:val="4472C4" w:themeColor="accent1"/>
        </w:rPr>
        <w:t xml:space="preserve"> &lt; 0.01), and showed variable patterns of decline (</w:t>
      </w:r>
      <w:r w:rsidRPr="0059460A">
        <w:rPr>
          <w:i/>
          <w:color w:val="4472C4" w:themeColor="accent1"/>
        </w:rPr>
        <w:t>b</w:t>
      </w:r>
      <w:r w:rsidRPr="0059460A">
        <w:rPr>
          <w:color w:val="4472C4" w:themeColor="accent1"/>
        </w:rPr>
        <w:t xml:space="preserve"> = 0.139, </w:t>
      </w:r>
      <w:r w:rsidRPr="0059460A">
        <w:rPr>
          <w:i/>
          <w:color w:val="4472C4" w:themeColor="accent1"/>
        </w:rPr>
        <w:t>p</w:t>
      </w:r>
      <w:r w:rsidRPr="0059460A">
        <w:rPr>
          <w:color w:val="4472C4" w:themeColor="accent1"/>
        </w:rPr>
        <w:t xml:space="preserve"> &lt; 0.01; See Supplementary Material Figure S3). Fourth, for EF, </w:t>
      </w:r>
      <w:r w:rsidRPr="0059460A">
        <w:rPr>
          <w:color w:val="4472C4" w:themeColor="accent1"/>
        </w:rPr>
        <w:lastRenderedPageBreak/>
        <w:t>we observed that individuals varied in level of performance at the centering age (</w:t>
      </w:r>
      <w:r w:rsidRPr="0059460A">
        <w:rPr>
          <w:i/>
          <w:color w:val="4472C4" w:themeColor="accent1"/>
        </w:rPr>
        <w:t>b</w:t>
      </w:r>
      <w:r w:rsidRPr="0059460A">
        <w:rPr>
          <w:color w:val="4472C4" w:themeColor="accent1"/>
        </w:rPr>
        <w:t xml:space="preserve"> = 0.997, </w:t>
      </w:r>
      <w:r w:rsidRPr="0059460A">
        <w:rPr>
          <w:i/>
          <w:color w:val="4472C4" w:themeColor="accent1"/>
        </w:rPr>
        <w:t>p</w:t>
      </w:r>
      <w:r w:rsidRPr="0059460A">
        <w:rPr>
          <w:color w:val="4472C4" w:themeColor="accent1"/>
        </w:rPr>
        <w:t xml:space="preserve"> &lt; 0.01), exhibited significant decrease in EF performance (</w:t>
      </w:r>
      <w:r w:rsidRPr="0059460A">
        <w:rPr>
          <w:i/>
          <w:color w:val="4472C4" w:themeColor="accent1"/>
        </w:rPr>
        <w:t>M</w:t>
      </w:r>
      <w:r w:rsidRPr="0059460A">
        <w:rPr>
          <w:color w:val="4472C4" w:themeColor="accent1"/>
        </w:rPr>
        <w:t xml:space="preserve"> = -0.012, </w:t>
      </w:r>
      <w:r w:rsidRPr="0059460A">
        <w:rPr>
          <w:i/>
          <w:color w:val="4472C4" w:themeColor="accent1"/>
        </w:rPr>
        <w:t>p</w:t>
      </w:r>
      <w:r w:rsidRPr="0059460A">
        <w:rPr>
          <w:color w:val="4472C4" w:themeColor="accent1"/>
        </w:rPr>
        <w:t xml:space="preserve"> = 0.01), and showed variable patterns of decline (</w:t>
      </w:r>
      <w:r w:rsidRPr="0059460A">
        <w:rPr>
          <w:i/>
          <w:color w:val="4472C4" w:themeColor="accent1"/>
        </w:rPr>
        <w:t>b</w:t>
      </w:r>
      <w:r w:rsidRPr="0059460A">
        <w:rPr>
          <w:color w:val="4472C4" w:themeColor="accent1"/>
        </w:rPr>
        <w:t xml:space="preserve"> = 0.003, </w:t>
      </w:r>
      <w:r w:rsidRPr="0059460A">
        <w:rPr>
          <w:i/>
          <w:color w:val="4472C4" w:themeColor="accent1"/>
        </w:rPr>
        <w:t>p</w:t>
      </w:r>
      <w:r w:rsidRPr="0059460A">
        <w:rPr>
          <w:color w:val="4472C4" w:themeColor="accent1"/>
        </w:rPr>
        <w:t xml:space="preserve"> &lt; 0.01; See Supplementary Material Figure S4).</w:t>
      </w:r>
      <w:r>
        <w:br w:type="page"/>
      </w:r>
    </w:p>
    <w:p w:rsidR="004F4582" w:rsidRDefault="004F4582" w:rsidP="00F20A4A">
      <w:pPr>
        <w:ind w:firstLine="0"/>
        <w:sectPr w:rsidR="004F4582" w:rsidSect="004F45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9" w:footer="709" w:gutter="0"/>
          <w:cols w:space="708"/>
          <w:docGrid w:linePitch="360"/>
        </w:sectPr>
      </w:pPr>
    </w:p>
    <w:p w:rsidR="00F20A4A" w:rsidRDefault="00F20A4A" w:rsidP="00F20A4A">
      <w:pPr>
        <w:ind w:firstLine="0"/>
      </w:pPr>
      <w:r w:rsidRPr="00ED56B1">
        <w:lastRenderedPageBreak/>
        <w:t xml:space="preserve">Table </w:t>
      </w:r>
      <w:r>
        <w:t xml:space="preserve">S1 </w:t>
      </w:r>
    </w:p>
    <w:p w:rsidR="00F20A4A" w:rsidRDefault="00F20A4A" w:rsidP="00F20A4A">
      <w:pPr>
        <w:ind w:firstLine="0"/>
      </w:pPr>
      <w:r>
        <w:t xml:space="preserve">Growth Model Goodness of Fit Index for Frailty </w:t>
      </w:r>
    </w:p>
    <w:p w:rsidR="00F20A4A" w:rsidRDefault="00F20A4A" w:rsidP="00F20A4A">
      <w:pPr>
        <w:ind w:firstLine="0"/>
      </w:pPr>
      <w:r w:rsidRPr="004C0845">
        <w:rPr>
          <w:noProof/>
          <w:lang w:val="en-CA" w:eastAsia="en-CA"/>
        </w:rPr>
        <w:drawing>
          <wp:inline distT="0" distB="0" distL="0" distR="0">
            <wp:extent cx="6438900" cy="1209675"/>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438900" cy="1209675"/>
                    </a:xfrm>
                    <a:prstGeom prst="rect">
                      <a:avLst/>
                    </a:prstGeom>
                    <a:noFill/>
                    <a:ln w="9525">
                      <a:noFill/>
                      <a:miter lim="800000"/>
                      <a:headEnd/>
                      <a:tailEnd/>
                    </a:ln>
                  </pic:spPr>
                </pic:pic>
              </a:graphicData>
            </a:graphic>
          </wp:inline>
        </w:drawing>
      </w:r>
    </w:p>
    <w:p w:rsidR="00F20A4A" w:rsidRDefault="00F20A4A" w:rsidP="00F20A4A">
      <w:pPr>
        <w:ind w:firstLine="0"/>
      </w:pPr>
      <w:r w:rsidRPr="00467FF2">
        <w:rPr>
          <w:i/>
        </w:rPr>
        <w:t>Note.</w:t>
      </w:r>
      <w:r>
        <w:t xml:space="preserve"> -2LL = -2 Log likelihood; AIC = Akaike information criterion; BIC = Bayesian information criterion;</w:t>
      </w:r>
      <w:r w:rsidRPr="00344D76">
        <w:rPr>
          <w:i/>
        </w:rPr>
        <w:t xml:space="preserve"> </w:t>
      </w:r>
      <w:r w:rsidRPr="000B5763">
        <w:rPr>
          <w:i/>
        </w:rPr>
        <w:t>D</w:t>
      </w:r>
      <w:r>
        <w:t xml:space="preserve"> = difference statistic (using -2LL); Δdf = change in degrees of freedom; -2LL = -2 Log likelihood</w:t>
      </w:r>
    </w:p>
    <w:p w:rsidR="00F20A4A" w:rsidRDefault="00F20A4A" w:rsidP="00F20A4A">
      <w:pPr>
        <w:ind w:firstLine="0"/>
      </w:pPr>
      <w:r>
        <w:t>* Best fitting model</w:t>
      </w:r>
    </w:p>
    <w:p w:rsidR="00F20A4A" w:rsidRDefault="00F20A4A" w:rsidP="00F20A4A">
      <w:pPr>
        <w:ind w:firstLine="0"/>
      </w:pPr>
    </w:p>
    <w:p w:rsidR="00F20A4A" w:rsidRDefault="00F20A4A" w:rsidP="00F20A4A">
      <w:pPr>
        <w:ind w:firstLine="0"/>
      </w:pPr>
    </w:p>
    <w:p w:rsidR="00F20A4A" w:rsidRDefault="00F20A4A" w:rsidP="00F20A4A">
      <w:pPr>
        <w:ind w:firstLine="0"/>
      </w:pPr>
    </w:p>
    <w:p w:rsidR="00F20A4A" w:rsidRDefault="00F20A4A" w:rsidP="00F20A4A">
      <w:pPr>
        <w:ind w:firstLine="0"/>
      </w:pPr>
    </w:p>
    <w:p w:rsidR="00F20A4A" w:rsidRDefault="00F20A4A" w:rsidP="00F20A4A">
      <w:pPr>
        <w:ind w:firstLine="0"/>
      </w:pPr>
    </w:p>
    <w:p w:rsidR="00F20A4A" w:rsidRDefault="00F20A4A" w:rsidP="00F20A4A">
      <w:pPr>
        <w:ind w:firstLine="0"/>
      </w:pPr>
    </w:p>
    <w:p w:rsidR="00F20A4A" w:rsidRDefault="00F20A4A" w:rsidP="00F20A4A">
      <w:pPr>
        <w:ind w:firstLine="0"/>
      </w:pPr>
    </w:p>
    <w:p w:rsidR="00F20A4A" w:rsidRDefault="00F20A4A" w:rsidP="00F20A4A">
      <w:pPr>
        <w:ind w:firstLine="0"/>
      </w:pPr>
    </w:p>
    <w:p w:rsidR="00F20A4A" w:rsidRDefault="00F20A4A" w:rsidP="00F20A4A">
      <w:pPr>
        <w:ind w:firstLine="0"/>
      </w:pPr>
      <w:r>
        <w:lastRenderedPageBreak/>
        <w:t>Table S2</w:t>
      </w:r>
    </w:p>
    <w:p w:rsidR="00F20A4A" w:rsidRPr="00344D76" w:rsidRDefault="00F20A4A" w:rsidP="00F20A4A">
      <w:pPr>
        <w:ind w:firstLine="0"/>
        <w:rPr>
          <w:rFonts w:eastAsia="Times New Roman"/>
        </w:rPr>
      </w:pPr>
      <w:r w:rsidRPr="00344D76">
        <w:rPr>
          <w:rFonts w:eastAsia="Times New Roman"/>
        </w:rPr>
        <w:t xml:space="preserve">Goodness of Fit Indices for </w:t>
      </w:r>
      <w:r w:rsidRPr="00344D76">
        <w:rPr>
          <w:rFonts w:eastAsia="Times New Roman"/>
          <w:b/>
        </w:rPr>
        <w:t>Episodic Memory (EM</w:t>
      </w:r>
      <w:r w:rsidRPr="00344D76">
        <w:rPr>
          <w:rFonts w:eastAsia="Times New Roman"/>
        </w:rPr>
        <w:t>) Confirmatory Analysis Models and Measurement Invariance Testing</w:t>
      </w:r>
    </w:p>
    <w:p w:rsidR="00F20A4A" w:rsidRDefault="00F20A4A" w:rsidP="00F20A4A">
      <w:pPr>
        <w:ind w:firstLine="0"/>
      </w:pPr>
      <w:r w:rsidRPr="00C36C3E">
        <w:rPr>
          <w:noProof/>
          <w:lang w:val="en-CA" w:eastAsia="en-CA"/>
        </w:rPr>
        <w:drawing>
          <wp:inline distT="0" distB="0" distL="0" distR="0">
            <wp:extent cx="8229600" cy="2764950"/>
            <wp:effectExtent l="1905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8229600" cy="2764950"/>
                    </a:xfrm>
                    <a:prstGeom prst="rect">
                      <a:avLst/>
                    </a:prstGeom>
                    <a:noFill/>
                    <a:ln w="9525">
                      <a:noFill/>
                      <a:miter lim="800000"/>
                      <a:headEnd/>
                      <a:tailEnd/>
                    </a:ln>
                  </pic:spPr>
                </pic:pic>
              </a:graphicData>
            </a:graphic>
          </wp:inline>
        </w:drawing>
      </w:r>
    </w:p>
    <w:p w:rsidR="00F20A4A" w:rsidRPr="00421B2A" w:rsidRDefault="00F20A4A" w:rsidP="00F20A4A">
      <w:pPr>
        <w:pStyle w:val="Caption"/>
        <w:spacing w:line="480" w:lineRule="auto"/>
      </w:pPr>
      <w:r w:rsidRPr="00421B2A">
        <w:t xml:space="preserve">Note. CFA = Confirmatory Factor Analysis; AIC = Akaike information criterion; BIC = Bayesian information criterion; χ2 = chi-square test of model fit; df = degrees of freedom for model fit; RMSEA = Root Mean Square Error of Approximation; CFI = Comparative Fit Index; SRMR = Standardized Root Mean Square Residual; Δ χ2 = change in chi-square; Δdf = change in degrees of freedom; -2LL = -2 Log likelihood; D = difference statistic (using -2LL) </w:t>
      </w:r>
    </w:p>
    <w:p w:rsidR="00F20A4A" w:rsidRPr="00421B2A" w:rsidRDefault="00F20A4A" w:rsidP="00F20A4A">
      <w:pPr>
        <w:pStyle w:val="Caption"/>
        <w:spacing w:line="480" w:lineRule="auto"/>
      </w:pPr>
      <w:r w:rsidRPr="00421B2A">
        <w:t>*Best Fitting Model</w:t>
      </w:r>
    </w:p>
    <w:p w:rsidR="00F20A4A" w:rsidRPr="00421B2A" w:rsidRDefault="00F20A4A" w:rsidP="00F20A4A">
      <w:pPr>
        <w:pStyle w:val="Caption"/>
        <w:spacing w:line="480" w:lineRule="auto"/>
      </w:pPr>
      <w:r w:rsidRPr="00421B2A">
        <w:t>a RAVLT free recall and RAVLT recall after interference free to vary</w:t>
      </w:r>
    </w:p>
    <w:p w:rsidR="00F20A4A" w:rsidRPr="00421B2A" w:rsidRDefault="00F20A4A" w:rsidP="00F20A4A">
      <w:pPr>
        <w:pStyle w:val="Caption"/>
        <w:sectPr w:rsidR="00F20A4A" w:rsidRPr="00421B2A" w:rsidSect="003A09D5">
          <w:pgSz w:w="15840" w:h="12240" w:orient="landscape"/>
          <w:pgMar w:top="1440" w:right="1440" w:bottom="1440" w:left="1440" w:header="709" w:footer="709" w:gutter="0"/>
          <w:cols w:space="708"/>
          <w:docGrid w:linePitch="360"/>
        </w:sectPr>
      </w:pPr>
    </w:p>
    <w:p w:rsidR="00F20A4A" w:rsidRDefault="00F20A4A" w:rsidP="00F20A4A">
      <w:pPr>
        <w:ind w:firstLine="0"/>
      </w:pPr>
      <w:r>
        <w:lastRenderedPageBreak/>
        <w:t>Table S3</w:t>
      </w:r>
    </w:p>
    <w:p w:rsidR="00F20A4A" w:rsidRPr="00421B2A" w:rsidRDefault="00F20A4A" w:rsidP="00F20A4A">
      <w:pPr>
        <w:ind w:firstLine="0"/>
        <w:rPr>
          <w:rFonts w:eastAsia="Times New Roman"/>
        </w:rPr>
      </w:pPr>
      <w:r w:rsidRPr="00344D76">
        <w:rPr>
          <w:rFonts w:eastAsia="Times New Roman"/>
        </w:rPr>
        <w:t xml:space="preserve">Goodness of Fit Indices for </w:t>
      </w:r>
      <w:r>
        <w:rPr>
          <w:rFonts w:eastAsia="Times New Roman"/>
          <w:b/>
        </w:rPr>
        <w:t xml:space="preserve">Neurocognitive Speed </w:t>
      </w:r>
      <w:r w:rsidRPr="00344D76">
        <w:rPr>
          <w:rFonts w:eastAsia="Times New Roman"/>
        </w:rPr>
        <w:t>Confirmatory Analysis Models and Measurement Invariance Testing</w:t>
      </w:r>
      <w:r w:rsidRPr="00C36C3E">
        <w:rPr>
          <w:noProof/>
          <w:lang w:val="en-CA" w:eastAsia="en-CA"/>
        </w:rPr>
        <w:drawing>
          <wp:inline distT="0" distB="0" distL="0" distR="0">
            <wp:extent cx="8229600" cy="2748605"/>
            <wp:effectExtent l="1905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8229600" cy="2748605"/>
                    </a:xfrm>
                    <a:prstGeom prst="rect">
                      <a:avLst/>
                    </a:prstGeom>
                    <a:noFill/>
                    <a:ln w="9525">
                      <a:noFill/>
                      <a:miter lim="800000"/>
                      <a:headEnd/>
                      <a:tailEnd/>
                    </a:ln>
                  </pic:spPr>
                </pic:pic>
              </a:graphicData>
            </a:graphic>
          </wp:inline>
        </w:drawing>
      </w:r>
    </w:p>
    <w:p w:rsidR="00F20A4A" w:rsidRDefault="00F20A4A" w:rsidP="00F20A4A">
      <w:pPr>
        <w:ind w:firstLine="0"/>
      </w:pPr>
      <w:r w:rsidRPr="00467FF2">
        <w:rPr>
          <w:i/>
        </w:rPr>
        <w:t>Note.</w:t>
      </w:r>
      <w:r>
        <w:t xml:space="preserve"> CFA = Confirmatory Factor Analysis; AIC = Akaike information criterion; BIC = Bayesian information criterion; χ</w:t>
      </w:r>
      <w:r w:rsidRPr="000B5763">
        <w:rPr>
          <w:vertAlign w:val="superscript"/>
        </w:rPr>
        <w:t>2</w:t>
      </w:r>
      <w:r>
        <w:t xml:space="preserve"> = chi-square test of model fit; df = degrees of freedom for model fit; RMSEA = Root Mean Square Error of Approximation; CFI = Comparative Fit Index; TLI = Tucker-Lewis Index; SRMR = Standardized Root Mean Square Residual; Δ</w:t>
      </w:r>
      <w:r w:rsidRPr="00BA48CE">
        <w:t xml:space="preserve"> </w:t>
      </w:r>
      <w:r>
        <w:t>χ</w:t>
      </w:r>
      <w:r w:rsidRPr="00116F57">
        <w:rPr>
          <w:vertAlign w:val="superscript"/>
        </w:rPr>
        <w:t>2</w:t>
      </w:r>
      <w:r>
        <w:rPr>
          <w:vertAlign w:val="superscript"/>
        </w:rPr>
        <w:t xml:space="preserve"> </w:t>
      </w:r>
      <w:r>
        <w:t>= change in chi-square;</w:t>
      </w:r>
      <w:r w:rsidRPr="00BA48CE">
        <w:t xml:space="preserve"> </w:t>
      </w:r>
      <w:r>
        <w:t xml:space="preserve">Δdf = change in degrees of freedom; -2LL = -2 Log likelihood; </w:t>
      </w:r>
      <w:r w:rsidRPr="000B5763">
        <w:rPr>
          <w:i/>
        </w:rPr>
        <w:t>D</w:t>
      </w:r>
      <w:r>
        <w:t xml:space="preserve"> = difference statistic (using -2LL)</w:t>
      </w:r>
    </w:p>
    <w:p w:rsidR="00F20A4A" w:rsidRDefault="00F20A4A" w:rsidP="00F20A4A">
      <w:pPr>
        <w:ind w:firstLine="0"/>
      </w:pPr>
      <w:r>
        <w:t>*Best Fitting Model</w:t>
      </w:r>
    </w:p>
    <w:p w:rsidR="00F20A4A" w:rsidRDefault="00F20A4A" w:rsidP="00F20A4A">
      <w:pPr>
        <w:ind w:firstLine="0"/>
      </w:pPr>
      <w:r>
        <w:rPr>
          <w:vertAlign w:val="superscript"/>
        </w:rPr>
        <w:t xml:space="preserve">a </w:t>
      </w:r>
      <w:r w:rsidRPr="00C619D6">
        <w:t>Simple Reaction Time, Lexical Decision, and Sentence Verification free to vary</w:t>
      </w:r>
    </w:p>
    <w:p w:rsidR="00F20A4A" w:rsidRDefault="00F20A4A" w:rsidP="00F20A4A"/>
    <w:p w:rsidR="00F20A4A" w:rsidRDefault="00F20A4A" w:rsidP="00F20A4A">
      <w:pPr>
        <w:ind w:firstLine="0"/>
        <w:rPr>
          <w:rFonts w:eastAsia="Times New Roman"/>
        </w:rPr>
      </w:pPr>
      <w:r w:rsidRPr="008F04CF">
        <w:rPr>
          <w:rFonts w:eastAsia="Times New Roman"/>
        </w:rPr>
        <w:lastRenderedPageBreak/>
        <w:t xml:space="preserve">Table </w:t>
      </w:r>
      <w:r>
        <w:rPr>
          <w:rFonts w:eastAsia="Times New Roman"/>
        </w:rPr>
        <w:t>S4</w:t>
      </w:r>
    </w:p>
    <w:p w:rsidR="00F20A4A" w:rsidRPr="00C36C3E" w:rsidRDefault="00F20A4A" w:rsidP="00F20A4A">
      <w:pPr>
        <w:ind w:firstLine="0"/>
        <w:rPr>
          <w:rFonts w:eastAsia="Times New Roman"/>
        </w:rPr>
      </w:pPr>
      <w:r w:rsidRPr="00344D76">
        <w:rPr>
          <w:rFonts w:eastAsia="Times New Roman"/>
        </w:rPr>
        <w:t xml:space="preserve">Goodness of Fit Indices for </w:t>
      </w:r>
      <w:r>
        <w:rPr>
          <w:rFonts w:eastAsia="Times New Roman"/>
          <w:b/>
        </w:rPr>
        <w:t>Executive Function</w:t>
      </w:r>
      <w:r w:rsidRPr="00344D76">
        <w:rPr>
          <w:rFonts w:eastAsia="Times New Roman"/>
          <w:b/>
        </w:rPr>
        <w:t xml:space="preserve"> (E</w:t>
      </w:r>
      <w:r>
        <w:rPr>
          <w:rFonts w:eastAsia="Times New Roman"/>
          <w:b/>
        </w:rPr>
        <w:t>F</w:t>
      </w:r>
      <w:r w:rsidRPr="00344D76">
        <w:rPr>
          <w:rFonts w:eastAsia="Times New Roman"/>
        </w:rPr>
        <w:t>) Confirmatory Analysis Models and Measurement Invariance Testing</w:t>
      </w:r>
    </w:p>
    <w:p w:rsidR="00F20A4A" w:rsidRDefault="00F20A4A" w:rsidP="00F20A4A">
      <w:pPr>
        <w:ind w:firstLine="0"/>
      </w:pPr>
      <w:r w:rsidRPr="00C36C3E">
        <w:rPr>
          <w:noProof/>
          <w:lang w:val="en-CA" w:eastAsia="en-CA"/>
        </w:rPr>
        <w:drawing>
          <wp:inline distT="0" distB="0" distL="0" distR="0">
            <wp:extent cx="8229600" cy="2858437"/>
            <wp:effectExtent l="19050" t="0" r="0" b="0"/>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8229600" cy="2858437"/>
                    </a:xfrm>
                    <a:prstGeom prst="rect">
                      <a:avLst/>
                    </a:prstGeom>
                    <a:noFill/>
                    <a:ln w="9525">
                      <a:noFill/>
                      <a:miter lim="800000"/>
                      <a:headEnd/>
                      <a:tailEnd/>
                    </a:ln>
                  </pic:spPr>
                </pic:pic>
              </a:graphicData>
            </a:graphic>
          </wp:inline>
        </w:drawing>
      </w:r>
    </w:p>
    <w:p w:rsidR="00F20A4A" w:rsidRDefault="00F20A4A" w:rsidP="00F20A4A">
      <w:pPr>
        <w:ind w:firstLine="0"/>
      </w:pPr>
      <w:r w:rsidRPr="00421B2A">
        <w:rPr>
          <w:i/>
        </w:rPr>
        <w:t>Note</w:t>
      </w:r>
      <w:r w:rsidRPr="00421B2A">
        <w:t xml:space="preserve">. CFA = Confirmatory Factor Analysis; AIC = Akaike information criterion; BIC = Bayesian information criterion; χ2 = chi-square test of model fit; df = degrees of freedom for model fit; RMSEA = Root Mean Square Error of Approximation; CFI = Comparative Fit Index; TLI = Tucker-Lewis Index; SRMR = Standardized Root Mean Square Residual; Δ χ2 = change in chi-square; Δdf = change in degrees of freedom; -2LL = -2 Log likelihood; D = difference statistic (using -2LL) </w:t>
      </w:r>
    </w:p>
    <w:p w:rsidR="00F20A4A" w:rsidRDefault="00F20A4A" w:rsidP="00F20A4A">
      <w:pPr>
        <w:ind w:firstLine="0"/>
      </w:pPr>
      <w:r w:rsidRPr="00421B2A">
        <w:t>*Best Fitting Model</w:t>
      </w:r>
    </w:p>
    <w:p w:rsidR="00F20A4A" w:rsidRDefault="00F20A4A" w:rsidP="00F20A4A">
      <w:pPr>
        <w:ind w:firstLine="0"/>
      </w:pPr>
      <w:r w:rsidRPr="00421B2A">
        <w:rPr>
          <w:vertAlign w:val="superscript"/>
        </w:rPr>
        <w:t xml:space="preserve">a </w:t>
      </w:r>
      <w:r w:rsidRPr="00421B2A">
        <w:t>Brixt</w:t>
      </w:r>
      <w:r>
        <w:t>on and Color Trails free to vary</w:t>
      </w:r>
    </w:p>
    <w:p w:rsidR="00F20A4A" w:rsidRDefault="00F20A4A" w:rsidP="00F20A4A">
      <w:pPr>
        <w:spacing w:line="240" w:lineRule="auto"/>
        <w:ind w:firstLine="0"/>
      </w:pPr>
    </w:p>
    <w:p w:rsidR="00E407A0" w:rsidRDefault="004C5E58" w:rsidP="00F20A4A">
      <w:pPr>
        <w:spacing w:line="240" w:lineRule="auto"/>
        <w:ind w:firstLine="0"/>
      </w:pPr>
      <w:r>
        <w:rPr>
          <w:noProof/>
          <w:lang w:val="en-CA" w:eastAsia="en-CA"/>
        </w:rPr>
        <w:drawing>
          <wp:inline distT="0" distB="0" distL="0" distR="0">
            <wp:extent cx="5577840" cy="3954780"/>
            <wp:effectExtent l="19050" t="0" r="381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577840" cy="3954780"/>
                    </a:xfrm>
                    <a:prstGeom prst="rect">
                      <a:avLst/>
                    </a:prstGeom>
                    <a:noFill/>
                  </pic:spPr>
                </pic:pic>
              </a:graphicData>
            </a:graphic>
          </wp:inline>
        </w:drawing>
      </w:r>
    </w:p>
    <w:p w:rsidR="00E407A0" w:rsidRDefault="00E407A0" w:rsidP="00F20A4A">
      <w:pPr>
        <w:spacing w:line="240" w:lineRule="auto"/>
        <w:ind w:firstLine="0"/>
      </w:pPr>
    </w:p>
    <w:p w:rsidR="00E407A0" w:rsidRDefault="00E407A0" w:rsidP="00E407A0">
      <w:pPr>
        <w:ind w:firstLine="0"/>
        <w:rPr>
          <w:i/>
        </w:rPr>
      </w:pPr>
    </w:p>
    <w:p w:rsidR="00E407A0" w:rsidRPr="00812329" w:rsidRDefault="00E407A0" w:rsidP="00E407A0">
      <w:pPr>
        <w:ind w:firstLine="0"/>
        <w:rPr>
          <w:color w:val="2F5496" w:themeColor="accent1" w:themeShade="BF"/>
        </w:rPr>
        <w:sectPr w:rsidR="00E407A0" w:rsidRPr="00812329" w:rsidSect="00CF34E9">
          <w:pgSz w:w="15840" w:h="12240" w:orient="landscape"/>
          <w:pgMar w:top="1440" w:right="1440" w:bottom="1440" w:left="1440" w:header="709" w:footer="709" w:gutter="0"/>
          <w:cols w:space="708"/>
          <w:docGrid w:linePitch="360"/>
        </w:sectPr>
      </w:pPr>
      <w:r w:rsidRPr="00812329">
        <w:rPr>
          <w:i/>
          <w:color w:val="2F5496" w:themeColor="accent1" w:themeShade="BF"/>
        </w:rPr>
        <w:t xml:space="preserve">Figure S1. </w:t>
      </w:r>
      <w:r w:rsidRPr="00812329">
        <w:rPr>
          <w:color w:val="2F5496" w:themeColor="accent1" w:themeShade="BF"/>
        </w:rPr>
        <w:t xml:space="preserve">Study flowchart of </w:t>
      </w:r>
      <w:r w:rsidR="00FA2537">
        <w:rPr>
          <w:color w:val="2F5496" w:themeColor="accent1" w:themeShade="BF"/>
        </w:rPr>
        <w:t>study</w:t>
      </w:r>
      <w:r w:rsidRPr="00812329">
        <w:rPr>
          <w:color w:val="2F5496" w:themeColor="accent1" w:themeShade="BF"/>
        </w:rPr>
        <w:t xml:space="preserve"> participants. The final sample consisted of 632 participants. </w:t>
      </w:r>
    </w:p>
    <w:p w:rsidR="00F20A4A" w:rsidRDefault="00F20A4A" w:rsidP="00F20A4A">
      <w:pPr>
        <w:spacing w:line="240" w:lineRule="auto"/>
        <w:ind w:firstLine="0"/>
      </w:pPr>
    </w:p>
    <w:p w:rsidR="00F20A4A" w:rsidRDefault="00F20A4A" w:rsidP="00F20A4A">
      <w:pPr>
        <w:spacing w:line="240" w:lineRule="auto"/>
        <w:ind w:firstLine="0"/>
      </w:pPr>
      <w:r w:rsidRPr="00CF34E9">
        <w:rPr>
          <w:noProof/>
          <w:lang w:val="en-CA" w:eastAsia="en-CA"/>
        </w:rPr>
        <w:drawing>
          <wp:inline distT="0" distB="0" distL="0" distR="0">
            <wp:extent cx="2973149" cy="2691442"/>
            <wp:effectExtent l="19050" t="0" r="0" b="0"/>
            <wp:docPr id="6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grayscl/>
                    </a:blip>
                    <a:srcRect/>
                    <a:stretch>
                      <a:fillRect/>
                    </a:stretch>
                  </pic:blipFill>
                  <pic:spPr bwMode="auto">
                    <a:xfrm>
                      <a:off x="0" y="0"/>
                      <a:ext cx="2973544" cy="2691800"/>
                    </a:xfrm>
                    <a:prstGeom prst="rect">
                      <a:avLst/>
                    </a:prstGeom>
                    <a:noFill/>
                  </pic:spPr>
                </pic:pic>
              </a:graphicData>
            </a:graphic>
          </wp:inline>
        </w:drawing>
      </w:r>
    </w:p>
    <w:p w:rsidR="00F20A4A" w:rsidRDefault="00F20A4A" w:rsidP="00F20A4A">
      <w:pPr>
        <w:spacing w:line="240" w:lineRule="auto"/>
        <w:ind w:firstLine="0"/>
      </w:pPr>
    </w:p>
    <w:p w:rsidR="00F20A4A" w:rsidRDefault="00F20A4A" w:rsidP="00F20A4A">
      <w:pPr>
        <w:spacing w:line="240" w:lineRule="auto"/>
        <w:ind w:firstLine="0"/>
      </w:pPr>
    </w:p>
    <w:p w:rsidR="00F20A4A" w:rsidRDefault="00F20A4A" w:rsidP="00F20A4A">
      <w:pPr>
        <w:ind w:firstLine="0"/>
        <w:sectPr w:rsidR="00F20A4A" w:rsidSect="00CF34E9">
          <w:pgSz w:w="12240" w:h="15840"/>
          <w:pgMar w:top="1440" w:right="1440" w:bottom="1440" w:left="1440" w:header="709" w:footer="709" w:gutter="0"/>
          <w:cols w:space="708"/>
          <w:docGrid w:linePitch="360"/>
        </w:sectPr>
      </w:pPr>
      <w:r>
        <w:rPr>
          <w:i/>
        </w:rPr>
        <w:t>Figure S</w:t>
      </w:r>
      <w:r w:rsidR="00E407A0" w:rsidRPr="00812329">
        <w:rPr>
          <w:i/>
          <w:color w:val="2F5496" w:themeColor="accent1" w:themeShade="BF"/>
        </w:rPr>
        <w:t>2</w:t>
      </w:r>
      <w:r>
        <w:rPr>
          <w:i/>
        </w:rPr>
        <w:t xml:space="preserve">. </w:t>
      </w:r>
      <w:r w:rsidRPr="00CF34E9">
        <w:t>Illustration of the</w:t>
      </w:r>
      <w:r>
        <w:rPr>
          <w:i/>
        </w:rPr>
        <w:t xml:space="preserve"> </w:t>
      </w:r>
      <w:r>
        <w:rPr>
          <w:rFonts w:eastAsia="Times New Roman"/>
        </w:rPr>
        <w:t>Frailty-Cognition parallel process model, in which level of frailty is regressed onto level and slope of cognition, and slope of frailty is regressed onto the slope of cognition.</w:t>
      </w:r>
    </w:p>
    <w:p w:rsidR="00F20A4A" w:rsidRDefault="00F20A4A" w:rsidP="00F20A4A">
      <w:pPr>
        <w:ind w:firstLine="0"/>
        <w:outlineLvl w:val="9"/>
      </w:pPr>
      <w:r>
        <w:rPr>
          <w:noProof/>
          <w:lang w:val="en-CA" w:eastAsia="en-CA"/>
        </w:rPr>
        <w:lastRenderedPageBreak/>
        <w:drawing>
          <wp:inline distT="0" distB="0" distL="0" distR="0">
            <wp:extent cx="3675758" cy="3278038"/>
            <wp:effectExtent l="19050" t="0" r="89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678947" cy="3280882"/>
                    </a:xfrm>
                    <a:prstGeom prst="rect">
                      <a:avLst/>
                    </a:prstGeom>
                    <a:noFill/>
                    <a:ln w="9525">
                      <a:noFill/>
                      <a:miter lim="800000"/>
                      <a:headEnd/>
                      <a:tailEnd/>
                    </a:ln>
                  </pic:spPr>
                </pic:pic>
              </a:graphicData>
            </a:graphic>
          </wp:inline>
        </w:drawing>
      </w:r>
    </w:p>
    <w:p w:rsidR="00F20A4A" w:rsidRDefault="00F20A4A" w:rsidP="00F20A4A">
      <w:pPr>
        <w:ind w:firstLine="0"/>
        <w:outlineLvl w:val="9"/>
      </w:pPr>
      <w:r>
        <w:rPr>
          <w:i/>
        </w:rPr>
        <w:t>Figure S</w:t>
      </w:r>
      <w:r w:rsidR="00812329" w:rsidRPr="00812329">
        <w:rPr>
          <w:i/>
          <w:color w:val="2F5496" w:themeColor="accent1" w:themeShade="BF"/>
        </w:rPr>
        <w:t>3</w:t>
      </w:r>
      <w:r>
        <w:rPr>
          <w:i/>
        </w:rPr>
        <w:t xml:space="preserve">. </w:t>
      </w:r>
      <w:r w:rsidRPr="00785C91">
        <w:t xml:space="preserve">Individual </w:t>
      </w:r>
      <w:r>
        <w:t xml:space="preserve">memory </w:t>
      </w:r>
      <w:r w:rsidRPr="00785C91">
        <w:t>trajectories across a 40-year band of aging wi</w:t>
      </w:r>
      <w:r>
        <w:t xml:space="preserve">th a group mean trajectory line (final growth model random intercept, random slope; </w:t>
      </w:r>
      <w:r w:rsidRPr="003D272F">
        <w:rPr>
          <w:i/>
        </w:rPr>
        <w:t>D</w:t>
      </w:r>
      <w:r>
        <w:t xml:space="preserve"> = 342.02, Δdf = 2, </w:t>
      </w:r>
      <w:r w:rsidRPr="003D272F">
        <w:rPr>
          <w:i/>
        </w:rPr>
        <w:t>p</w:t>
      </w:r>
      <w:r>
        <w:t xml:space="preserve"> &lt;.001). </w:t>
      </w:r>
    </w:p>
    <w:p w:rsidR="00F20A4A" w:rsidRDefault="00F20A4A" w:rsidP="00F20A4A">
      <w:pPr>
        <w:ind w:firstLine="0"/>
        <w:outlineLvl w:val="9"/>
      </w:pPr>
    </w:p>
    <w:p w:rsidR="00F20A4A" w:rsidRDefault="00F20A4A" w:rsidP="00F20A4A">
      <w:pPr>
        <w:spacing w:line="240" w:lineRule="auto"/>
        <w:ind w:firstLine="0"/>
        <w:outlineLvl w:val="9"/>
      </w:pPr>
    </w:p>
    <w:p w:rsidR="00F20A4A" w:rsidRDefault="00F20A4A" w:rsidP="00F20A4A">
      <w:pPr>
        <w:ind w:firstLine="0"/>
        <w:outlineLvl w:val="9"/>
        <w:rPr>
          <w:i/>
        </w:rPr>
      </w:pPr>
      <w:r>
        <w:rPr>
          <w:i/>
          <w:noProof/>
          <w:lang w:val="en-CA" w:eastAsia="en-CA"/>
        </w:rPr>
        <w:lastRenderedPageBreak/>
        <w:drawing>
          <wp:inline distT="0" distB="0" distL="0" distR="0">
            <wp:extent cx="3675600" cy="3272623"/>
            <wp:effectExtent l="19050" t="0" r="10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675600" cy="3272623"/>
                    </a:xfrm>
                    <a:prstGeom prst="rect">
                      <a:avLst/>
                    </a:prstGeom>
                    <a:noFill/>
                    <a:ln w="9525">
                      <a:noFill/>
                      <a:miter lim="800000"/>
                      <a:headEnd/>
                      <a:tailEnd/>
                    </a:ln>
                  </pic:spPr>
                </pic:pic>
              </a:graphicData>
            </a:graphic>
          </wp:inline>
        </w:drawing>
      </w:r>
    </w:p>
    <w:p w:rsidR="00F20A4A" w:rsidRDefault="00F20A4A" w:rsidP="00F20A4A">
      <w:pPr>
        <w:ind w:firstLine="0"/>
        <w:outlineLvl w:val="9"/>
      </w:pPr>
      <w:r>
        <w:rPr>
          <w:i/>
        </w:rPr>
        <w:t>Figure S</w:t>
      </w:r>
      <w:r w:rsidR="00812329" w:rsidRPr="00812329">
        <w:rPr>
          <w:i/>
          <w:color w:val="2F5496" w:themeColor="accent1" w:themeShade="BF"/>
        </w:rPr>
        <w:t>4</w:t>
      </w:r>
      <w:r>
        <w:rPr>
          <w:i/>
        </w:rPr>
        <w:t xml:space="preserve">. </w:t>
      </w:r>
      <w:r w:rsidRPr="00785C91">
        <w:t xml:space="preserve">Individual </w:t>
      </w:r>
      <w:r>
        <w:t xml:space="preserve">speed </w:t>
      </w:r>
      <w:r w:rsidRPr="00785C91">
        <w:t>trajectories across a 40-year band of aging with a group mean trajectory line</w:t>
      </w:r>
      <w:r>
        <w:t xml:space="preserve"> (final growth model random intercept, random slope; </w:t>
      </w:r>
      <w:r w:rsidRPr="003D272F">
        <w:rPr>
          <w:i/>
        </w:rPr>
        <w:t>D</w:t>
      </w:r>
      <w:r>
        <w:t xml:space="preserve"> = 444.58, Δdf = 2, </w:t>
      </w:r>
      <w:r w:rsidRPr="003D272F">
        <w:rPr>
          <w:i/>
        </w:rPr>
        <w:t>p</w:t>
      </w:r>
      <w:r>
        <w:t xml:space="preserve"> &lt;.001)</w:t>
      </w:r>
      <w:r w:rsidRPr="00785C91">
        <w:t>.</w:t>
      </w:r>
    </w:p>
    <w:p w:rsidR="00F20A4A" w:rsidRDefault="00F20A4A" w:rsidP="00F20A4A">
      <w:pPr>
        <w:ind w:firstLine="0"/>
        <w:outlineLvl w:val="9"/>
      </w:pPr>
    </w:p>
    <w:p w:rsidR="00F20A4A" w:rsidRDefault="00F20A4A" w:rsidP="00F20A4A">
      <w:pPr>
        <w:ind w:firstLine="0"/>
        <w:outlineLvl w:val="9"/>
      </w:pPr>
    </w:p>
    <w:p w:rsidR="00F20A4A" w:rsidRDefault="00F20A4A" w:rsidP="00F20A4A">
      <w:pPr>
        <w:ind w:firstLine="0"/>
        <w:outlineLvl w:val="9"/>
        <w:rPr>
          <w:i/>
        </w:rPr>
      </w:pPr>
      <w:r>
        <w:rPr>
          <w:i/>
          <w:noProof/>
          <w:lang w:val="en-CA" w:eastAsia="en-CA"/>
        </w:rPr>
        <w:lastRenderedPageBreak/>
        <w:drawing>
          <wp:inline distT="0" distB="0" distL="0" distR="0">
            <wp:extent cx="3676622" cy="3279600"/>
            <wp:effectExtent l="19050" t="0" r="28"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3676622" cy="3279600"/>
                    </a:xfrm>
                    <a:prstGeom prst="rect">
                      <a:avLst/>
                    </a:prstGeom>
                    <a:noFill/>
                    <a:ln w="9525">
                      <a:noFill/>
                      <a:miter lim="800000"/>
                      <a:headEnd/>
                      <a:tailEnd/>
                    </a:ln>
                  </pic:spPr>
                </pic:pic>
              </a:graphicData>
            </a:graphic>
          </wp:inline>
        </w:drawing>
      </w:r>
    </w:p>
    <w:p w:rsidR="00F20A4A" w:rsidRDefault="00F20A4A" w:rsidP="00F20A4A">
      <w:pPr>
        <w:ind w:firstLine="0"/>
        <w:outlineLvl w:val="9"/>
        <w:rPr>
          <w:i/>
        </w:rPr>
      </w:pPr>
    </w:p>
    <w:p w:rsidR="00F20A4A" w:rsidRDefault="00F20A4A" w:rsidP="00F20A4A">
      <w:pPr>
        <w:ind w:firstLine="0"/>
        <w:outlineLvl w:val="9"/>
      </w:pPr>
      <w:r>
        <w:rPr>
          <w:i/>
        </w:rPr>
        <w:t>Figure S</w:t>
      </w:r>
      <w:r w:rsidR="00812329" w:rsidRPr="00812329">
        <w:rPr>
          <w:i/>
          <w:color w:val="2F5496" w:themeColor="accent1" w:themeShade="BF"/>
        </w:rPr>
        <w:t>5</w:t>
      </w:r>
      <w:r>
        <w:rPr>
          <w:i/>
        </w:rPr>
        <w:t xml:space="preserve">. </w:t>
      </w:r>
      <w:r w:rsidRPr="00785C91">
        <w:t xml:space="preserve">Individual </w:t>
      </w:r>
      <w:r>
        <w:t xml:space="preserve">Executive Function (EF) </w:t>
      </w:r>
      <w:r w:rsidRPr="00785C91">
        <w:t>trajectories across a 40-year band of aging with a group mean trajectory line</w:t>
      </w:r>
      <w:r>
        <w:t xml:space="preserve"> (final growth model random intercept, random slope; </w:t>
      </w:r>
      <w:r w:rsidRPr="003D272F">
        <w:rPr>
          <w:i/>
        </w:rPr>
        <w:t>D</w:t>
      </w:r>
      <w:r>
        <w:t xml:space="preserve"> = 838.0, Δdf = 2, </w:t>
      </w:r>
      <w:r w:rsidRPr="003D272F">
        <w:rPr>
          <w:i/>
        </w:rPr>
        <w:t>p</w:t>
      </w:r>
      <w:r>
        <w:t xml:space="preserve"> &lt;.001)</w:t>
      </w:r>
      <w:r w:rsidRPr="00785C91">
        <w:t>.</w:t>
      </w:r>
    </w:p>
    <w:p w:rsidR="00812329" w:rsidRDefault="00812329"/>
    <w:p w:rsidR="00A52FCE" w:rsidRDefault="00A52FCE">
      <w:pPr>
        <w:spacing w:after="160" w:line="259" w:lineRule="auto"/>
        <w:ind w:firstLine="0"/>
        <w:outlineLvl w:val="9"/>
      </w:pPr>
      <w:r>
        <w:br w:type="page"/>
      </w:r>
    </w:p>
    <w:p w:rsidR="00812329" w:rsidRDefault="00A52FCE" w:rsidP="00A52FCE">
      <w:pPr>
        <w:jc w:val="center"/>
      </w:pPr>
      <w:r>
        <w:lastRenderedPageBreak/>
        <w:t>References</w:t>
      </w:r>
    </w:p>
    <w:p w:rsidR="00812329" w:rsidRPr="00812329" w:rsidRDefault="00311352" w:rsidP="00A52FCE">
      <w:pPr>
        <w:pStyle w:val="EndNoteBibliography"/>
        <w:spacing w:line="480" w:lineRule="auto"/>
        <w:ind w:left="720" w:hanging="720"/>
      </w:pPr>
      <w:r>
        <w:fldChar w:fldCharType="begin"/>
      </w:r>
      <w:r w:rsidR="00812329">
        <w:instrText xml:space="preserve"> ADDIN EN.REFLIST </w:instrText>
      </w:r>
      <w:r>
        <w:fldChar w:fldCharType="separate"/>
      </w:r>
      <w:r w:rsidR="00812329" w:rsidRPr="00812329">
        <w:t xml:space="preserve">Kline, R. B. (2011). </w:t>
      </w:r>
      <w:r w:rsidR="00812329" w:rsidRPr="00812329">
        <w:rPr>
          <w:i/>
        </w:rPr>
        <w:t>Principles and practice of structural equation modeling</w:t>
      </w:r>
      <w:r w:rsidR="00812329" w:rsidRPr="00812329">
        <w:t xml:space="preserve"> (Vol. 3rd). New York, NY: Guilford Press.</w:t>
      </w:r>
    </w:p>
    <w:p w:rsidR="00812329" w:rsidRPr="00812329" w:rsidRDefault="00812329" w:rsidP="00A52FCE">
      <w:pPr>
        <w:pStyle w:val="EndNoteBibliography"/>
        <w:spacing w:line="480" w:lineRule="auto"/>
        <w:ind w:left="720" w:hanging="720"/>
      </w:pPr>
      <w:r w:rsidRPr="00812329">
        <w:t xml:space="preserve">Little, T. D. (2013). </w:t>
      </w:r>
      <w:r w:rsidRPr="00812329">
        <w:rPr>
          <w:i/>
        </w:rPr>
        <w:t>Longitudinal structural equation modeling</w:t>
      </w:r>
      <w:r w:rsidRPr="00812329">
        <w:t>. New York, NY: Guilford Press.</w:t>
      </w:r>
    </w:p>
    <w:p w:rsidR="00812329" w:rsidRPr="00812329" w:rsidRDefault="00812329" w:rsidP="00A52FCE">
      <w:pPr>
        <w:pStyle w:val="EndNoteBibliography"/>
        <w:spacing w:line="480" w:lineRule="auto"/>
        <w:ind w:left="720" w:hanging="720"/>
      </w:pPr>
      <w:r w:rsidRPr="00812329">
        <w:t xml:space="preserve">Singer, J. D., &amp; Willett, J. B. (2003). </w:t>
      </w:r>
      <w:r w:rsidRPr="00812329">
        <w:rPr>
          <w:i/>
        </w:rPr>
        <w:t>Applied longitudinal data analysis: Modeling change and event occurrence</w:t>
      </w:r>
      <w:r w:rsidRPr="00812329">
        <w:t>. New York, NY: Oxford University Press; US.</w:t>
      </w:r>
    </w:p>
    <w:p w:rsidR="002E5E6E" w:rsidRDefault="00311352">
      <w:r>
        <w:fldChar w:fldCharType="end"/>
      </w:r>
    </w:p>
    <w:sectPr w:rsidR="002E5E6E" w:rsidSect="009919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360" w:rsidRDefault="00BA3360" w:rsidP="00F20A4A">
      <w:pPr>
        <w:spacing w:line="240" w:lineRule="auto"/>
      </w:pPr>
      <w:r>
        <w:separator/>
      </w:r>
    </w:p>
  </w:endnote>
  <w:endnote w:type="continuationSeparator" w:id="0">
    <w:p w:rsidR="00BA3360" w:rsidRDefault="00BA3360" w:rsidP="00F20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A4A" w:rsidRDefault="00F20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A4A" w:rsidRDefault="00F20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A4A" w:rsidRDefault="00F20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360" w:rsidRDefault="00BA3360" w:rsidP="00F20A4A">
      <w:pPr>
        <w:spacing w:line="240" w:lineRule="auto"/>
      </w:pPr>
      <w:r>
        <w:separator/>
      </w:r>
    </w:p>
  </w:footnote>
  <w:footnote w:type="continuationSeparator" w:id="0">
    <w:p w:rsidR="00BA3360" w:rsidRDefault="00BA3360" w:rsidP="00F20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A4A" w:rsidRDefault="00F20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A4A" w:rsidRDefault="00F20A4A" w:rsidP="00F20A4A">
    <w:pPr>
      <w:pStyle w:val="Header"/>
      <w:ind w:firstLine="0"/>
    </w:pPr>
    <w:r w:rsidRPr="00B12252">
      <w:t xml:space="preserve">Frailty effects on cognitive trajectories </w:t>
    </w:r>
    <w:r>
      <w:t xml:space="preserve">are moderated by sex and APOE </w:t>
    </w:r>
    <w:sdt>
      <w:sdtPr>
        <w:id w:val="954904828"/>
        <w:docPartObj>
          <w:docPartGallery w:val="Page Numbers (Top of Page)"/>
          <w:docPartUnique/>
        </w:docPartObj>
      </w:sdtPr>
      <w:sdtEndPr>
        <w:rPr>
          <w:noProof/>
        </w:rPr>
      </w:sdtEndPr>
      <w:sdtContent>
        <w:r>
          <w:tab/>
        </w:r>
        <w:r w:rsidR="00311352">
          <w:fldChar w:fldCharType="begin"/>
        </w:r>
        <w:r>
          <w:instrText xml:space="preserve"> PAGE   \* MERGEFORMAT </w:instrText>
        </w:r>
        <w:r w:rsidR="00311352">
          <w:fldChar w:fldCharType="separate"/>
        </w:r>
        <w:r w:rsidR="001C4C00">
          <w:rPr>
            <w:noProof/>
          </w:rPr>
          <w:t>9</w:t>
        </w:r>
        <w:r w:rsidR="00311352">
          <w:rPr>
            <w:noProof/>
          </w:rPr>
          <w:fldChar w:fldCharType="end"/>
        </w:r>
      </w:sdtContent>
    </w:sdt>
  </w:p>
  <w:p w:rsidR="00F20A4A" w:rsidRPr="00F20A4A" w:rsidRDefault="00F20A4A" w:rsidP="00F20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A4A" w:rsidRDefault="00F20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psa5s56d92rnefffjx52ssavssz5ez55s2&quot;&gt;My EndNote Library&lt;record-ids&gt;&lt;item&gt;548&lt;/item&gt;&lt;item&gt;558&lt;/item&gt;&lt;item&gt;628&lt;/item&gt;&lt;/record-ids&gt;&lt;/item&gt;&lt;/Libraries&gt;"/>
  </w:docVars>
  <w:rsids>
    <w:rsidRoot w:val="00F20A4A"/>
    <w:rsid w:val="00065EBB"/>
    <w:rsid w:val="000B5CBA"/>
    <w:rsid w:val="000C4ACC"/>
    <w:rsid w:val="001C4C00"/>
    <w:rsid w:val="002E5E6E"/>
    <w:rsid w:val="00311352"/>
    <w:rsid w:val="0033724F"/>
    <w:rsid w:val="004C5E58"/>
    <w:rsid w:val="004D26F9"/>
    <w:rsid w:val="004F4582"/>
    <w:rsid w:val="005761D2"/>
    <w:rsid w:val="0059460A"/>
    <w:rsid w:val="00646517"/>
    <w:rsid w:val="0073687A"/>
    <w:rsid w:val="007846A3"/>
    <w:rsid w:val="007D3C45"/>
    <w:rsid w:val="00812329"/>
    <w:rsid w:val="009919BC"/>
    <w:rsid w:val="009930E2"/>
    <w:rsid w:val="009A5681"/>
    <w:rsid w:val="009A7278"/>
    <w:rsid w:val="00A10CFB"/>
    <w:rsid w:val="00A52FCE"/>
    <w:rsid w:val="00BA3360"/>
    <w:rsid w:val="00BB4B52"/>
    <w:rsid w:val="00C11197"/>
    <w:rsid w:val="00D62ABA"/>
    <w:rsid w:val="00E07B33"/>
    <w:rsid w:val="00E407A0"/>
    <w:rsid w:val="00E77866"/>
    <w:rsid w:val="00E86FED"/>
    <w:rsid w:val="00F20A4A"/>
    <w:rsid w:val="00F27A77"/>
    <w:rsid w:val="00F767AA"/>
    <w:rsid w:val="00F82653"/>
    <w:rsid w:val="00FA2537"/>
    <w:rsid w:val="00FF0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4FB60-0BC8-4735-8C9A-C66F56C1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A4A"/>
    <w:pPr>
      <w:spacing w:after="0" w:line="480" w:lineRule="auto"/>
      <w:ind w:firstLine="426"/>
      <w:outlineLvl w:val="2"/>
    </w:pPr>
    <w:rPr>
      <w:rFonts w:ascii="Times New Roman" w:eastAsiaTheme="minorEastAsia" w:hAnsi="Times New Roman" w:cs="Times New Roman"/>
      <w:bCs/>
      <w:sz w:val="24"/>
      <w:szCs w:val="24"/>
      <w:lang w:val="en-US"/>
    </w:rPr>
  </w:style>
  <w:style w:type="paragraph" w:styleId="Heading5">
    <w:name w:val="heading 5"/>
    <w:basedOn w:val="Normal"/>
    <w:next w:val="Normal"/>
    <w:link w:val="Heading5Char"/>
    <w:autoRedefine/>
    <w:unhideWhenUsed/>
    <w:qFormat/>
    <w:rsid w:val="009A5681"/>
    <w:pPr>
      <w:keepNext/>
      <w:keepLines/>
      <w:spacing w:before="40"/>
      <w:ind w:firstLine="0"/>
      <w:outlineLvl w:val="4"/>
    </w:pPr>
    <w:rPr>
      <w:rFonts w:asciiTheme="minorHAnsi" w:eastAsiaTheme="majorEastAsia" w:hAnsiTheme="minorHAnsi" w:cstheme="majorBidi"/>
      <w:bCs w:val="0"/>
      <w: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5681"/>
    <w:rPr>
      <w:rFonts w:eastAsiaTheme="majorEastAsia" w:cstheme="majorBidi"/>
      <w:i/>
      <w:sz w:val="24"/>
      <w:szCs w:val="24"/>
    </w:rPr>
  </w:style>
  <w:style w:type="paragraph" w:styleId="Caption">
    <w:name w:val="caption"/>
    <w:basedOn w:val="Normal"/>
    <w:next w:val="Normal"/>
    <w:unhideWhenUsed/>
    <w:qFormat/>
    <w:rsid w:val="00F20A4A"/>
    <w:pPr>
      <w:spacing w:line="240" w:lineRule="auto"/>
      <w:ind w:firstLine="0"/>
    </w:pPr>
  </w:style>
  <w:style w:type="paragraph" w:styleId="Header">
    <w:name w:val="header"/>
    <w:basedOn w:val="Normal"/>
    <w:link w:val="HeaderChar"/>
    <w:uiPriority w:val="99"/>
    <w:unhideWhenUsed/>
    <w:rsid w:val="00F20A4A"/>
    <w:pPr>
      <w:tabs>
        <w:tab w:val="center" w:pos="4680"/>
        <w:tab w:val="right" w:pos="9360"/>
      </w:tabs>
      <w:spacing w:line="240" w:lineRule="auto"/>
    </w:pPr>
  </w:style>
  <w:style w:type="character" w:customStyle="1" w:styleId="HeaderChar">
    <w:name w:val="Header Char"/>
    <w:basedOn w:val="DefaultParagraphFont"/>
    <w:link w:val="Header"/>
    <w:uiPriority w:val="99"/>
    <w:rsid w:val="00F20A4A"/>
    <w:rPr>
      <w:rFonts w:ascii="Times New Roman" w:eastAsiaTheme="minorEastAsia" w:hAnsi="Times New Roman" w:cs="Times New Roman"/>
      <w:bCs/>
      <w:sz w:val="24"/>
      <w:szCs w:val="24"/>
      <w:lang w:val="en-US"/>
    </w:rPr>
  </w:style>
  <w:style w:type="paragraph" w:styleId="Footer">
    <w:name w:val="footer"/>
    <w:basedOn w:val="Normal"/>
    <w:link w:val="FooterChar"/>
    <w:uiPriority w:val="99"/>
    <w:unhideWhenUsed/>
    <w:rsid w:val="00F20A4A"/>
    <w:pPr>
      <w:tabs>
        <w:tab w:val="center" w:pos="4680"/>
        <w:tab w:val="right" w:pos="9360"/>
      </w:tabs>
      <w:spacing w:line="240" w:lineRule="auto"/>
    </w:pPr>
  </w:style>
  <w:style w:type="character" w:customStyle="1" w:styleId="FooterChar">
    <w:name w:val="Footer Char"/>
    <w:basedOn w:val="DefaultParagraphFont"/>
    <w:link w:val="Footer"/>
    <w:uiPriority w:val="99"/>
    <w:rsid w:val="00F20A4A"/>
    <w:rPr>
      <w:rFonts w:ascii="Times New Roman" w:eastAsiaTheme="minorEastAsia" w:hAnsi="Times New Roman" w:cs="Times New Roman"/>
      <w:bCs/>
      <w:sz w:val="24"/>
      <w:szCs w:val="24"/>
      <w:lang w:val="en-US"/>
    </w:rPr>
  </w:style>
  <w:style w:type="paragraph" w:styleId="BalloonText">
    <w:name w:val="Balloon Text"/>
    <w:basedOn w:val="Normal"/>
    <w:link w:val="BalloonTextChar"/>
    <w:uiPriority w:val="99"/>
    <w:semiHidden/>
    <w:unhideWhenUsed/>
    <w:rsid w:val="004F45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2"/>
    <w:rPr>
      <w:rFonts w:ascii="Tahoma" w:eastAsiaTheme="minorEastAsia" w:hAnsi="Tahoma" w:cs="Tahoma"/>
      <w:bCs/>
      <w:sz w:val="16"/>
      <w:szCs w:val="16"/>
      <w:lang w:val="en-US"/>
    </w:rPr>
  </w:style>
  <w:style w:type="paragraph" w:customStyle="1" w:styleId="EndNoteBibliographyTitle">
    <w:name w:val="EndNote Bibliography Title"/>
    <w:basedOn w:val="Normal"/>
    <w:link w:val="EndNoteBibliographyTitleChar"/>
    <w:rsid w:val="00812329"/>
    <w:pPr>
      <w:jc w:val="center"/>
    </w:pPr>
    <w:rPr>
      <w:noProof/>
    </w:rPr>
  </w:style>
  <w:style w:type="character" w:customStyle="1" w:styleId="EndNoteBibliographyTitleChar">
    <w:name w:val="EndNote Bibliography Title Char"/>
    <w:basedOn w:val="DefaultParagraphFont"/>
    <w:link w:val="EndNoteBibliographyTitle"/>
    <w:rsid w:val="00812329"/>
    <w:rPr>
      <w:rFonts w:ascii="Times New Roman" w:eastAsiaTheme="minorEastAsia" w:hAnsi="Times New Roman" w:cs="Times New Roman"/>
      <w:bCs/>
      <w:noProof/>
      <w:sz w:val="24"/>
      <w:szCs w:val="24"/>
      <w:lang w:val="en-US"/>
    </w:rPr>
  </w:style>
  <w:style w:type="paragraph" w:customStyle="1" w:styleId="EndNoteBibliography">
    <w:name w:val="EndNote Bibliography"/>
    <w:basedOn w:val="Normal"/>
    <w:link w:val="EndNoteBibliographyChar"/>
    <w:rsid w:val="00812329"/>
    <w:pPr>
      <w:spacing w:line="240" w:lineRule="auto"/>
    </w:pPr>
    <w:rPr>
      <w:noProof/>
    </w:rPr>
  </w:style>
  <w:style w:type="character" w:customStyle="1" w:styleId="EndNoteBibliographyChar">
    <w:name w:val="EndNote Bibliography Char"/>
    <w:basedOn w:val="DefaultParagraphFont"/>
    <w:link w:val="EndNoteBibliography"/>
    <w:rsid w:val="00812329"/>
    <w:rPr>
      <w:rFonts w:ascii="Times New Roman" w:eastAsiaTheme="minorEastAsia" w:hAnsi="Times New Roman" w:cs="Times New Roman"/>
      <w:bCs/>
      <w:noProof/>
      <w:sz w:val="24"/>
      <w:szCs w:val="24"/>
      <w:lang w:val="en-US"/>
    </w:rPr>
  </w:style>
  <w:style w:type="character" w:styleId="CommentReference">
    <w:name w:val="annotation reference"/>
    <w:basedOn w:val="DefaultParagraphFont"/>
    <w:uiPriority w:val="99"/>
    <w:semiHidden/>
    <w:unhideWhenUsed/>
    <w:rsid w:val="009930E2"/>
    <w:rPr>
      <w:sz w:val="16"/>
      <w:szCs w:val="16"/>
    </w:rPr>
  </w:style>
  <w:style w:type="paragraph" w:styleId="CommentText">
    <w:name w:val="annotation text"/>
    <w:basedOn w:val="Normal"/>
    <w:link w:val="CommentTextChar"/>
    <w:uiPriority w:val="99"/>
    <w:semiHidden/>
    <w:unhideWhenUsed/>
    <w:rsid w:val="009930E2"/>
    <w:pPr>
      <w:spacing w:line="240" w:lineRule="auto"/>
    </w:pPr>
    <w:rPr>
      <w:sz w:val="20"/>
      <w:szCs w:val="20"/>
    </w:rPr>
  </w:style>
  <w:style w:type="character" w:customStyle="1" w:styleId="CommentTextChar">
    <w:name w:val="Comment Text Char"/>
    <w:basedOn w:val="DefaultParagraphFont"/>
    <w:link w:val="CommentText"/>
    <w:uiPriority w:val="99"/>
    <w:semiHidden/>
    <w:rsid w:val="009930E2"/>
    <w:rPr>
      <w:rFonts w:ascii="Times New Roman" w:eastAsiaTheme="minorEastAsia" w:hAnsi="Times New Roman" w:cs="Times New Roman"/>
      <w:bCs/>
      <w:sz w:val="20"/>
      <w:szCs w:val="20"/>
      <w:lang w:val="en-US"/>
    </w:rPr>
  </w:style>
  <w:style w:type="paragraph" w:styleId="CommentSubject">
    <w:name w:val="annotation subject"/>
    <w:basedOn w:val="CommentText"/>
    <w:next w:val="CommentText"/>
    <w:link w:val="CommentSubjectChar"/>
    <w:uiPriority w:val="99"/>
    <w:semiHidden/>
    <w:unhideWhenUsed/>
    <w:rsid w:val="009930E2"/>
    <w:rPr>
      <w:b/>
    </w:rPr>
  </w:style>
  <w:style w:type="character" w:customStyle="1" w:styleId="CommentSubjectChar">
    <w:name w:val="Comment Subject Char"/>
    <w:basedOn w:val="CommentTextChar"/>
    <w:link w:val="CommentSubject"/>
    <w:uiPriority w:val="99"/>
    <w:semiHidden/>
    <w:rsid w:val="009930E2"/>
    <w:rPr>
      <w:rFonts w:ascii="Times New Roman" w:eastAsiaTheme="minorEastAsia"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1.emf"/><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emf"/><Relationship Id="rId10" Type="http://schemas.openxmlformats.org/officeDocument/2006/relationships/header" Target="header3.xm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Sherilyn Thibeau</dc:creator>
  <cp:lastModifiedBy>Sherilyn Thibeau</cp:lastModifiedBy>
  <cp:revision>2</cp:revision>
  <dcterms:created xsi:type="dcterms:W3CDTF">2019-04-15T03:02:00Z</dcterms:created>
  <dcterms:modified xsi:type="dcterms:W3CDTF">2019-04-15T03:02:00Z</dcterms:modified>
</cp:coreProperties>
</file>