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11"/>
        <w:tblpPr w:leftFromText="141" w:rightFromText="141" w:vertAnchor="page" w:horzAnchor="margin" w:tblpXSpec="center" w:tblpY="1576"/>
        <w:tblW w:w="13326" w:type="dxa"/>
        <w:tblLayout w:type="fixed"/>
        <w:tblLook w:val="04A0" w:firstRow="1" w:lastRow="0" w:firstColumn="1" w:lastColumn="0" w:noHBand="0" w:noVBand="1"/>
      </w:tblPr>
      <w:tblGrid>
        <w:gridCol w:w="1668"/>
        <w:gridCol w:w="885"/>
        <w:gridCol w:w="1275"/>
        <w:gridCol w:w="1701"/>
        <w:gridCol w:w="1418"/>
        <w:gridCol w:w="2800"/>
        <w:gridCol w:w="1593"/>
        <w:gridCol w:w="959"/>
        <w:gridCol w:w="1027"/>
      </w:tblGrid>
      <w:tr w:rsidR="0069208B" w:rsidRPr="0069208B" w:rsidTr="008A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C9E49" wp14:editId="67012A23">
                      <wp:simplePos x="0" y="0"/>
                      <wp:positionH relativeFrom="column">
                        <wp:posOffset>-156679</wp:posOffset>
                      </wp:positionH>
                      <wp:positionV relativeFrom="paragraph">
                        <wp:posOffset>-591406</wp:posOffset>
                      </wp:positionV>
                      <wp:extent cx="10037135" cy="270344"/>
                      <wp:effectExtent l="0" t="0" r="2540" b="0"/>
                      <wp:wrapNone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7135" cy="270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08B" w:rsidRDefault="00F418CD" w:rsidP="006920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Additional file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81574E">
                                    <w:rPr>
                                      <w:b/>
                                      <w:lang w:val="en-GB"/>
                                    </w:rPr>
                                    <w:t>file 5</w:t>
                                  </w:r>
                                  <w:r w:rsidR="008A562C" w:rsidRPr="00210DB1">
                                    <w:rPr>
                                      <w:b/>
                                      <w:lang w:val="en-GB"/>
                                    </w:rPr>
                                    <w:t>:</w:t>
                                  </w:r>
                                  <w:r w:rsidR="008A562C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69208B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 xml:space="preserve">Detailed </w:t>
                                  </w:r>
                                  <w:proofErr w:type="spellStart"/>
                                  <w:r w:rsidR="0069208B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descriptives</w:t>
                                  </w:r>
                                  <w:proofErr w:type="spellEnd"/>
                                  <w:r w:rsidR="0069208B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 xml:space="preserve"> of included studies (N=48)</w:t>
                                  </w:r>
                                </w:p>
                                <w:bookmarkEnd w:id="0"/>
                                <w:p w:rsidR="008A562C" w:rsidRPr="00210DB1" w:rsidRDefault="008A562C" w:rsidP="008A562C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2.35pt;margin-top:-46.55pt;width:790.3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" stroked="f">
                      <v:textbox>
                        <w:txbxContent>
                          <w:p w:rsidR="0069208B" w:rsidRDefault="00F418CD" w:rsidP="0069208B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Additional file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81574E">
                              <w:rPr>
                                <w:b/>
                                <w:lang w:val="en-GB"/>
                              </w:rPr>
                              <w:t>file 5</w:t>
                            </w:r>
                            <w:r w:rsidR="008A562C" w:rsidRPr="00210DB1">
                              <w:rPr>
                                <w:b/>
                                <w:lang w:val="en-GB"/>
                              </w:rPr>
                              <w:t>:</w:t>
                            </w:r>
                            <w:r w:rsidR="008A562C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69208B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Detailed </w:t>
                            </w:r>
                            <w:proofErr w:type="spellStart"/>
                            <w:r w:rsidR="0069208B">
                              <w:rPr>
                                <w:rFonts w:cstheme="minorHAnsi"/>
                                <w:b/>
                                <w:lang w:val="en-GB"/>
                              </w:rPr>
                              <w:t>descriptives</w:t>
                            </w:r>
                            <w:proofErr w:type="spellEnd"/>
                            <w:r w:rsidR="0069208B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 of included studies (N=48)</w:t>
                            </w:r>
                          </w:p>
                          <w:bookmarkEnd w:id="1"/>
                          <w:p w:rsidR="008A562C" w:rsidRPr="00210DB1" w:rsidRDefault="008A562C" w:rsidP="008A562C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Author</w:t>
            </w:r>
          </w:p>
        </w:tc>
        <w:tc>
          <w:tcPr>
            <w:tcW w:w="88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Year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   Country</w:t>
            </w:r>
          </w:p>
          <w:p w:rsidR="008A562C" w:rsidRPr="0069208B" w:rsidRDefault="008A562C" w:rsidP="008A562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vertAlign w:val="superscript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Study design</w:t>
            </w:r>
          </w:p>
        </w:tc>
        <w:tc>
          <w:tcPr>
            <w:tcW w:w="141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Setting</w:t>
            </w:r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Disease group/department of index admission</w:t>
            </w:r>
          </w:p>
        </w:tc>
        <w:tc>
          <w:tcPr>
            <w:tcW w:w="1593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Duration between index- and readmission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vertAlign w:val="superscript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Age (mean)</w:t>
            </w: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1027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vertAlign w:val="superscript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Male (%)</w:t>
            </w: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vertAlign w:val="superscript"/>
                <w:lang w:val="en-GB"/>
              </w:rPr>
              <w:t>2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Agrawal</w:t>
            </w:r>
          </w:p>
        </w:tc>
        <w:tc>
          <w:tcPr>
            <w:tcW w:w="88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2015</w:t>
            </w:r>
          </w:p>
        </w:tc>
        <w:tc>
          <w:tcPr>
            <w:tcW w:w="127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  <w:hideMark/>
          </w:tcPr>
          <w:p w:rsidR="008A562C" w:rsidRPr="0069208B" w:rsidRDefault="006C1BF1" w:rsidP="008A562C">
            <w:pPr>
              <w:tabs>
                <w:tab w:val="center" w:pos="601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="008A562C"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Decompensated cirrhosis</w:t>
            </w:r>
          </w:p>
        </w:tc>
        <w:tc>
          <w:tcPr>
            <w:tcW w:w="1593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lang w:val="en-GB"/>
              </w:rPr>
              <w:t>59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lang w:val="en-GB"/>
              </w:rPr>
              <w:t>100</w:t>
            </w:r>
          </w:p>
        </w:tc>
      </w:tr>
      <w:tr w:rsidR="0069208B" w:rsidRPr="0069208B" w:rsidTr="008A5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Auerbach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General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Balla</w:t>
            </w:r>
            <w:proofErr w:type="spellEnd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2008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Israel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70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56</w:t>
            </w:r>
          </w:p>
        </w:tc>
      </w:tr>
      <w:tr w:rsidR="0069208B" w:rsidRPr="0069208B" w:rsidTr="008A5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Bianco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Italy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Medical or surgical illness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64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54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Burke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Internal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7 and 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56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65</w:t>
            </w:r>
          </w:p>
        </w:tc>
      </w:tr>
      <w:tr w:rsidR="0069208B" w:rsidRPr="0069208B" w:rsidTr="008A5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Cakir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2010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Not specified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58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47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Clarke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1990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General medicine/</w:t>
            </w:r>
          </w:p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surgery, geriatrics 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7 and 28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Dawes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General surgery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51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Epstein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GI medical oncology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7 and 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63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57</w:t>
            </w:r>
          </w:p>
        </w:tc>
      </w:tr>
      <w:tr w:rsidR="0069208B" w:rsidRPr="0069208B" w:rsidTr="008A562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Feigenbaum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Not specified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71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45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Fluitman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Netherlands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Internal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71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38</w:t>
            </w:r>
          </w:p>
        </w:tc>
      </w:tr>
      <w:tr w:rsidR="0069208B" w:rsidRPr="0069208B" w:rsidTr="008A562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lastRenderedPageBreak/>
              <w:t>Frankl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1991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Internal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53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51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Gautam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1996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Scotland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Geriatrics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28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81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42</w:t>
            </w:r>
          </w:p>
        </w:tc>
      </w:tr>
      <w:tr w:rsidR="0069208B" w:rsidRPr="0069208B" w:rsidTr="008A562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Glass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2013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Patients undergoing pancreatectomy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Greenberg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ArialNarrow" w:hAnsi="Calibri" w:cs="ArialNarrow"/>
                <w:color w:val="auto"/>
                <w:sz w:val="21"/>
                <w:szCs w:val="21"/>
                <w:lang w:val="en-GB"/>
              </w:rPr>
              <w:t>Patient with a aneurysmal subarachnoid haemorrhage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56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24</w:t>
            </w:r>
          </w:p>
        </w:tc>
      </w:tr>
      <w:tr w:rsidR="0069208B" w:rsidRPr="0069208B" w:rsidTr="008A562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Hain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Paediatrics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15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58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Halfon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2002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Switzerland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All departments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and 1 year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53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57</w:t>
            </w:r>
          </w:p>
        </w:tc>
      </w:tr>
      <w:tr w:rsidR="0069208B" w:rsidRPr="0069208B" w:rsidTr="008A562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Haray</w:t>
            </w:r>
            <w:proofErr w:type="spellEnd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2013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Kidney transplantation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51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61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Jiminez</w:t>
            </w:r>
            <w:proofErr w:type="spellEnd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-Puente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2004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Spain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All departments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1, 3 and 6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mo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54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58</w:t>
            </w:r>
          </w:p>
        </w:tc>
      </w:tr>
      <w:tr w:rsidR="0069208B" w:rsidRPr="0069208B" w:rsidTr="008A562C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Jonas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Paediatrics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15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&lt;18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Kelly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Learning disability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56</w:t>
            </w:r>
          </w:p>
        </w:tc>
      </w:tr>
      <w:tr w:rsidR="0069208B" w:rsidRPr="0069208B" w:rsidTr="008A562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Koekkoek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2011</w:t>
            </w:r>
          </w:p>
        </w:tc>
        <w:tc>
          <w:tcPr>
            <w:tcW w:w="127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All departments</w:t>
            </w:r>
          </w:p>
        </w:tc>
        <w:tc>
          <w:tcPr>
            <w:tcW w:w="1593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21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75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Maurer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2004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Switzerland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Internal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and 90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53</w:t>
            </w:r>
          </w:p>
        </w:tc>
      </w:tr>
      <w:tr w:rsidR="0069208B" w:rsidRPr="0069208B" w:rsidTr="008A562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Meisenberg</w:t>
            </w:r>
            <w:proofErr w:type="spellEnd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Oncology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Miles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1999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All departments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28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44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lastRenderedPageBreak/>
              <w:t>Mittal</w:t>
            </w:r>
          </w:p>
        </w:tc>
        <w:tc>
          <w:tcPr>
            <w:tcW w:w="88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Acute ischemic stroke</w:t>
            </w:r>
          </w:p>
        </w:tc>
        <w:tc>
          <w:tcPr>
            <w:tcW w:w="1593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77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29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Nahab</w:t>
            </w:r>
            <w:proofErr w:type="spellEnd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Stroke and CVA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62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46</w:t>
            </w:r>
          </w:p>
        </w:tc>
      </w:tr>
      <w:tr w:rsidR="0069208B" w:rsidRPr="0069208B" w:rsidTr="008A562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Nijhawan</w:t>
            </w:r>
            <w:proofErr w:type="spellEnd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HIV patients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43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66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Njeim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Internal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Oddone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1996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General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6 months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66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99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Pace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Canada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Medical wards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57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54</w:t>
            </w:r>
          </w:p>
        </w:tc>
      </w:tr>
      <w:tr w:rsidR="0069208B" w:rsidRPr="0069208B" w:rsidTr="008A562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Ryan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Heart failure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81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35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Saunders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Oncology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69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45</w:t>
            </w:r>
          </w:p>
        </w:tc>
      </w:tr>
      <w:tr w:rsidR="0069208B" w:rsidRPr="0069208B" w:rsidTr="008A562C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Shah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2013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Neurosurgery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53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Shalchi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2009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Acute medical unit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14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75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57</w:t>
            </w:r>
          </w:p>
        </w:tc>
      </w:tr>
      <w:tr w:rsidR="0069208B" w:rsidRPr="0069208B" w:rsidTr="008A562C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Shimizu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Internal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53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59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Stein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Internal medicine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53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50</w:t>
            </w:r>
          </w:p>
        </w:tc>
      </w:tr>
      <w:tr w:rsidR="0069208B" w:rsidRPr="0069208B" w:rsidTr="008A562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Sutherland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Colorectal Surgery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54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NR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Tejedor-Sojo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Paediatrics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&lt;18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57</w:t>
            </w:r>
          </w:p>
        </w:tc>
      </w:tr>
      <w:tr w:rsidR="0069208B" w:rsidRPr="0069208B" w:rsidTr="008A562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Toomey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Paediatrics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&lt;18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54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Vachon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Trauma patients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NR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47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67</w:t>
            </w:r>
          </w:p>
        </w:tc>
      </w:tr>
      <w:tr w:rsidR="0069208B" w:rsidRPr="0069208B" w:rsidTr="008A562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lastRenderedPageBreak/>
              <w:t xml:space="preserve">Van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Walraven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2011</w:t>
            </w:r>
          </w:p>
        </w:tc>
        <w:tc>
          <w:tcPr>
            <w:tcW w:w="127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Canada</w:t>
            </w:r>
          </w:p>
        </w:tc>
        <w:tc>
          <w:tcPr>
            <w:tcW w:w="1701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Medicine and surgery</w:t>
            </w:r>
          </w:p>
        </w:tc>
        <w:tc>
          <w:tcPr>
            <w:tcW w:w="1593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6 months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47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Vinson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1990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Congestive heart failure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90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80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45</w:t>
            </w:r>
          </w:p>
        </w:tc>
      </w:tr>
      <w:tr w:rsidR="0069208B" w:rsidRPr="0069208B" w:rsidTr="008A562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Wallace 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Paediatrics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&lt;18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59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Wasfy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PCI  patients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67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64</w:t>
            </w:r>
          </w:p>
        </w:tc>
      </w:tr>
      <w:tr w:rsidR="0069208B" w:rsidRPr="0069208B" w:rsidTr="008A562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Weinberg</w:t>
            </w:r>
          </w:p>
        </w:tc>
        <w:tc>
          <w:tcPr>
            <w:tcW w:w="88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Total hip arthroplasty</w:t>
            </w:r>
          </w:p>
        </w:tc>
        <w:tc>
          <w:tcPr>
            <w:tcW w:w="1593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and 90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64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32</w:t>
            </w:r>
          </w:p>
        </w:tc>
      </w:tr>
      <w:tr w:rsidR="0069208B" w:rsidRPr="0069208B" w:rsidTr="008A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Williams</w:t>
            </w:r>
          </w:p>
        </w:tc>
        <w:tc>
          <w:tcPr>
            <w:tcW w:w="88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1988</w:t>
            </w:r>
          </w:p>
        </w:tc>
        <w:tc>
          <w:tcPr>
            <w:tcW w:w="127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UK</w:t>
            </w:r>
          </w:p>
        </w:tc>
        <w:tc>
          <w:tcPr>
            <w:tcW w:w="1701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Cross-sectional</w:t>
            </w:r>
          </w:p>
        </w:tc>
        <w:tc>
          <w:tcPr>
            <w:tcW w:w="141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 xml:space="preserve">single </w:t>
            </w: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Geriatrics/ all departments</w:t>
            </w:r>
          </w:p>
        </w:tc>
        <w:tc>
          <w:tcPr>
            <w:tcW w:w="1593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28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&gt;65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36</w:t>
            </w:r>
          </w:p>
        </w:tc>
      </w:tr>
      <w:tr w:rsidR="0069208B" w:rsidRPr="0069208B" w:rsidTr="008A56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Yam</w:t>
            </w:r>
          </w:p>
        </w:tc>
        <w:tc>
          <w:tcPr>
            <w:tcW w:w="88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2010</w:t>
            </w:r>
          </w:p>
        </w:tc>
        <w:tc>
          <w:tcPr>
            <w:tcW w:w="1275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China</w:t>
            </w:r>
          </w:p>
        </w:tc>
        <w:tc>
          <w:tcPr>
            <w:tcW w:w="1701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Retrospective</w:t>
            </w:r>
          </w:p>
        </w:tc>
        <w:tc>
          <w:tcPr>
            <w:tcW w:w="1418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proofErr w:type="spellStart"/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multicenter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Medicine</w:t>
            </w:r>
          </w:p>
        </w:tc>
        <w:tc>
          <w:tcPr>
            <w:tcW w:w="1593" w:type="dxa"/>
            <w:shd w:val="clear" w:color="auto" w:fill="auto"/>
            <w:hideMark/>
          </w:tcPr>
          <w:p w:rsidR="008A562C" w:rsidRPr="0069208B" w:rsidRDefault="008A562C" w:rsidP="008A56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</w:pPr>
            <w:r w:rsidRPr="0069208B">
              <w:rPr>
                <w:rFonts w:ascii="Calibri" w:eastAsia="Calibri" w:hAnsi="Calibri" w:cs="Times New Roman"/>
                <w:color w:val="auto"/>
                <w:sz w:val="21"/>
                <w:szCs w:val="21"/>
                <w:lang w:val="en-GB"/>
              </w:rPr>
              <w:t>30 days</w:t>
            </w:r>
          </w:p>
        </w:tc>
        <w:tc>
          <w:tcPr>
            <w:tcW w:w="959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75</w:t>
            </w:r>
          </w:p>
        </w:tc>
        <w:tc>
          <w:tcPr>
            <w:tcW w:w="1027" w:type="dxa"/>
            <w:shd w:val="clear" w:color="auto" w:fill="auto"/>
          </w:tcPr>
          <w:p w:rsidR="008A562C" w:rsidRPr="0069208B" w:rsidRDefault="008A562C" w:rsidP="008A56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69208B">
              <w:rPr>
                <w:rFonts w:ascii="Calibri" w:eastAsia="Calibri" w:hAnsi="Calibri" w:cs="Times New Roman"/>
                <w:color w:val="auto"/>
              </w:rPr>
              <w:t>53</w:t>
            </w:r>
          </w:p>
        </w:tc>
      </w:tr>
    </w:tbl>
    <w:p w:rsidR="008A562C" w:rsidRPr="00C136B4" w:rsidRDefault="008A562C" w:rsidP="008A562C">
      <w:pPr>
        <w:spacing w:line="240" w:lineRule="auto"/>
        <w:rPr>
          <w:rFonts w:ascii="Calibri" w:eastAsia="Calibri" w:hAnsi="Calibri"/>
          <w:i/>
          <w:sz w:val="20"/>
          <w:lang w:val="en-US"/>
        </w:rPr>
      </w:pPr>
      <w:r w:rsidRPr="00C136B4">
        <w:rPr>
          <w:rFonts w:ascii="Calibri" w:eastAsia="Calibri" w:hAnsi="Calibri"/>
          <w:i/>
          <w:sz w:val="20"/>
          <w:vertAlign w:val="superscript"/>
          <w:lang w:val="en-GB"/>
        </w:rPr>
        <w:t>1</w:t>
      </w:r>
      <w:r w:rsidRPr="00C136B4">
        <w:rPr>
          <w:rFonts w:ascii="Calibri" w:eastAsia="Calibri" w:hAnsi="Calibri"/>
          <w:i/>
          <w:sz w:val="20"/>
          <w:lang w:val="en-US"/>
        </w:rPr>
        <w:t xml:space="preserve"> If provided for categories only, the average was calculated</w:t>
      </w:r>
    </w:p>
    <w:p w:rsidR="008A562C" w:rsidRDefault="008A562C" w:rsidP="008A562C">
      <w:pPr>
        <w:spacing w:line="240" w:lineRule="auto"/>
        <w:rPr>
          <w:rFonts w:ascii="Calibri" w:eastAsia="Calibri" w:hAnsi="Calibri"/>
          <w:i/>
          <w:sz w:val="20"/>
          <w:lang w:val="en-US"/>
        </w:rPr>
      </w:pPr>
      <w:r w:rsidRPr="00C136B4">
        <w:rPr>
          <w:rFonts w:ascii="Calibri" w:eastAsia="Calibri" w:hAnsi="Calibri"/>
          <w:i/>
          <w:sz w:val="20"/>
          <w:vertAlign w:val="superscript"/>
          <w:lang w:val="en-US"/>
        </w:rPr>
        <w:t>2</w:t>
      </w:r>
      <w:r w:rsidRPr="00C136B4">
        <w:rPr>
          <w:rFonts w:ascii="Calibri" w:eastAsia="Calibri" w:hAnsi="Calibri"/>
          <w:i/>
          <w:sz w:val="20"/>
          <w:lang w:val="en-US"/>
        </w:rPr>
        <w:t>NR=not reported</w:t>
      </w:r>
    </w:p>
    <w:p w:rsidR="008A562C" w:rsidRPr="00C136B4" w:rsidRDefault="008A562C" w:rsidP="008A562C">
      <w:pPr>
        <w:spacing w:line="240" w:lineRule="auto"/>
        <w:rPr>
          <w:rFonts w:ascii="Calibri" w:eastAsia="Calibri" w:hAnsi="Calibri"/>
          <w:i/>
          <w:sz w:val="20"/>
          <w:lang w:val="en-US"/>
        </w:rPr>
      </w:pPr>
      <w:r>
        <w:rPr>
          <w:rFonts w:ascii="Calibri" w:eastAsia="Calibri" w:hAnsi="Calibri"/>
          <w:i/>
          <w:sz w:val="20"/>
          <w:lang w:val="en-US"/>
        </w:rPr>
        <w:t>CVA= cerebrovascular event; PCI= percutaneous coronary intervention</w:t>
      </w:r>
    </w:p>
    <w:p w:rsidR="00D20D78" w:rsidRPr="008A562C" w:rsidRDefault="00D20D78" w:rsidP="004E2F45">
      <w:pPr>
        <w:rPr>
          <w:lang w:val="en-US"/>
        </w:rPr>
      </w:pPr>
    </w:p>
    <w:sectPr w:rsidR="00D20D78" w:rsidRPr="008A562C" w:rsidSect="008A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88" w:right="2268" w:bottom="1673" w:left="1077" w:header="121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39" w:rsidRDefault="00C51E39" w:rsidP="007A27DC">
      <w:pPr>
        <w:spacing w:line="240" w:lineRule="auto"/>
      </w:pPr>
      <w:r>
        <w:separator/>
      </w:r>
    </w:p>
  </w:endnote>
  <w:endnote w:type="continuationSeparator" w:id="0">
    <w:p w:rsidR="00C51E39" w:rsidRDefault="00C51E39" w:rsidP="007A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5" w:rsidRDefault="00D95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5" w:rsidRDefault="00D95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5" w:rsidRDefault="00D95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39" w:rsidRDefault="00C51E39" w:rsidP="007A27DC">
      <w:pPr>
        <w:spacing w:line="240" w:lineRule="auto"/>
      </w:pPr>
      <w:r>
        <w:separator/>
      </w:r>
    </w:p>
  </w:footnote>
  <w:footnote w:type="continuationSeparator" w:id="0">
    <w:p w:rsidR="00C51E39" w:rsidRDefault="00C51E39" w:rsidP="007A2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5" w:rsidRDefault="00D95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5" w:rsidRDefault="00D95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A5" w:rsidRDefault="00D95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93FAD"/>
    <w:multiLevelType w:val="multilevel"/>
    <w:tmpl w:val="D9284C00"/>
    <w:lvl w:ilvl="0">
      <w:start w:val="1"/>
      <w:numFmt w:val="decimal"/>
      <w:lvlRestart w:val="0"/>
      <w:pStyle w:val="Heading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6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8A562C"/>
    <w:rsid w:val="00003CD6"/>
    <w:rsid w:val="00015DE9"/>
    <w:rsid w:val="000B027E"/>
    <w:rsid w:val="000D6E43"/>
    <w:rsid w:val="001B7E99"/>
    <w:rsid w:val="001C08C7"/>
    <w:rsid w:val="002B3FDC"/>
    <w:rsid w:val="002F4E34"/>
    <w:rsid w:val="00312E69"/>
    <w:rsid w:val="00366332"/>
    <w:rsid w:val="0046346C"/>
    <w:rsid w:val="0046726C"/>
    <w:rsid w:val="004E2F45"/>
    <w:rsid w:val="005022A3"/>
    <w:rsid w:val="0051267D"/>
    <w:rsid w:val="005838C0"/>
    <w:rsid w:val="005A4D44"/>
    <w:rsid w:val="00601624"/>
    <w:rsid w:val="006177C9"/>
    <w:rsid w:val="00625100"/>
    <w:rsid w:val="006330F2"/>
    <w:rsid w:val="0069208B"/>
    <w:rsid w:val="006923F2"/>
    <w:rsid w:val="006A3016"/>
    <w:rsid w:val="006C1BF1"/>
    <w:rsid w:val="006F6D9E"/>
    <w:rsid w:val="0073025E"/>
    <w:rsid w:val="00751CDC"/>
    <w:rsid w:val="007708A2"/>
    <w:rsid w:val="007947D0"/>
    <w:rsid w:val="007A27DC"/>
    <w:rsid w:val="007F2030"/>
    <w:rsid w:val="0081574E"/>
    <w:rsid w:val="008912D5"/>
    <w:rsid w:val="008A562C"/>
    <w:rsid w:val="008D61A4"/>
    <w:rsid w:val="00983038"/>
    <w:rsid w:val="009832A3"/>
    <w:rsid w:val="00A169A9"/>
    <w:rsid w:val="00A934C3"/>
    <w:rsid w:val="00AC5448"/>
    <w:rsid w:val="00B34F04"/>
    <w:rsid w:val="00B404FC"/>
    <w:rsid w:val="00BE1E9B"/>
    <w:rsid w:val="00BF4F41"/>
    <w:rsid w:val="00C15BD7"/>
    <w:rsid w:val="00C51E39"/>
    <w:rsid w:val="00C7290E"/>
    <w:rsid w:val="00C737A0"/>
    <w:rsid w:val="00CD29FF"/>
    <w:rsid w:val="00D20D78"/>
    <w:rsid w:val="00D57B2B"/>
    <w:rsid w:val="00D66D80"/>
    <w:rsid w:val="00D91B87"/>
    <w:rsid w:val="00D954A5"/>
    <w:rsid w:val="00EA59B0"/>
    <w:rsid w:val="00EB03B5"/>
    <w:rsid w:val="00F418CD"/>
    <w:rsid w:val="00F552A4"/>
    <w:rsid w:val="00F61805"/>
    <w:rsid w:val="00FB223C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BF1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6C1BF1"/>
    <w:pPr>
      <w:numPr>
        <w:numId w:val="1"/>
      </w:numPr>
      <w:spacing w:line="300" w:lineRule="atLeas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C1BF1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C1BF1"/>
    <w:pPr>
      <w:numPr>
        <w:ilvl w:val="2"/>
        <w:numId w:val="1"/>
      </w:numPr>
      <w:tabs>
        <w:tab w:val="clear" w:pos="1109"/>
        <w:tab w:val="left" w:pos="1111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C1BF1"/>
    <w:pPr>
      <w:numPr>
        <w:ilvl w:val="3"/>
        <w:numId w:val="1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6C1BF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6C1BF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C1BF1"/>
    <w:pPr>
      <w:outlineLvl w:val="6"/>
    </w:pPr>
  </w:style>
  <w:style w:type="paragraph" w:styleId="Heading8">
    <w:name w:val="heading 8"/>
    <w:basedOn w:val="Normal"/>
    <w:next w:val="Normal"/>
    <w:qFormat/>
    <w:rsid w:val="006C1BF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C1BF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ankruisvak-leeg">
    <w:name w:val="R_Aankruisvak-leeg"/>
    <w:basedOn w:val="Normal"/>
    <w:rsid w:val="006C1BF1"/>
    <w:pPr>
      <w:numPr>
        <w:numId w:val="5"/>
      </w:numPr>
    </w:pPr>
  </w:style>
  <w:style w:type="paragraph" w:customStyle="1" w:styleId="RAankruisvak-vinkje">
    <w:name w:val="R_Aankruisvak-vinkje"/>
    <w:basedOn w:val="Normal"/>
    <w:rsid w:val="006C1BF1"/>
    <w:pPr>
      <w:numPr>
        <w:numId w:val="6"/>
      </w:numPr>
    </w:pPr>
  </w:style>
  <w:style w:type="paragraph" w:customStyle="1" w:styleId="RAfzend-invulling">
    <w:name w:val="R_Afzend-invulling"/>
    <w:basedOn w:val="Normal"/>
    <w:next w:val="Normal"/>
    <w:rsid w:val="006C1BF1"/>
    <w:pPr>
      <w:spacing w:line="180" w:lineRule="atLeast"/>
    </w:pPr>
    <w:rPr>
      <w:sz w:val="13"/>
    </w:rPr>
  </w:style>
  <w:style w:type="paragraph" w:customStyle="1" w:styleId="RAfzend-kopje">
    <w:name w:val="R_Afzend-kopje"/>
    <w:basedOn w:val="Normal"/>
    <w:next w:val="Normal"/>
    <w:link w:val="RAfzend-kopjeChar"/>
    <w:rsid w:val="006C1BF1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DefaultParagraphFont"/>
    <w:link w:val="RAfzend-kopje"/>
    <w:rsid w:val="006C1BF1"/>
    <w:rPr>
      <w:rFonts w:ascii="Verdana" w:hAnsi="Verdana"/>
      <w:b/>
      <w:sz w:val="13"/>
    </w:rPr>
  </w:style>
  <w:style w:type="paragraph" w:customStyle="1" w:styleId="RAfzend-voorwaarden">
    <w:name w:val="R_Afzend-voorwaarden"/>
    <w:basedOn w:val="Normal"/>
    <w:next w:val="Normal"/>
    <w:rsid w:val="006C1BF1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Normal"/>
    <w:next w:val="Normal"/>
    <w:rsid w:val="006C1BF1"/>
    <w:pPr>
      <w:spacing w:line="270" w:lineRule="exact"/>
    </w:pPr>
  </w:style>
  <w:style w:type="paragraph" w:customStyle="1" w:styleId="RAfzend-witregel-klein">
    <w:name w:val="R_Afzend-witregel-klein"/>
    <w:basedOn w:val="Normal"/>
    <w:next w:val="Normal"/>
    <w:rsid w:val="006C1BF1"/>
    <w:pPr>
      <w:spacing w:line="90" w:lineRule="exact"/>
    </w:pPr>
    <w:rPr>
      <w:sz w:val="6"/>
    </w:rPr>
  </w:style>
  <w:style w:type="paragraph" w:customStyle="1" w:styleId="RAlineakop">
    <w:name w:val="R_Alineakop"/>
    <w:basedOn w:val="Normal"/>
    <w:next w:val="Normal"/>
    <w:rsid w:val="006C1BF1"/>
    <w:pPr>
      <w:keepNext/>
    </w:pPr>
    <w:rPr>
      <w:b/>
    </w:rPr>
  </w:style>
  <w:style w:type="paragraph" w:customStyle="1" w:styleId="RBestelcode">
    <w:name w:val="R_Bestelcode"/>
    <w:basedOn w:val="Normal"/>
    <w:next w:val="Normal"/>
    <w:rsid w:val="006C1BF1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Normal"/>
    <w:next w:val="Normal"/>
    <w:rsid w:val="006C1BF1"/>
    <w:pPr>
      <w:spacing w:line="300" w:lineRule="atLeast"/>
    </w:pPr>
    <w:rPr>
      <w:sz w:val="24"/>
    </w:rPr>
  </w:style>
  <w:style w:type="paragraph" w:customStyle="1" w:styleId="RLijn-onder">
    <w:name w:val="R_Lijn-onder"/>
    <w:basedOn w:val="Normal"/>
    <w:rsid w:val="006C1BF1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Normal"/>
    <w:rsid w:val="006C1BF1"/>
    <w:pPr>
      <w:numPr>
        <w:numId w:val="7"/>
      </w:numPr>
    </w:pPr>
  </w:style>
  <w:style w:type="paragraph" w:customStyle="1" w:styleId="ROpsomming-bolletjes-klein">
    <w:name w:val="R_Opsomming-bolletjes-klein"/>
    <w:basedOn w:val="Normal"/>
    <w:rsid w:val="006C1BF1"/>
    <w:pPr>
      <w:numPr>
        <w:numId w:val="8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Normal"/>
    <w:rsid w:val="006C1BF1"/>
    <w:pPr>
      <w:numPr>
        <w:numId w:val="9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Normal"/>
    <w:rsid w:val="006C1BF1"/>
    <w:pPr>
      <w:numPr>
        <w:numId w:val="10"/>
      </w:numPr>
    </w:pPr>
  </w:style>
  <w:style w:type="paragraph" w:customStyle="1" w:styleId="ROpsomming-genummerd">
    <w:name w:val="R_Opsomming-genummerd"/>
    <w:basedOn w:val="Normal"/>
    <w:rsid w:val="006C1BF1"/>
    <w:pPr>
      <w:numPr>
        <w:numId w:val="11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Normal"/>
    <w:rsid w:val="006C1BF1"/>
    <w:pPr>
      <w:numPr>
        <w:numId w:val="12"/>
      </w:numPr>
    </w:pPr>
  </w:style>
  <w:style w:type="paragraph" w:customStyle="1" w:styleId="RPaginanummer">
    <w:name w:val="R_Paginanummer"/>
    <w:basedOn w:val="RAfzend-invulling"/>
    <w:next w:val="Normal"/>
    <w:rsid w:val="006C1BF1"/>
    <w:rPr>
      <w:szCs w:val="18"/>
    </w:rPr>
  </w:style>
  <w:style w:type="paragraph" w:customStyle="1" w:styleId="RReferenties">
    <w:name w:val="R_Referenties"/>
    <w:basedOn w:val="Normal"/>
    <w:next w:val="Normal"/>
    <w:rsid w:val="006C1BF1"/>
    <w:rPr>
      <w:szCs w:val="18"/>
    </w:rPr>
  </w:style>
  <w:style w:type="paragraph" w:customStyle="1" w:styleId="RRetouradres">
    <w:name w:val="R_Retouradres"/>
    <w:basedOn w:val="RAfzend-invulling"/>
    <w:next w:val="Normal"/>
    <w:rsid w:val="006C1BF1"/>
    <w:rPr>
      <w:szCs w:val="18"/>
    </w:rPr>
  </w:style>
  <w:style w:type="paragraph" w:customStyle="1" w:styleId="RRubricering">
    <w:name w:val="R_Rubricering"/>
    <w:basedOn w:val="Normal"/>
    <w:next w:val="Normal"/>
    <w:link w:val="RRubriceringChar"/>
    <w:rsid w:val="006C1BF1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DefaultParagraphFont"/>
    <w:link w:val="RRubricering"/>
    <w:rsid w:val="006C1BF1"/>
    <w:rPr>
      <w:rFonts w:ascii="Verdana" w:hAnsi="Verdana"/>
      <w:b/>
      <w:caps/>
      <w:sz w:val="13"/>
    </w:rPr>
  </w:style>
  <w:style w:type="paragraph" w:customStyle="1" w:styleId="RTabelkop">
    <w:name w:val="R_Tabelkop"/>
    <w:basedOn w:val="Normal"/>
    <w:rsid w:val="006C1BF1"/>
    <w:rPr>
      <w:b/>
      <w:sz w:val="14"/>
    </w:rPr>
  </w:style>
  <w:style w:type="paragraph" w:customStyle="1" w:styleId="RTabeltekst">
    <w:name w:val="R_Tabeltekst"/>
    <w:basedOn w:val="Normal"/>
    <w:rsid w:val="006C1BF1"/>
    <w:rPr>
      <w:sz w:val="14"/>
    </w:rPr>
  </w:style>
  <w:style w:type="paragraph" w:customStyle="1" w:styleId="RTitel">
    <w:name w:val="R_Titel"/>
    <w:basedOn w:val="Normal"/>
    <w:next w:val="Normal"/>
    <w:rsid w:val="006C1BF1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Normal"/>
    <w:next w:val="Normal"/>
    <w:rsid w:val="006C1BF1"/>
    <w:rPr>
      <w:szCs w:val="18"/>
    </w:rPr>
  </w:style>
  <w:style w:type="character" w:customStyle="1" w:styleId="RVoetnootmarkering">
    <w:name w:val="R_Voetnootmarkering"/>
    <w:basedOn w:val="DefaultParagraphFont"/>
    <w:rsid w:val="006C1BF1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Normal"/>
    <w:next w:val="Normal"/>
    <w:rsid w:val="006C1BF1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Normal"/>
    <w:next w:val="Normal"/>
    <w:rsid w:val="006C1BF1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6C1BF1"/>
    <w:pPr>
      <w:keepLines/>
      <w:spacing w:line="240" w:lineRule="atLeast"/>
    </w:pPr>
    <w:rPr>
      <w:rFonts w:ascii="Verdana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6C1BF1"/>
    <w:pPr>
      <w:keepLines/>
      <w:spacing w:line="240" w:lineRule="atLeast"/>
    </w:pPr>
    <w:rPr>
      <w:rFonts w:ascii="Verdana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6C1BF1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hAnsi="Verdana"/>
      <w:sz w:val="18"/>
      <w:szCs w:val="18"/>
    </w:rPr>
  </w:style>
  <w:style w:type="paragraph" w:customStyle="1" w:styleId="RHSgroot-W2">
    <w:name w:val="RHS groot - W2"/>
    <w:next w:val="Normal"/>
    <w:rsid w:val="006C1BF1"/>
    <w:pPr>
      <w:keepLines/>
      <w:spacing w:line="270" w:lineRule="exact"/>
    </w:pPr>
    <w:rPr>
      <w:rFonts w:ascii="Verdana" w:hAnsi="Verdana"/>
      <w:sz w:val="27"/>
      <w:szCs w:val="18"/>
    </w:rPr>
  </w:style>
  <w:style w:type="paragraph" w:customStyle="1" w:styleId="RHSklein-bold">
    <w:name w:val="RHS klein - bold"/>
    <w:link w:val="RHSklein-boldChar"/>
    <w:rsid w:val="006C1BF1"/>
    <w:pPr>
      <w:keepLines/>
      <w:spacing w:line="180" w:lineRule="atLeast"/>
    </w:pPr>
    <w:rPr>
      <w:rFonts w:ascii="Verdana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6C1BF1"/>
    <w:pPr>
      <w:keepLines/>
      <w:spacing w:line="180" w:lineRule="atLeast"/>
    </w:pPr>
    <w:rPr>
      <w:rFonts w:ascii="Verdana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6C1BF1"/>
    <w:pPr>
      <w:keepLines/>
      <w:spacing w:line="180" w:lineRule="atLeast"/>
    </w:pPr>
    <w:rPr>
      <w:rFonts w:ascii="Verdana" w:hAnsi="Verdana"/>
      <w:sz w:val="13"/>
      <w:szCs w:val="13"/>
    </w:rPr>
  </w:style>
  <w:style w:type="paragraph" w:customStyle="1" w:styleId="RHSklein-W1">
    <w:name w:val="RHS klein - W1"/>
    <w:rsid w:val="006C1BF1"/>
    <w:pPr>
      <w:keepLines/>
      <w:spacing w:line="90" w:lineRule="exact"/>
    </w:pPr>
    <w:rPr>
      <w:rFonts w:ascii="Verdana" w:hAnsi="Verdana"/>
      <w:sz w:val="9"/>
      <w:szCs w:val="9"/>
    </w:rPr>
  </w:style>
  <w:style w:type="paragraph" w:styleId="Header">
    <w:name w:val="header"/>
    <w:basedOn w:val="Normal"/>
    <w:rsid w:val="006C1BF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C1B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6C1BF1"/>
    <w:rPr>
      <w:rFonts w:ascii="Verdana" w:hAnsi="Verdana"/>
      <w:position w:val="0"/>
      <w:sz w:val="20"/>
      <w:vertAlign w:val="superscript"/>
    </w:rPr>
  </w:style>
  <w:style w:type="paragraph" w:styleId="FootnoteText">
    <w:name w:val="footnote text"/>
    <w:basedOn w:val="Normal"/>
    <w:next w:val="Normal"/>
    <w:semiHidden/>
    <w:rsid w:val="006C1BF1"/>
    <w:pPr>
      <w:spacing w:line="180" w:lineRule="atLeast"/>
      <w:ind w:left="227" w:hanging="227"/>
    </w:pPr>
    <w:rPr>
      <w:sz w:val="13"/>
    </w:rPr>
  </w:style>
  <w:style w:type="paragraph" w:styleId="Footer">
    <w:name w:val="footer"/>
    <w:basedOn w:val="Normal"/>
    <w:rsid w:val="006C1BF1"/>
    <w:pPr>
      <w:tabs>
        <w:tab w:val="center" w:pos="4536"/>
        <w:tab w:val="right" w:pos="9072"/>
      </w:tabs>
    </w:pPr>
  </w:style>
  <w:style w:type="paragraph" w:customStyle="1" w:styleId="RHStabel-koppen">
    <w:name w:val="RHS tabel - koppen"/>
    <w:basedOn w:val="Normal"/>
    <w:link w:val="RHStabel-koppenChar"/>
    <w:rsid w:val="006C1BF1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Normal"/>
    <w:link w:val="RHStabel-tekstChar"/>
    <w:rsid w:val="006C1BF1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basedOn w:val="DefaultParagraphFont"/>
    <w:link w:val="RHSgroot-bold"/>
    <w:rsid w:val="006C1BF1"/>
    <w:rPr>
      <w:rFonts w:ascii="Verdana" w:hAnsi="Verdana"/>
      <w:b/>
      <w:sz w:val="18"/>
      <w:szCs w:val="18"/>
    </w:rPr>
  </w:style>
  <w:style w:type="character" w:customStyle="1" w:styleId="RHSgroot-italicChar">
    <w:name w:val="RHS groot - italic Char"/>
    <w:basedOn w:val="DefaultParagraphFont"/>
    <w:link w:val="RHSgroot-italic"/>
    <w:rsid w:val="006C1BF1"/>
    <w:rPr>
      <w:rFonts w:ascii="Verdana" w:hAnsi="Verdana"/>
      <w:i/>
      <w:sz w:val="18"/>
      <w:szCs w:val="18"/>
    </w:rPr>
  </w:style>
  <w:style w:type="character" w:customStyle="1" w:styleId="RHSgroot-regularChar">
    <w:name w:val="RHS groot - regular Char"/>
    <w:basedOn w:val="DefaultParagraphFont"/>
    <w:link w:val="RHSgroot-regular"/>
    <w:rsid w:val="006C1BF1"/>
    <w:rPr>
      <w:rFonts w:ascii="Verdana" w:hAnsi="Verdana"/>
      <w:sz w:val="18"/>
      <w:szCs w:val="18"/>
    </w:rPr>
  </w:style>
  <w:style w:type="character" w:customStyle="1" w:styleId="RHSklein-boldChar">
    <w:name w:val="RHS klein - bold Char"/>
    <w:basedOn w:val="DefaultParagraphFont"/>
    <w:link w:val="RHSklein-bold"/>
    <w:rsid w:val="006C1BF1"/>
    <w:rPr>
      <w:rFonts w:ascii="Verdana" w:hAnsi="Verdana"/>
      <w:b/>
      <w:sz w:val="13"/>
      <w:szCs w:val="13"/>
    </w:rPr>
  </w:style>
  <w:style w:type="character" w:customStyle="1" w:styleId="RHSklein-italicChar">
    <w:name w:val="RHS klein - italic Char"/>
    <w:basedOn w:val="DefaultParagraphFont"/>
    <w:link w:val="RHSklein-italic"/>
    <w:rsid w:val="006C1BF1"/>
    <w:rPr>
      <w:rFonts w:ascii="Verdana" w:hAnsi="Verdana"/>
      <w:i/>
      <w:sz w:val="13"/>
      <w:szCs w:val="13"/>
    </w:rPr>
  </w:style>
  <w:style w:type="character" w:customStyle="1" w:styleId="RHSklein-regularChar">
    <w:name w:val="RHS klein - regular Char"/>
    <w:basedOn w:val="DefaultParagraphFont"/>
    <w:link w:val="RHSklein-regular"/>
    <w:rsid w:val="006C1BF1"/>
    <w:rPr>
      <w:rFonts w:ascii="Verdana" w:hAnsi="Verdana"/>
      <w:sz w:val="13"/>
      <w:szCs w:val="13"/>
    </w:rPr>
  </w:style>
  <w:style w:type="character" w:customStyle="1" w:styleId="RHStabel-koppenChar">
    <w:name w:val="RHS tabel - koppen Char"/>
    <w:basedOn w:val="DefaultParagraphFont"/>
    <w:link w:val="RHStabel-koppen"/>
    <w:rsid w:val="006C1BF1"/>
    <w:rPr>
      <w:rFonts w:ascii="Verdana" w:hAnsi="Verdana"/>
      <w:b/>
      <w:sz w:val="14"/>
      <w:szCs w:val="14"/>
    </w:rPr>
  </w:style>
  <w:style w:type="character" w:customStyle="1" w:styleId="RHStabel-tekstChar">
    <w:name w:val="RHS tabel - tekst Char"/>
    <w:basedOn w:val="DefaultParagraphFont"/>
    <w:link w:val="RHStabel-tekst"/>
    <w:rsid w:val="006C1BF1"/>
    <w:rPr>
      <w:rFonts w:ascii="Verdana" w:hAnsi="Verdana"/>
      <w:sz w:val="14"/>
      <w:szCs w:val="14"/>
    </w:rPr>
  </w:style>
  <w:style w:type="table" w:customStyle="1" w:styleId="Lichtearcering-accent11">
    <w:name w:val="Lichte arcering - accent 11"/>
    <w:basedOn w:val="TableNormal"/>
    <w:next w:val="LightShading-Accent1"/>
    <w:uiPriority w:val="60"/>
    <w:rsid w:val="008A562C"/>
    <w:rPr>
      <w:rFonts w:asciiTheme="minorHAnsi" w:eastAsiaTheme="minorHAnsi" w:hAnsiTheme="minorHAnsi" w:cstheme="minorBid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A562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BF1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6C1BF1"/>
    <w:pPr>
      <w:numPr>
        <w:numId w:val="1"/>
      </w:numPr>
      <w:spacing w:line="300" w:lineRule="atLeas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C1BF1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C1BF1"/>
    <w:pPr>
      <w:numPr>
        <w:ilvl w:val="2"/>
        <w:numId w:val="1"/>
      </w:numPr>
      <w:tabs>
        <w:tab w:val="clear" w:pos="1109"/>
        <w:tab w:val="left" w:pos="1111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C1BF1"/>
    <w:pPr>
      <w:numPr>
        <w:ilvl w:val="3"/>
        <w:numId w:val="1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6C1BF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6C1BF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C1BF1"/>
    <w:pPr>
      <w:outlineLvl w:val="6"/>
    </w:pPr>
  </w:style>
  <w:style w:type="paragraph" w:styleId="Heading8">
    <w:name w:val="heading 8"/>
    <w:basedOn w:val="Normal"/>
    <w:next w:val="Normal"/>
    <w:qFormat/>
    <w:rsid w:val="006C1BF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C1BF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ankruisvak-leeg">
    <w:name w:val="R_Aankruisvak-leeg"/>
    <w:basedOn w:val="Normal"/>
    <w:rsid w:val="006C1BF1"/>
    <w:pPr>
      <w:numPr>
        <w:numId w:val="5"/>
      </w:numPr>
    </w:pPr>
  </w:style>
  <w:style w:type="paragraph" w:customStyle="1" w:styleId="RAankruisvak-vinkje">
    <w:name w:val="R_Aankruisvak-vinkje"/>
    <w:basedOn w:val="Normal"/>
    <w:rsid w:val="006C1BF1"/>
    <w:pPr>
      <w:numPr>
        <w:numId w:val="6"/>
      </w:numPr>
    </w:pPr>
  </w:style>
  <w:style w:type="paragraph" w:customStyle="1" w:styleId="RAfzend-invulling">
    <w:name w:val="R_Afzend-invulling"/>
    <w:basedOn w:val="Normal"/>
    <w:next w:val="Normal"/>
    <w:rsid w:val="006C1BF1"/>
    <w:pPr>
      <w:spacing w:line="180" w:lineRule="atLeast"/>
    </w:pPr>
    <w:rPr>
      <w:sz w:val="13"/>
    </w:rPr>
  </w:style>
  <w:style w:type="paragraph" w:customStyle="1" w:styleId="RAfzend-kopje">
    <w:name w:val="R_Afzend-kopje"/>
    <w:basedOn w:val="Normal"/>
    <w:next w:val="Normal"/>
    <w:link w:val="RAfzend-kopjeChar"/>
    <w:rsid w:val="006C1BF1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DefaultParagraphFont"/>
    <w:link w:val="RAfzend-kopje"/>
    <w:rsid w:val="006C1BF1"/>
    <w:rPr>
      <w:rFonts w:ascii="Verdana" w:hAnsi="Verdana"/>
      <w:b/>
      <w:sz w:val="13"/>
    </w:rPr>
  </w:style>
  <w:style w:type="paragraph" w:customStyle="1" w:styleId="RAfzend-voorwaarden">
    <w:name w:val="R_Afzend-voorwaarden"/>
    <w:basedOn w:val="Normal"/>
    <w:next w:val="Normal"/>
    <w:rsid w:val="006C1BF1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Normal"/>
    <w:next w:val="Normal"/>
    <w:rsid w:val="006C1BF1"/>
    <w:pPr>
      <w:spacing w:line="270" w:lineRule="exact"/>
    </w:pPr>
  </w:style>
  <w:style w:type="paragraph" w:customStyle="1" w:styleId="RAfzend-witregel-klein">
    <w:name w:val="R_Afzend-witregel-klein"/>
    <w:basedOn w:val="Normal"/>
    <w:next w:val="Normal"/>
    <w:rsid w:val="006C1BF1"/>
    <w:pPr>
      <w:spacing w:line="90" w:lineRule="exact"/>
    </w:pPr>
    <w:rPr>
      <w:sz w:val="6"/>
    </w:rPr>
  </w:style>
  <w:style w:type="paragraph" w:customStyle="1" w:styleId="RAlineakop">
    <w:name w:val="R_Alineakop"/>
    <w:basedOn w:val="Normal"/>
    <w:next w:val="Normal"/>
    <w:rsid w:val="006C1BF1"/>
    <w:pPr>
      <w:keepNext/>
    </w:pPr>
    <w:rPr>
      <w:b/>
    </w:rPr>
  </w:style>
  <w:style w:type="paragraph" w:customStyle="1" w:styleId="RBestelcode">
    <w:name w:val="R_Bestelcode"/>
    <w:basedOn w:val="Normal"/>
    <w:next w:val="Normal"/>
    <w:rsid w:val="006C1BF1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Normal"/>
    <w:next w:val="Normal"/>
    <w:rsid w:val="006C1BF1"/>
    <w:pPr>
      <w:spacing w:line="300" w:lineRule="atLeast"/>
    </w:pPr>
    <w:rPr>
      <w:sz w:val="24"/>
    </w:rPr>
  </w:style>
  <w:style w:type="paragraph" w:customStyle="1" w:styleId="RLijn-onder">
    <w:name w:val="R_Lijn-onder"/>
    <w:basedOn w:val="Normal"/>
    <w:rsid w:val="006C1BF1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Normal"/>
    <w:rsid w:val="006C1BF1"/>
    <w:pPr>
      <w:numPr>
        <w:numId w:val="7"/>
      </w:numPr>
    </w:pPr>
  </w:style>
  <w:style w:type="paragraph" w:customStyle="1" w:styleId="ROpsomming-bolletjes-klein">
    <w:name w:val="R_Opsomming-bolletjes-klein"/>
    <w:basedOn w:val="Normal"/>
    <w:rsid w:val="006C1BF1"/>
    <w:pPr>
      <w:numPr>
        <w:numId w:val="8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Normal"/>
    <w:rsid w:val="006C1BF1"/>
    <w:pPr>
      <w:numPr>
        <w:numId w:val="9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Normal"/>
    <w:rsid w:val="006C1BF1"/>
    <w:pPr>
      <w:numPr>
        <w:numId w:val="10"/>
      </w:numPr>
    </w:pPr>
  </w:style>
  <w:style w:type="paragraph" w:customStyle="1" w:styleId="ROpsomming-genummerd">
    <w:name w:val="R_Opsomming-genummerd"/>
    <w:basedOn w:val="Normal"/>
    <w:rsid w:val="006C1BF1"/>
    <w:pPr>
      <w:numPr>
        <w:numId w:val="11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Normal"/>
    <w:rsid w:val="006C1BF1"/>
    <w:pPr>
      <w:numPr>
        <w:numId w:val="12"/>
      </w:numPr>
    </w:pPr>
  </w:style>
  <w:style w:type="paragraph" w:customStyle="1" w:styleId="RPaginanummer">
    <w:name w:val="R_Paginanummer"/>
    <w:basedOn w:val="RAfzend-invulling"/>
    <w:next w:val="Normal"/>
    <w:rsid w:val="006C1BF1"/>
    <w:rPr>
      <w:szCs w:val="18"/>
    </w:rPr>
  </w:style>
  <w:style w:type="paragraph" w:customStyle="1" w:styleId="RReferenties">
    <w:name w:val="R_Referenties"/>
    <w:basedOn w:val="Normal"/>
    <w:next w:val="Normal"/>
    <w:rsid w:val="006C1BF1"/>
    <w:rPr>
      <w:szCs w:val="18"/>
    </w:rPr>
  </w:style>
  <w:style w:type="paragraph" w:customStyle="1" w:styleId="RRetouradres">
    <w:name w:val="R_Retouradres"/>
    <w:basedOn w:val="RAfzend-invulling"/>
    <w:next w:val="Normal"/>
    <w:rsid w:val="006C1BF1"/>
    <w:rPr>
      <w:szCs w:val="18"/>
    </w:rPr>
  </w:style>
  <w:style w:type="paragraph" w:customStyle="1" w:styleId="RRubricering">
    <w:name w:val="R_Rubricering"/>
    <w:basedOn w:val="Normal"/>
    <w:next w:val="Normal"/>
    <w:link w:val="RRubriceringChar"/>
    <w:rsid w:val="006C1BF1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DefaultParagraphFont"/>
    <w:link w:val="RRubricering"/>
    <w:rsid w:val="006C1BF1"/>
    <w:rPr>
      <w:rFonts w:ascii="Verdana" w:hAnsi="Verdana"/>
      <w:b/>
      <w:caps/>
      <w:sz w:val="13"/>
    </w:rPr>
  </w:style>
  <w:style w:type="paragraph" w:customStyle="1" w:styleId="RTabelkop">
    <w:name w:val="R_Tabelkop"/>
    <w:basedOn w:val="Normal"/>
    <w:rsid w:val="006C1BF1"/>
    <w:rPr>
      <w:b/>
      <w:sz w:val="14"/>
    </w:rPr>
  </w:style>
  <w:style w:type="paragraph" w:customStyle="1" w:styleId="RTabeltekst">
    <w:name w:val="R_Tabeltekst"/>
    <w:basedOn w:val="Normal"/>
    <w:rsid w:val="006C1BF1"/>
    <w:rPr>
      <w:sz w:val="14"/>
    </w:rPr>
  </w:style>
  <w:style w:type="paragraph" w:customStyle="1" w:styleId="RTitel">
    <w:name w:val="R_Titel"/>
    <w:basedOn w:val="Normal"/>
    <w:next w:val="Normal"/>
    <w:rsid w:val="006C1BF1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Normal"/>
    <w:next w:val="Normal"/>
    <w:rsid w:val="006C1BF1"/>
    <w:rPr>
      <w:szCs w:val="18"/>
    </w:rPr>
  </w:style>
  <w:style w:type="character" w:customStyle="1" w:styleId="RVoetnootmarkering">
    <w:name w:val="R_Voetnootmarkering"/>
    <w:basedOn w:val="DefaultParagraphFont"/>
    <w:rsid w:val="006C1BF1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Normal"/>
    <w:next w:val="Normal"/>
    <w:rsid w:val="006C1BF1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Normal"/>
    <w:next w:val="Normal"/>
    <w:rsid w:val="006C1BF1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6C1BF1"/>
    <w:pPr>
      <w:keepLines/>
      <w:spacing w:line="240" w:lineRule="atLeast"/>
    </w:pPr>
    <w:rPr>
      <w:rFonts w:ascii="Verdana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6C1BF1"/>
    <w:pPr>
      <w:keepLines/>
      <w:spacing w:line="240" w:lineRule="atLeast"/>
    </w:pPr>
    <w:rPr>
      <w:rFonts w:ascii="Verdana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6C1BF1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hAnsi="Verdana"/>
      <w:sz w:val="18"/>
      <w:szCs w:val="18"/>
    </w:rPr>
  </w:style>
  <w:style w:type="paragraph" w:customStyle="1" w:styleId="RHSgroot-W2">
    <w:name w:val="RHS groot - W2"/>
    <w:next w:val="Normal"/>
    <w:rsid w:val="006C1BF1"/>
    <w:pPr>
      <w:keepLines/>
      <w:spacing w:line="270" w:lineRule="exact"/>
    </w:pPr>
    <w:rPr>
      <w:rFonts w:ascii="Verdana" w:hAnsi="Verdana"/>
      <w:sz w:val="27"/>
      <w:szCs w:val="18"/>
    </w:rPr>
  </w:style>
  <w:style w:type="paragraph" w:customStyle="1" w:styleId="RHSklein-bold">
    <w:name w:val="RHS klein - bold"/>
    <w:link w:val="RHSklein-boldChar"/>
    <w:rsid w:val="006C1BF1"/>
    <w:pPr>
      <w:keepLines/>
      <w:spacing w:line="180" w:lineRule="atLeast"/>
    </w:pPr>
    <w:rPr>
      <w:rFonts w:ascii="Verdana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6C1BF1"/>
    <w:pPr>
      <w:keepLines/>
      <w:spacing w:line="180" w:lineRule="atLeast"/>
    </w:pPr>
    <w:rPr>
      <w:rFonts w:ascii="Verdana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6C1BF1"/>
    <w:pPr>
      <w:keepLines/>
      <w:spacing w:line="180" w:lineRule="atLeast"/>
    </w:pPr>
    <w:rPr>
      <w:rFonts w:ascii="Verdana" w:hAnsi="Verdana"/>
      <w:sz w:val="13"/>
      <w:szCs w:val="13"/>
    </w:rPr>
  </w:style>
  <w:style w:type="paragraph" w:customStyle="1" w:styleId="RHSklein-W1">
    <w:name w:val="RHS klein - W1"/>
    <w:rsid w:val="006C1BF1"/>
    <w:pPr>
      <w:keepLines/>
      <w:spacing w:line="90" w:lineRule="exact"/>
    </w:pPr>
    <w:rPr>
      <w:rFonts w:ascii="Verdana" w:hAnsi="Verdana"/>
      <w:sz w:val="9"/>
      <w:szCs w:val="9"/>
    </w:rPr>
  </w:style>
  <w:style w:type="paragraph" w:styleId="Header">
    <w:name w:val="header"/>
    <w:basedOn w:val="Normal"/>
    <w:rsid w:val="006C1BF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C1B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6C1BF1"/>
    <w:rPr>
      <w:rFonts w:ascii="Verdana" w:hAnsi="Verdana"/>
      <w:position w:val="0"/>
      <w:sz w:val="20"/>
      <w:vertAlign w:val="superscript"/>
    </w:rPr>
  </w:style>
  <w:style w:type="paragraph" w:styleId="FootnoteText">
    <w:name w:val="footnote text"/>
    <w:basedOn w:val="Normal"/>
    <w:next w:val="Normal"/>
    <w:semiHidden/>
    <w:rsid w:val="006C1BF1"/>
    <w:pPr>
      <w:spacing w:line="180" w:lineRule="atLeast"/>
      <w:ind w:left="227" w:hanging="227"/>
    </w:pPr>
    <w:rPr>
      <w:sz w:val="13"/>
    </w:rPr>
  </w:style>
  <w:style w:type="paragraph" w:styleId="Footer">
    <w:name w:val="footer"/>
    <w:basedOn w:val="Normal"/>
    <w:rsid w:val="006C1BF1"/>
    <w:pPr>
      <w:tabs>
        <w:tab w:val="center" w:pos="4536"/>
        <w:tab w:val="right" w:pos="9072"/>
      </w:tabs>
    </w:pPr>
  </w:style>
  <w:style w:type="paragraph" w:customStyle="1" w:styleId="RHStabel-koppen">
    <w:name w:val="RHS tabel - koppen"/>
    <w:basedOn w:val="Normal"/>
    <w:link w:val="RHStabel-koppenChar"/>
    <w:rsid w:val="006C1BF1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Normal"/>
    <w:link w:val="RHStabel-tekstChar"/>
    <w:rsid w:val="006C1BF1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basedOn w:val="DefaultParagraphFont"/>
    <w:link w:val="RHSgroot-bold"/>
    <w:rsid w:val="006C1BF1"/>
    <w:rPr>
      <w:rFonts w:ascii="Verdana" w:hAnsi="Verdana"/>
      <w:b/>
      <w:sz w:val="18"/>
      <w:szCs w:val="18"/>
    </w:rPr>
  </w:style>
  <w:style w:type="character" w:customStyle="1" w:styleId="RHSgroot-italicChar">
    <w:name w:val="RHS groot - italic Char"/>
    <w:basedOn w:val="DefaultParagraphFont"/>
    <w:link w:val="RHSgroot-italic"/>
    <w:rsid w:val="006C1BF1"/>
    <w:rPr>
      <w:rFonts w:ascii="Verdana" w:hAnsi="Verdana"/>
      <w:i/>
      <w:sz w:val="18"/>
      <w:szCs w:val="18"/>
    </w:rPr>
  </w:style>
  <w:style w:type="character" w:customStyle="1" w:styleId="RHSgroot-regularChar">
    <w:name w:val="RHS groot - regular Char"/>
    <w:basedOn w:val="DefaultParagraphFont"/>
    <w:link w:val="RHSgroot-regular"/>
    <w:rsid w:val="006C1BF1"/>
    <w:rPr>
      <w:rFonts w:ascii="Verdana" w:hAnsi="Verdana"/>
      <w:sz w:val="18"/>
      <w:szCs w:val="18"/>
    </w:rPr>
  </w:style>
  <w:style w:type="character" w:customStyle="1" w:styleId="RHSklein-boldChar">
    <w:name w:val="RHS klein - bold Char"/>
    <w:basedOn w:val="DefaultParagraphFont"/>
    <w:link w:val="RHSklein-bold"/>
    <w:rsid w:val="006C1BF1"/>
    <w:rPr>
      <w:rFonts w:ascii="Verdana" w:hAnsi="Verdana"/>
      <w:b/>
      <w:sz w:val="13"/>
      <w:szCs w:val="13"/>
    </w:rPr>
  </w:style>
  <w:style w:type="character" w:customStyle="1" w:styleId="RHSklein-italicChar">
    <w:name w:val="RHS klein - italic Char"/>
    <w:basedOn w:val="DefaultParagraphFont"/>
    <w:link w:val="RHSklein-italic"/>
    <w:rsid w:val="006C1BF1"/>
    <w:rPr>
      <w:rFonts w:ascii="Verdana" w:hAnsi="Verdana"/>
      <w:i/>
      <w:sz w:val="13"/>
      <w:szCs w:val="13"/>
    </w:rPr>
  </w:style>
  <w:style w:type="character" w:customStyle="1" w:styleId="RHSklein-regularChar">
    <w:name w:val="RHS klein - regular Char"/>
    <w:basedOn w:val="DefaultParagraphFont"/>
    <w:link w:val="RHSklein-regular"/>
    <w:rsid w:val="006C1BF1"/>
    <w:rPr>
      <w:rFonts w:ascii="Verdana" w:hAnsi="Verdana"/>
      <w:sz w:val="13"/>
      <w:szCs w:val="13"/>
    </w:rPr>
  </w:style>
  <w:style w:type="character" w:customStyle="1" w:styleId="RHStabel-koppenChar">
    <w:name w:val="RHS tabel - koppen Char"/>
    <w:basedOn w:val="DefaultParagraphFont"/>
    <w:link w:val="RHStabel-koppen"/>
    <w:rsid w:val="006C1BF1"/>
    <w:rPr>
      <w:rFonts w:ascii="Verdana" w:hAnsi="Verdana"/>
      <w:b/>
      <w:sz w:val="14"/>
      <w:szCs w:val="14"/>
    </w:rPr>
  </w:style>
  <w:style w:type="character" w:customStyle="1" w:styleId="RHStabel-tekstChar">
    <w:name w:val="RHS tabel - tekst Char"/>
    <w:basedOn w:val="DefaultParagraphFont"/>
    <w:link w:val="RHStabel-tekst"/>
    <w:rsid w:val="006C1BF1"/>
    <w:rPr>
      <w:rFonts w:ascii="Verdana" w:hAnsi="Verdana"/>
      <w:sz w:val="14"/>
      <w:szCs w:val="14"/>
    </w:rPr>
  </w:style>
  <w:style w:type="table" w:customStyle="1" w:styleId="Lichtearcering-accent11">
    <w:name w:val="Lichte arcering - accent 11"/>
    <w:basedOn w:val="TableNormal"/>
    <w:next w:val="LightShading-Accent1"/>
    <w:uiPriority w:val="60"/>
    <w:rsid w:val="008A562C"/>
    <w:rPr>
      <w:rFonts w:asciiTheme="minorHAnsi" w:eastAsiaTheme="minorHAnsi" w:hAnsiTheme="minorHAnsi" w:cstheme="minorBid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A562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3481</Characters>
  <Application>Microsoft Office Word</Application>
  <DocSecurity>0</DocSecurity>
  <Lines>497</Lines>
  <Paragraphs>514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cvz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Brouwers, mw. C.</dc:creator>
  <cp:keywords/>
  <dc:description/>
  <cp:lastModifiedBy>HEALCANCIA</cp:lastModifiedBy>
  <cp:revision>4</cp:revision>
  <dcterms:created xsi:type="dcterms:W3CDTF">2019-01-23T12:22:00Z</dcterms:created>
  <dcterms:modified xsi:type="dcterms:W3CDTF">2019-06-08T07:05:00Z</dcterms:modified>
</cp:coreProperties>
</file>