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FA61" w14:textId="77777777" w:rsidR="002C0440" w:rsidRPr="00455A23" w:rsidRDefault="00C138A4" w:rsidP="00E4429E">
      <w:pPr>
        <w:spacing w:line="288" w:lineRule="auto"/>
        <w:rPr>
          <w:rFonts w:ascii="Times New Roman" w:hAnsi="Times New Roman" w:cs="Times New Roman"/>
          <w:b/>
          <w:bCs/>
          <w:caps/>
          <w:sz w:val="28"/>
          <w:szCs w:val="28"/>
        </w:rPr>
      </w:pPr>
      <w:bookmarkStart w:id="0" w:name="_GoBack"/>
      <w:bookmarkEnd w:id="0"/>
      <w:r>
        <w:rPr>
          <w:rFonts w:ascii="Times New Roman" w:hAnsi="Times New Roman" w:cs="Times New Roman"/>
          <w:b/>
          <w:bCs/>
          <w:caps/>
          <w:sz w:val="28"/>
          <w:szCs w:val="28"/>
        </w:rPr>
        <w:t>Additional</w:t>
      </w:r>
      <w:r w:rsidR="002C0440" w:rsidRPr="00455A23">
        <w:rPr>
          <w:rFonts w:ascii="Times New Roman" w:hAnsi="Times New Roman" w:cs="Times New Roman"/>
          <w:b/>
          <w:bCs/>
          <w:caps/>
          <w:sz w:val="28"/>
          <w:szCs w:val="28"/>
        </w:rPr>
        <w:t xml:space="preserve"> information</w:t>
      </w:r>
    </w:p>
    <w:p w14:paraId="43A00C2B" w14:textId="77777777" w:rsidR="00E4429E" w:rsidRDefault="00E4429E" w:rsidP="00E4429E">
      <w:pPr>
        <w:spacing w:line="360" w:lineRule="auto"/>
        <w:rPr>
          <w:rFonts w:ascii="Times New Roman" w:hAnsi="Times New Roman" w:cs="Times New Roman"/>
          <w:b/>
          <w:sz w:val="28"/>
        </w:rPr>
      </w:pPr>
    </w:p>
    <w:p w14:paraId="6DFF988D" w14:textId="77777777" w:rsidR="00054EFC" w:rsidRPr="00A00F11" w:rsidRDefault="00054EFC" w:rsidP="00054EFC">
      <w:pPr>
        <w:spacing w:after="120" w:line="360" w:lineRule="auto"/>
        <w:rPr>
          <w:rFonts w:ascii="Times New Roman" w:hAnsi="Times New Roman" w:cs="Times New Roman"/>
          <w:b/>
        </w:rPr>
      </w:pPr>
      <w:r>
        <w:rPr>
          <w:rFonts w:ascii="Times New Roman" w:hAnsi="Times New Roman" w:cs="Times New Roman"/>
          <w:b/>
        </w:rPr>
        <w:t xml:space="preserve">TITLE: On the </w:t>
      </w:r>
      <w:r w:rsidRPr="00A00F11">
        <w:rPr>
          <w:rFonts w:ascii="Times New Roman" w:hAnsi="Times New Roman" w:cs="Times New Roman"/>
          <w:b/>
        </w:rPr>
        <w:t>realistic contribution of European forests to</w:t>
      </w:r>
      <w:r>
        <w:rPr>
          <w:rFonts w:ascii="Times New Roman" w:hAnsi="Times New Roman" w:cs="Times New Roman"/>
          <w:b/>
        </w:rPr>
        <w:t xml:space="preserve"> reach</w:t>
      </w:r>
      <w:r w:rsidRPr="00A00F11">
        <w:rPr>
          <w:rFonts w:ascii="Times New Roman" w:hAnsi="Times New Roman" w:cs="Times New Roman"/>
          <w:b/>
        </w:rPr>
        <w:t xml:space="preserve"> climate objectives</w:t>
      </w:r>
    </w:p>
    <w:p w14:paraId="018C3C48" w14:textId="77777777" w:rsidR="00054EFC" w:rsidRPr="00A00F11" w:rsidRDefault="00054EFC" w:rsidP="00054EFC">
      <w:pPr>
        <w:spacing w:after="120" w:line="360" w:lineRule="auto"/>
        <w:rPr>
          <w:rFonts w:ascii="Times New Roman" w:hAnsi="Times New Roman" w:cs="Times New Roman"/>
          <w:b/>
        </w:rPr>
      </w:pPr>
    </w:p>
    <w:p w14:paraId="7BF14EB9" w14:textId="4DC561DB" w:rsidR="00DF2B9F" w:rsidRDefault="00DF2B9F" w:rsidP="00DF2B9F">
      <w:pPr>
        <w:spacing w:after="120" w:line="360" w:lineRule="auto"/>
        <w:rPr>
          <w:rFonts w:ascii="Times New Roman" w:hAnsi="Times New Roman" w:cs="Times New Roman"/>
          <w:vertAlign w:val="superscript"/>
          <w:lang w:val="it-IT"/>
        </w:rPr>
      </w:pPr>
      <w:r w:rsidRPr="00D546D1">
        <w:rPr>
          <w:rFonts w:ascii="Times New Roman" w:hAnsi="Times New Roman" w:cs="Times New Roman"/>
          <w:lang w:val="it-IT"/>
        </w:rPr>
        <w:t>Giacomo Grassi</w:t>
      </w:r>
      <w:r w:rsidRPr="00D546D1">
        <w:rPr>
          <w:rFonts w:ascii="Times New Roman" w:hAnsi="Times New Roman" w:cs="Times New Roman"/>
          <w:vertAlign w:val="superscript"/>
          <w:lang w:val="it-IT"/>
        </w:rPr>
        <w:t>1</w:t>
      </w:r>
      <w:r w:rsidRPr="00D546D1">
        <w:rPr>
          <w:rFonts w:ascii="Times New Roman" w:hAnsi="Times New Roman" w:cs="Times New Roman"/>
          <w:lang w:val="it-IT"/>
        </w:rPr>
        <w:t>*, Alessandro Cescatti</w:t>
      </w:r>
      <w:r>
        <w:rPr>
          <w:rFonts w:ascii="Times New Roman" w:hAnsi="Times New Roman" w:cs="Times New Roman"/>
          <w:vertAlign w:val="superscript"/>
          <w:lang w:val="it-IT"/>
        </w:rPr>
        <w:t>2</w:t>
      </w:r>
      <w:r w:rsidRPr="00D546D1">
        <w:rPr>
          <w:rFonts w:ascii="Times New Roman" w:hAnsi="Times New Roman" w:cs="Times New Roman"/>
          <w:lang w:val="it-IT"/>
        </w:rPr>
        <w:t>, Robert Matthews</w:t>
      </w:r>
      <w:r>
        <w:rPr>
          <w:rFonts w:ascii="Times New Roman" w:hAnsi="Times New Roman" w:cs="Times New Roman"/>
          <w:vertAlign w:val="superscript"/>
          <w:lang w:val="it-IT"/>
        </w:rPr>
        <w:t>3</w:t>
      </w:r>
      <w:r w:rsidRPr="00D546D1">
        <w:rPr>
          <w:rFonts w:ascii="Times New Roman" w:hAnsi="Times New Roman" w:cs="Times New Roman"/>
          <w:lang w:val="it-IT"/>
        </w:rPr>
        <w:t>, Gregory Duve</w:t>
      </w:r>
      <w:r w:rsidR="00B07FB3">
        <w:rPr>
          <w:rFonts w:ascii="Times New Roman" w:hAnsi="Times New Roman" w:cs="Times New Roman"/>
          <w:lang w:val="it-IT"/>
        </w:rPr>
        <w:t>i</w:t>
      </w:r>
      <w:r w:rsidRPr="00D546D1">
        <w:rPr>
          <w:rFonts w:ascii="Times New Roman" w:hAnsi="Times New Roman" w:cs="Times New Roman"/>
          <w:lang w:val="it-IT"/>
        </w:rPr>
        <w:t>ller</w:t>
      </w:r>
      <w:r>
        <w:rPr>
          <w:rFonts w:ascii="Times New Roman" w:hAnsi="Times New Roman" w:cs="Times New Roman"/>
          <w:vertAlign w:val="superscript"/>
          <w:lang w:val="it-IT"/>
        </w:rPr>
        <w:t>4</w:t>
      </w:r>
      <w:r w:rsidRPr="00D546D1">
        <w:rPr>
          <w:rFonts w:ascii="Times New Roman" w:hAnsi="Times New Roman" w:cs="Times New Roman"/>
          <w:lang w:val="it-IT"/>
        </w:rPr>
        <w:t>,</w:t>
      </w:r>
      <w:r>
        <w:rPr>
          <w:rFonts w:ascii="Times New Roman" w:hAnsi="Times New Roman" w:cs="Times New Roman"/>
          <w:lang w:val="it-IT"/>
        </w:rPr>
        <w:t xml:space="preserve"> </w:t>
      </w:r>
      <w:r w:rsidRPr="00D546D1">
        <w:rPr>
          <w:rFonts w:ascii="Times New Roman" w:hAnsi="Times New Roman" w:cs="Times New Roman"/>
          <w:lang w:val="it-IT"/>
        </w:rPr>
        <w:t>Andrea Camia</w:t>
      </w:r>
      <w:r>
        <w:rPr>
          <w:rFonts w:ascii="Times New Roman" w:hAnsi="Times New Roman" w:cs="Times New Roman"/>
          <w:vertAlign w:val="superscript"/>
          <w:lang w:val="it-IT"/>
        </w:rPr>
        <w:t>5</w:t>
      </w:r>
      <w:r w:rsidRPr="00D546D1">
        <w:rPr>
          <w:rFonts w:ascii="Times New Roman" w:hAnsi="Times New Roman" w:cs="Times New Roman"/>
          <w:lang w:val="it-IT"/>
        </w:rPr>
        <w:t>, Sandro Federici</w:t>
      </w:r>
      <w:r>
        <w:rPr>
          <w:rFonts w:ascii="Times New Roman" w:hAnsi="Times New Roman" w:cs="Times New Roman"/>
          <w:vertAlign w:val="superscript"/>
          <w:lang w:val="it-IT"/>
        </w:rPr>
        <w:t>6</w:t>
      </w:r>
      <w:r w:rsidRPr="00D546D1">
        <w:rPr>
          <w:rFonts w:ascii="Times New Roman" w:hAnsi="Times New Roman" w:cs="Times New Roman"/>
          <w:lang w:val="it-IT"/>
        </w:rPr>
        <w:t>, Jo House</w:t>
      </w:r>
      <w:r>
        <w:rPr>
          <w:rFonts w:ascii="Times New Roman" w:hAnsi="Times New Roman" w:cs="Times New Roman"/>
          <w:vertAlign w:val="superscript"/>
          <w:lang w:val="it-IT"/>
        </w:rPr>
        <w:t>7</w:t>
      </w:r>
      <w:r w:rsidRPr="00D546D1">
        <w:rPr>
          <w:rFonts w:ascii="Times New Roman" w:hAnsi="Times New Roman" w:cs="Times New Roman"/>
          <w:lang w:val="it-IT"/>
        </w:rPr>
        <w:t xml:space="preserve">, </w:t>
      </w:r>
      <w:r w:rsidRPr="00BD1DA9">
        <w:rPr>
          <w:rFonts w:ascii="Times New Roman" w:hAnsi="Times New Roman" w:cs="Times New Roman"/>
        </w:rPr>
        <w:t xml:space="preserve">Nathalie de </w:t>
      </w:r>
      <w:proofErr w:type="spellStart"/>
      <w:r w:rsidRPr="00BD1DA9">
        <w:rPr>
          <w:rFonts w:ascii="Times New Roman" w:hAnsi="Times New Roman" w:cs="Times New Roman"/>
        </w:rPr>
        <w:t>Noblet-Ducoudré</w:t>
      </w:r>
      <w:proofErr w:type="spellEnd"/>
      <w:r>
        <w:rPr>
          <w:rFonts w:ascii="Times New Roman" w:hAnsi="Times New Roman" w:cs="Times New Roman"/>
          <w:vertAlign w:val="superscript"/>
          <w:lang w:val="it-IT"/>
        </w:rPr>
        <w:t>8</w:t>
      </w:r>
      <w:r>
        <w:rPr>
          <w:rFonts w:ascii="Times New Roman" w:hAnsi="Times New Roman" w:cs="Times New Roman"/>
        </w:rPr>
        <w:t xml:space="preserve">, </w:t>
      </w:r>
      <w:r w:rsidRPr="00D546D1">
        <w:rPr>
          <w:rFonts w:ascii="Times New Roman" w:hAnsi="Times New Roman" w:cs="Times New Roman"/>
          <w:lang w:val="it-IT"/>
        </w:rPr>
        <w:t>Roberto Pilli</w:t>
      </w:r>
      <w:r>
        <w:rPr>
          <w:rFonts w:ascii="Times New Roman" w:hAnsi="Times New Roman" w:cs="Times New Roman"/>
          <w:vertAlign w:val="superscript"/>
          <w:lang w:val="it-IT"/>
        </w:rPr>
        <w:t>9</w:t>
      </w:r>
      <w:r w:rsidRPr="00D546D1">
        <w:rPr>
          <w:rFonts w:ascii="Times New Roman" w:hAnsi="Times New Roman" w:cs="Times New Roman"/>
          <w:lang w:val="it-IT"/>
        </w:rPr>
        <w:t>, Matteo Vizzarri</w:t>
      </w:r>
      <w:r w:rsidRPr="00D546D1">
        <w:rPr>
          <w:rFonts w:ascii="Times New Roman" w:hAnsi="Times New Roman" w:cs="Times New Roman"/>
          <w:vertAlign w:val="superscript"/>
          <w:lang w:val="it-IT"/>
        </w:rPr>
        <w:t>1</w:t>
      </w:r>
      <w:r>
        <w:rPr>
          <w:rFonts w:ascii="Times New Roman" w:hAnsi="Times New Roman" w:cs="Times New Roman"/>
          <w:vertAlign w:val="superscript"/>
          <w:lang w:val="it-IT"/>
        </w:rPr>
        <w:t>0</w:t>
      </w:r>
    </w:p>
    <w:p w14:paraId="736614BA" w14:textId="77777777" w:rsidR="00DF2B9F" w:rsidRDefault="00DF2B9F" w:rsidP="00DF2B9F">
      <w:pPr>
        <w:rPr>
          <w:rFonts w:ascii="Times New Roman" w:hAnsi="Times New Roman" w:cs="Times New Roman"/>
          <w:b/>
        </w:rPr>
      </w:pPr>
    </w:p>
    <w:p w14:paraId="2E36232D" w14:textId="77777777" w:rsidR="00DF2B9F" w:rsidRDefault="00DF2B9F" w:rsidP="00DF2B9F">
      <w:pPr>
        <w:rPr>
          <w:rFonts w:ascii="Times New Roman" w:hAnsi="Times New Roman" w:cs="Times New Roman"/>
          <w:b/>
        </w:rPr>
      </w:pPr>
    </w:p>
    <w:p w14:paraId="6DF035B5" w14:textId="77777777" w:rsidR="00DF2B9F" w:rsidRPr="00E74377" w:rsidRDefault="00DF2B9F" w:rsidP="00DF2B9F">
      <w:pPr>
        <w:rPr>
          <w:rFonts w:ascii="Times New Roman" w:hAnsi="Times New Roman" w:cs="Times New Roman"/>
          <w:b/>
        </w:rPr>
      </w:pPr>
    </w:p>
    <w:p w14:paraId="33496215"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Giacomo Grassi</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005A3868">
        <w:fldChar w:fldCharType="begin"/>
      </w:r>
      <w:r w:rsidR="005A3868">
        <w:instrText xml:space="preserve"> HYPERLINK "mailto:giacomo.grassi@ec.europa.eu" </w:instrText>
      </w:r>
      <w:r w:rsidR="005A3868">
        <w:fldChar w:fldCharType="separate"/>
      </w:r>
      <w:r w:rsidRPr="00E74377">
        <w:rPr>
          <w:rStyle w:val="Hyperlink"/>
          <w:rFonts w:ascii="Times New Roman" w:hAnsi="Times New Roman" w:cs="Times New Roman"/>
        </w:rPr>
        <w:t>giacomo.grassi@ec.europa.eu</w:t>
      </w:r>
      <w:r w:rsidR="005A3868">
        <w:rPr>
          <w:rStyle w:val="Hyperlink"/>
          <w:rFonts w:ascii="Times New Roman" w:hAnsi="Times New Roman" w:cs="Times New Roman"/>
        </w:rPr>
        <w:fldChar w:fldCharType="end"/>
      </w:r>
    </w:p>
    <w:p w14:paraId="214486E3"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Alessandro Cescatti</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Pr="00E74377">
        <w:rPr>
          <w:rFonts w:ascii="Times New Roman" w:hAnsi="Times New Roman" w:cs="Times New Roman"/>
          <w:lang w:val="it-IT"/>
        </w:rPr>
        <w:t>Alessandro.Cescatti@ec.europa.eu</w:t>
      </w:r>
      <w:r w:rsidRPr="00E74377">
        <w:rPr>
          <w:rFonts w:ascii="Times New Roman" w:hAnsi="Times New Roman" w:cs="Times New Roman"/>
        </w:rPr>
        <w:t xml:space="preserve"> </w:t>
      </w:r>
    </w:p>
    <w:p w14:paraId="5CF78256"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Robert Matthews,</w:t>
      </w:r>
      <w:r w:rsidRPr="00E74377">
        <w:rPr>
          <w:rFonts w:ascii="Times New Roman" w:hAnsi="Times New Roman" w:cs="Times New Roman"/>
        </w:rPr>
        <w:t xml:space="preserve"> Forest Research, Alice Holt Lodge, Farnham GU10 4LH, United Kingdom, Robert.Matthews@forestry.gov.uk</w:t>
      </w:r>
    </w:p>
    <w:p w14:paraId="1E500F36" w14:textId="6A7D3949"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Gregory Duve</w:t>
      </w:r>
      <w:r w:rsidR="00B07FB3">
        <w:rPr>
          <w:rFonts w:ascii="Times New Roman" w:hAnsi="Times New Roman" w:cs="Times New Roman"/>
          <w:lang w:val="it-IT"/>
        </w:rPr>
        <w:t>i</w:t>
      </w:r>
      <w:r w:rsidRPr="00E74377">
        <w:rPr>
          <w:rFonts w:ascii="Times New Roman" w:hAnsi="Times New Roman" w:cs="Times New Roman"/>
          <w:lang w:val="it-IT"/>
        </w:rPr>
        <w:t>ller</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Pr="00E74377">
        <w:rPr>
          <w:rFonts w:ascii="Times New Roman" w:hAnsi="Times New Roman" w:cs="Times New Roman"/>
          <w:lang w:val="it-IT"/>
        </w:rPr>
        <w:t>Gregory.Duve</w:t>
      </w:r>
      <w:r w:rsidR="00FA1A6E">
        <w:rPr>
          <w:rFonts w:ascii="Times New Roman" w:hAnsi="Times New Roman" w:cs="Times New Roman"/>
          <w:lang w:val="it-IT"/>
        </w:rPr>
        <w:t>i</w:t>
      </w:r>
      <w:r w:rsidRPr="00E74377">
        <w:rPr>
          <w:rFonts w:ascii="Times New Roman" w:hAnsi="Times New Roman" w:cs="Times New Roman"/>
          <w:lang w:val="it-IT"/>
        </w:rPr>
        <w:t>ller@ec.europa.eu</w:t>
      </w:r>
    </w:p>
    <w:p w14:paraId="006448A9"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Andrea Camia</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005A3868">
        <w:fldChar w:fldCharType="begin"/>
      </w:r>
      <w:r w:rsidR="005A3868">
        <w:instrText xml:space="preserve"> HYPERLINK "mailto:Andrea.Camia@ec.europa.eu" </w:instrText>
      </w:r>
      <w:r w:rsidR="005A3868">
        <w:fldChar w:fldCharType="separate"/>
      </w:r>
      <w:r w:rsidRPr="00E74377">
        <w:rPr>
          <w:rStyle w:val="Hyperlink"/>
          <w:rFonts w:ascii="Times New Roman" w:hAnsi="Times New Roman" w:cs="Times New Roman"/>
          <w:lang w:val="it-IT"/>
        </w:rPr>
        <w:t>Andrea.Camia@ec.europa.eu</w:t>
      </w:r>
      <w:r w:rsidR="005A3868">
        <w:rPr>
          <w:rStyle w:val="Hyperlink"/>
          <w:rFonts w:ascii="Times New Roman" w:hAnsi="Times New Roman" w:cs="Times New Roman"/>
          <w:lang w:val="it-IT"/>
        </w:rPr>
        <w:fldChar w:fldCharType="end"/>
      </w:r>
    </w:p>
    <w:p w14:paraId="22443E28" w14:textId="77777777" w:rsidR="00DF2B9F" w:rsidRPr="00E74377" w:rsidRDefault="00DF2B9F" w:rsidP="00DF2B9F">
      <w:pPr>
        <w:numPr>
          <w:ilvl w:val="0"/>
          <w:numId w:val="2"/>
        </w:numPr>
        <w:rPr>
          <w:rFonts w:ascii="Times New Roman" w:hAnsi="Times New Roman" w:cs="Times New Roman"/>
        </w:rPr>
      </w:pPr>
      <w:r w:rsidRPr="00E74377">
        <w:rPr>
          <w:rFonts w:ascii="Times New Roman" w:hAnsi="Times New Roman" w:cs="Times New Roman"/>
          <w:lang w:val="it-IT"/>
        </w:rPr>
        <w:t xml:space="preserve">Sandro Federici, </w:t>
      </w:r>
      <w:r w:rsidRPr="00E74377">
        <w:rPr>
          <w:rFonts w:ascii="Times New Roman" w:hAnsi="Times New Roman" w:cs="Times New Roman"/>
          <w:lang w:val="en-GB"/>
        </w:rPr>
        <w:t>Climate and Environment Division, FAO</w:t>
      </w:r>
      <w:r w:rsidRPr="00E74377">
        <w:rPr>
          <w:rFonts w:ascii="Times New Roman" w:hAnsi="Times New Roman" w:cs="Times New Roman"/>
        </w:rPr>
        <w:t>, 00153 Rome, Italy</w:t>
      </w:r>
      <w:r w:rsidRPr="00E74377">
        <w:rPr>
          <w:rFonts w:ascii="Times New Roman" w:hAnsi="Times New Roman" w:cs="Times New Roman"/>
          <w:bCs/>
        </w:rPr>
        <w:t xml:space="preserve"> </w:t>
      </w:r>
      <w:hyperlink r:id="rId9" w:history="1">
        <w:r w:rsidRPr="00E74377">
          <w:rPr>
            <w:rStyle w:val="Hyperlink"/>
            <w:rFonts w:ascii="Times New Roman" w:hAnsi="Times New Roman" w:cs="Times New Roman"/>
            <w:bCs/>
          </w:rPr>
          <w:t>sandro.federici@gmail.com</w:t>
        </w:r>
      </w:hyperlink>
      <w:r w:rsidRPr="00E74377">
        <w:rPr>
          <w:rFonts w:ascii="Times New Roman" w:hAnsi="Times New Roman" w:cs="Times New Roman"/>
          <w:bCs/>
        </w:rPr>
        <w:t xml:space="preserve"> ‎ </w:t>
      </w:r>
    </w:p>
    <w:p w14:paraId="2F11584E"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bCs/>
        </w:rPr>
        <w:t xml:space="preserve">Jo House, Cabot Institute, Department of Geographical Sciences, University of Bristol, Bristol BS8 1SS, UK, </w:t>
      </w:r>
      <w:hyperlink r:id="rId10" w:history="1">
        <w:r w:rsidRPr="00E74377">
          <w:rPr>
            <w:rStyle w:val="Hyperlink"/>
            <w:rFonts w:ascii="Times New Roman" w:hAnsi="Times New Roman" w:cs="Times New Roman"/>
            <w:bCs/>
          </w:rPr>
          <w:t>Jo.House@bristol.ac.uk</w:t>
        </w:r>
      </w:hyperlink>
      <w:r w:rsidRPr="00E74377">
        <w:rPr>
          <w:rFonts w:ascii="Times New Roman" w:hAnsi="Times New Roman" w:cs="Times New Roman"/>
          <w:bCs/>
        </w:rPr>
        <w:t xml:space="preserve"> </w:t>
      </w:r>
    </w:p>
    <w:p w14:paraId="47756D0C" w14:textId="77777777" w:rsidR="00DF2B9F" w:rsidRPr="00E74377" w:rsidRDefault="00DF2B9F" w:rsidP="00DF2B9F">
      <w:pPr>
        <w:numPr>
          <w:ilvl w:val="0"/>
          <w:numId w:val="2"/>
        </w:numPr>
        <w:rPr>
          <w:rFonts w:ascii="Times New Roman" w:hAnsi="Times New Roman" w:cs="Times New Roman"/>
        </w:rPr>
      </w:pPr>
      <w:r w:rsidRPr="00E74377">
        <w:rPr>
          <w:rFonts w:ascii="Times New Roman" w:hAnsi="Times New Roman" w:cs="Times New Roman"/>
        </w:rPr>
        <w:t xml:space="preserve">Nathalie de </w:t>
      </w:r>
      <w:proofErr w:type="spellStart"/>
      <w:r w:rsidRPr="00E74377">
        <w:rPr>
          <w:rFonts w:ascii="Times New Roman" w:hAnsi="Times New Roman" w:cs="Times New Roman"/>
        </w:rPr>
        <w:t>Noblet-Ducoudré</w:t>
      </w:r>
      <w:proofErr w:type="spellEnd"/>
      <w:r w:rsidRPr="00E74377">
        <w:rPr>
          <w:rFonts w:ascii="Times New Roman" w:hAnsi="Times New Roman" w:cs="Times New Roman"/>
          <w:bCs/>
        </w:rPr>
        <w:t>,</w:t>
      </w:r>
      <w:r w:rsidRPr="00E74377">
        <w:rPr>
          <w:rFonts w:ascii="Times New Roman" w:hAnsi="Times New Roman" w:cs="Times New Roman"/>
        </w:rPr>
        <w:t xml:space="preserve"> </w:t>
      </w:r>
      <w:proofErr w:type="spellStart"/>
      <w:r w:rsidRPr="00E74377">
        <w:rPr>
          <w:rFonts w:ascii="Times New Roman" w:hAnsi="Times New Roman" w:cs="Times New Roman"/>
        </w:rPr>
        <w:t>Laboratoire</w:t>
      </w:r>
      <w:proofErr w:type="spellEnd"/>
      <w:r w:rsidRPr="00E74377">
        <w:rPr>
          <w:rFonts w:ascii="Times New Roman" w:hAnsi="Times New Roman" w:cs="Times New Roman"/>
        </w:rPr>
        <w:t xml:space="preserve"> des Sciences du </w:t>
      </w:r>
      <w:proofErr w:type="spellStart"/>
      <w:r w:rsidRPr="00E74377">
        <w:rPr>
          <w:rFonts w:ascii="Times New Roman" w:hAnsi="Times New Roman" w:cs="Times New Roman"/>
        </w:rPr>
        <w:t>Climat</w:t>
      </w:r>
      <w:proofErr w:type="spellEnd"/>
      <w:r w:rsidRPr="00E74377">
        <w:rPr>
          <w:rFonts w:ascii="Times New Roman" w:hAnsi="Times New Roman" w:cs="Times New Roman"/>
        </w:rPr>
        <w:t xml:space="preserve"> et de </w:t>
      </w:r>
      <w:proofErr w:type="spellStart"/>
      <w:r w:rsidRPr="00E74377">
        <w:rPr>
          <w:rFonts w:ascii="Times New Roman" w:hAnsi="Times New Roman" w:cs="Times New Roman"/>
        </w:rPr>
        <w:t>l'Environnement</w:t>
      </w:r>
      <w:proofErr w:type="spellEnd"/>
      <w:r w:rsidRPr="00E74377">
        <w:rPr>
          <w:rFonts w:ascii="Times New Roman" w:hAnsi="Times New Roman" w:cs="Times New Roman"/>
        </w:rPr>
        <w:t xml:space="preserve"> LSCE/IPSL, </w:t>
      </w:r>
      <w:proofErr w:type="spellStart"/>
      <w:r w:rsidRPr="00E74377">
        <w:rPr>
          <w:rFonts w:ascii="Times New Roman" w:hAnsi="Times New Roman" w:cs="Times New Roman"/>
        </w:rPr>
        <w:t>Unité</w:t>
      </w:r>
      <w:proofErr w:type="spellEnd"/>
      <w:r w:rsidRPr="00E74377">
        <w:rPr>
          <w:rFonts w:ascii="Times New Roman" w:hAnsi="Times New Roman" w:cs="Times New Roman"/>
        </w:rPr>
        <w:t xml:space="preserve"> </w:t>
      </w:r>
      <w:proofErr w:type="spellStart"/>
      <w:r w:rsidRPr="00E74377">
        <w:rPr>
          <w:rFonts w:ascii="Times New Roman" w:hAnsi="Times New Roman" w:cs="Times New Roman"/>
        </w:rPr>
        <w:t>mixte</w:t>
      </w:r>
      <w:proofErr w:type="spellEnd"/>
      <w:r w:rsidRPr="00E74377">
        <w:rPr>
          <w:rFonts w:ascii="Times New Roman" w:hAnsi="Times New Roman" w:cs="Times New Roman"/>
        </w:rPr>
        <w:t xml:space="preserve"> CEA-CNRS-UVSQ, </w:t>
      </w:r>
      <w:proofErr w:type="spellStart"/>
      <w:r w:rsidRPr="00E74377">
        <w:rPr>
          <w:rFonts w:ascii="Times New Roman" w:hAnsi="Times New Roman" w:cs="Times New Roman"/>
        </w:rPr>
        <w:t>Université</w:t>
      </w:r>
      <w:proofErr w:type="spellEnd"/>
      <w:r w:rsidRPr="00E74377">
        <w:rPr>
          <w:rFonts w:ascii="Times New Roman" w:hAnsi="Times New Roman" w:cs="Times New Roman"/>
        </w:rPr>
        <w:t xml:space="preserve"> Paris-</w:t>
      </w:r>
      <w:proofErr w:type="spellStart"/>
      <w:r w:rsidRPr="00E74377">
        <w:rPr>
          <w:rFonts w:ascii="Times New Roman" w:hAnsi="Times New Roman" w:cs="Times New Roman"/>
        </w:rPr>
        <w:t>Saclay</w:t>
      </w:r>
      <w:proofErr w:type="spellEnd"/>
      <w:r w:rsidRPr="00E74377">
        <w:rPr>
          <w:rFonts w:ascii="Times New Roman" w:hAnsi="Times New Roman" w:cs="Times New Roman"/>
        </w:rPr>
        <w:t>, F-91191 Gif-</w:t>
      </w:r>
      <w:proofErr w:type="spellStart"/>
      <w:r w:rsidRPr="00E74377">
        <w:rPr>
          <w:rFonts w:ascii="Times New Roman" w:hAnsi="Times New Roman" w:cs="Times New Roman"/>
        </w:rPr>
        <w:t>sur</w:t>
      </w:r>
      <w:proofErr w:type="spellEnd"/>
      <w:r w:rsidRPr="00E74377">
        <w:rPr>
          <w:rFonts w:ascii="Times New Roman" w:hAnsi="Times New Roman" w:cs="Times New Roman"/>
        </w:rPr>
        <w:t xml:space="preserve">-Yvette, France, </w:t>
      </w:r>
      <w:hyperlink r:id="rId11" w:history="1">
        <w:r w:rsidRPr="00E74377">
          <w:rPr>
            <w:rStyle w:val="Hyperlink"/>
            <w:rFonts w:ascii="Times New Roman" w:hAnsi="Times New Roman" w:cs="Times New Roman"/>
          </w:rPr>
          <w:t>nathalie.de-noblet@lsce.ipsl.fr</w:t>
        </w:r>
      </w:hyperlink>
    </w:p>
    <w:p w14:paraId="7EE52E7C"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Roberto Pilli</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Pr="00E74377">
        <w:rPr>
          <w:rFonts w:ascii="Times New Roman" w:hAnsi="Times New Roman" w:cs="Times New Roman"/>
          <w:lang w:val="it-IT"/>
        </w:rPr>
        <w:t>Roberto.Pilli@ec.europa.eu</w:t>
      </w:r>
    </w:p>
    <w:p w14:paraId="3935560A" w14:textId="77777777" w:rsidR="00DF2B9F" w:rsidRPr="00E74377" w:rsidRDefault="00DF2B9F" w:rsidP="00DF2B9F">
      <w:pPr>
        <w:numPr>
          <w:ilvl w:val="0"/>
          <w:numId w:val="2"/>
        </w:numPr>
        <w:rPr>
          <w:rFonts w:ascii="Times New Roman" w:hAnsi="Times New Roman" w:cs="Times New Roman"/>
          <w:bCs/>
        </w:rPr>
      </w:pPr>
      <w:r w:rsidRPr="00E74377">
        <w:rPr>
          <w:rFonts w:ascii="Times New Roman" w:hAnsi="Times New Roman" w:cs="Times New Roman"/>
          <w:lang w:val="it-IT"/>
        </w:rPr>
        <w:t>Matteo Vizzarri</w:t>
      </w:r>
      <w:r w:rsidRPr="00E74377">
        <w:rPr>
          <w:rFonts w:ascii="Times New Roman" w:hAnsi="Times New Roman" w:cs="Times New Roman"/>
          <w:bCs/>
        </w:rPr>
        <w:t xml:space="preserve">, European Commission, Joint Research Centre, 21027 </w:t>
      </w:r>
      <w:proofErr w:type="spellStart"/>
      <w:r w:rsidRPr="00E74377">
        <w:rPr>
          <w:rFonts w:ascii="Times New Roman" w:hAnsi="Times New Roman" w:cs="Times New Roman"/>
          <w:bCs/>
        </w:rPr>
        <w:t>Ispra</w:t>
      </w:r>
      <w:proofErr w:type="spellEnd"/>
      <w:r w:rsidRPr="00E74377">
        <w:rPr>
          <w:rFonts w:ascii="Times New Roman" w:hAnsi="Times New Roman" w:cs="Times New Roman"/>
          <w:bCs/>
        </w:rPr>
        <w:t xml:space="preserve"> (VA), Italy. </w:t>
      </w:r>
      <w:r w:rsidRPr="00E74377">
        <w:rPr>
          <w:rFonts w:ascii="Times New Roman" w:hAnsi="Times New Roman" w:cs="Times New Roman"/>
          <w:lang w:val="it-IT"/>
        </w:rPr>
        <w:t>Matteo.Vizzarri@ec.europa.eu</w:t>
      </w:r>
    </w:p>
    <w:p w14:paraId="4E329560" w14:textId="77777777" w:rsidR="00DF2B9F" w:rsidRPr="00E74377" w:rsidRDefault="00DF2B9F" w:rsidP="00DF2B9F">
      <w:pPr>
        <w:ind w:left="720"/>
        <w:rPr>
          <w:rFonts w:ascii="Times New Roman" w:hAnsi="Times New Roman" w:cs="Times New Roman"/>
        </w:rPr>
      </w:pPr>
    </w:p>
    <w:p w14:paraId="05995241" w14:textId="77777777" w:rsidR="00DF2B9F" w:rsidRPr="00E74377" w:rsidRDefault="00DF2B9F" w:rsidP="00DF2B9F">
      <w:pPr>
        <w:rPr>
          <w:rFonts w:ascii="Times New Roman" w:hAnsi="Times New Roman" w:cs="Times New Roman"/>
        </w:rPr>
      </w:pPr>
    </w:p>
    <w:p w14:paraId="65F53AF0" w14:textId="77777777" w:rsidR="00DF2B9F" w:rsidRPr="00E74377" w:rsidRDefault="00DF2B9F" w:rsidP="00DF2B9F">
      <w:pPr>
        <w:rPr>
          <w:rFonts w:ascii="Times New Roman" w:hAnsi="Times New Roman" w:cs="Times New Roman"/>
          <w:i/>
        </w:rPr>
      </w:pPr>
      <w:r w:rsidRPr="00E74377">
        <w:rPr>
          <w:rFonts w:ascii="Times New Roman" w:hAnsi="Times New Roman" w:cs="Times New Roman"/>
        </w:rPr>
        <w:t xml:space="preserve">* </w:t>
      </w:r>
      <w:proofErr w:type="gramStart"/>
      <w:r w:rsidRPr="00E74377">
        <w:rPr>
          <w:rFonts w:ascii="Times New Roman" w:hAnsi="Times New Roman" w:cs="Times New Roman"/>
        </w:rPr>
        <w:t>corresponding</w:t>
      </w:r>
      <w:proofErr w:type="gramEnd"/>
      <w:r w:rsidRPr="00E74377">
        <w:rPr>
          <w:rFonts w:ascii="Times New Roman" w:hAnsi="Times New Roman" w:cs="Times New Roman"/>
        </w:rPr>
        <w:t xml:space="preserve"> author</w:t>
      </w:r>
    </w:p>
    <w:p w14:paraId="0BE2F34A" w14:textId="77777777" w:rsidR="002C0440" w:rsidRDefault="002C0440" w:rsidP="00E4429E">
      <w:pPr>
        <w:spacing w:after="60" w:line="288" w:lineRule="auto"/>
        <w:rPr>
          <w:rFonts w:ascii="Times New Roman" w:hAnsi="Times New Roman" w:cs="Times New Roman"/>
          <w:sz w:val="22"/>
          <w:szCs w:val="22"/>
        </w:rPr>
      </w:pPr>
    </w:p>
    <w:p w14:paraId="1C9C1927" w14:textId="77777777" w:rsidR="00F45411" w:rsidRDefault="00F45411" w:rsidP="00E4429E">
      <w:pPr>
        <w:spacing w:after="60" w:line="288" w:lineRule="auto"/>
        <w:rPr>
          <w:rFonts w:ascii="Times New Roman" w:hAnsi="Times New Roman" w:cs="Times New Roman"/>
          <w:sz w:val="22"/>
          <w:szCs w:val="22"/>
        </w:rPr>
      </w:pPr>
    </w:p>
    <w:p w14:paraId="2B7DBAA5" w14:textId="77777777" w:rsidR="00E4429E" w:rsidRDefault="00E4429E">
      <w:pPr>
        <w:spacing w:after="160" w:line="259" w:lineRule="auto"/>
        <w:rPr>
          <w:rFonts w:ascii="Times New Roman" w:hAnsi="Times New Roman" w:cs="Times New Roman"/>
          <w:b/>
          <w:szCs w:val="22"/>
        </w:rPr>
      </w:pPr>
      <w:r>
        <w:rPr>
          <w:rFonts w:ascii="Times New Roman" w:hAnsi="Times New Roman" w:cs="Times New Roman"/>
          <w:b/>
          <w:szCs w:val="22"/>
        </w:rPr>
        <w:br w:type="page"/>
      </w:r>
    </w:p>
    <w:p w14:paraId="116E1EBE" w14:textId="77777777" w:rsidR="002C0440" w:rsidRPr="00ED08AC" w:rsidRDefault="0095304D" w:rsidP="00E4429E">
      <w:pPr>
        <w:spacing w:after="60" w:line="288" w:lineRule="auto"/>
        <w:rPr>
          <w:rFonts w:ascii="Times New Roman" w:hAnsi="Times New Roman" w:cs="Times New Roman"/>
          <w:b/>
          <w:szCs w:val="22"/>
        </w:rPr>
      </w:pPr>
      <w:r>
        <w:rPr>
          <w:rFonts w:ascii="Times New Roman" w:hAnsi="Times New Roman" w:cs="Times New Roman"/>
          <w:b/>
          <w:szCs w:val="22"/>
        </w:rPr>
        <w:lastRenderedPageBreak/>
        <w:t>S</w:t>
      </w:r>
      <w:r w:rsidR="002C0440">
        <w:rPr>
          <w:rFonts w:ascii="Times New Roman" w:hAnsi="Times New Roman" w:cs="Times New Roman"/>
          <w:b/>
          <w:szCs w:val="22"/>
        </w:rPr>
        <w:t xml:space="preserve">1. </w:t>
      </w:r>
      <w:r w:rsidR="002C0440" w:rsidRPr="00ED08AC">
        <w:rPr>
          <w:rFonts w:ascii="Times New Roman" w:hAnsi="Times New Roman" w:cs="Times New Roman"/>
          <w:b/>
          <w:szCs w:val="22"/>
        </w:rPr>
        <w:t xml:space="preserve">The </w:t>
      </w:r>
      <w:r w:rsidR="002C0440">
        <w:rPr>
          <w:rFonts w:ascii="Times New Roman" w:hAnsi="Times New Roman" w:cs="Times New Roman"/>
          <w:b/>
          <w:szCs w:val="22"/>
        </w:rPr>
        <w:t xml:space="preserve">global </w:t>
      </w:r>
      <w:r w:rsidR="002C0440" w:rsidRPr="00ED08AC">
        <w:rPr>
          <w:rFonts w:ascii="Times New Roman" w:hAnsi="Times New Roman" w:cs="Times New Roman"/>
          <w:b/>
          <w:szCs w:val="22"/>
        </w:rPr>
        <w:t>contribution of LULUCF to the climate pledges made in Paris</w:t>
      </w:r>
    </w:p>
    <w:p w14:paraId="489E077C" w14:textId="77777777" w:rsidR="002C0440" w:rsidRDefault="002C0440" w:rsidP="00E4429E">
      <w:pPr>
        <w:spacing w:after="60" w:line="288" w:lineRule="auto"/>
        <w:rPr>
          <w:rFonts w:ascii="Times New Roman" w:hAnsi="Times New Roman" w:cs="Times New Roman"/>
          <w:sz w:val="22"/>
          <w:szCs w:val="22"/>
        </w:rPr>
      </w:pPr>
    </w:p>
    <w:p w14:paraId="7191FD2E" w14:textId="77777777" w:rsidR="002C0440" w:rsidRPr="00455A23" w:rsidRDefault="002C0440" w:rsidP="00E4429E">
      <w:pPr>
        <w:spacing w:after="120" w:line="288" w:lineRule="auto"/>
        <w:rPr>
          <w:rFonts w:ascii="Times New Roman" w:hAnsi="Times New Roman" w:cs="Times New Roman"/>
        </w:rPr>
      </w:pPr>
      <w:r w:rsidRPr="00455A23">
        <w:rPr>
          <w:rFonts w:ascii="Times New Roman" w:hAnsi="Times New Roman" w:cs="Times New Roman"/>
        </w:rPr>
        <w:t>A comprehensive analysis of the global contribution of the Land Use, Land-Use Change and Forestry (LULUCF) sector to the countries’ climate pledges made at the Paris Climate Change Conference in December 2015</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"URL" : "https://www4.unfccc.int/sites/submissions/indc/Submission Pages/submissions.aspx", "author" : [ { "dropping-particle" : "", "family" : "UNFCCC", "given" : "", "non-dropping-particle" : "", "parse-names" : false, "suffix" : "" } ], "id" : "ITEM-1", "issued" : { "date-parts" : [ [ "0" ] ] }, "title" : "INDCs as communicated by Parties", "type" : "webpage" }, "uris" : [ "http://www.mendeley.com/documents/?uuid=d1e5d67f-8891-4b06-845b-245923087cc8" ] } ], "mendeley" : { "formattedCitation" : "&lt;sup&gt;1&lt;/sup&gt;", "plainTextFormattedCitation" : "1", "previouslyFormattedCitation" : "&lt;sup&gt;1&lt;/sup&gt;" }, "properties" : { "noteIndex" : 1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1</w:t>
      </w:r>
      <w:r w:rsidR="00B72D91">
        <w:rPr>
          <w:rFonts w:ascii="Times New Roman" w:hAnsi="Times New Roman" w:cs="Times New Roman"/>
        </w:rPr>
        <w:fldChar w:fldCharType="end"/>
      </w:r>
      <w:r w:rsidRPr="00455A23">
        <w:rPr>
          <w:rFonts w:ascii="Times New Roman" w:hAnsi="Times New Roman" w:cs="Times New Roman"/>
        </w:rPr>
        <w:t xml:space="preserve"> has been done by Grassi et al.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"10.1038/nclimate3227", "ISSN" : "1758-678X", "author" : [ { "dropping-particle" : "", "family" : "Grassi", "given" : "Giacomo", "non-dropping-particle" : "", "parse-names" : false, "suffix" : "" }, { "dropping-particle" : "", "family" : "House", "given" : "Jo", "non-dropping-particle" : "", "parse-names" : false, "suffix" : "" }, { "dropping-particle" : "", "family" : "Dentener", "given" : "Frank", "non-dropping-particle" : "", "parse-names" : false, "suffix" : "" }, { "dropping-particle" : "", "family" : "Federici", "given" : "Sandro", "non-dropping-particle" : "", "parse-names" : false, "suffix" : "" }, { "dropping-particle" : "", "family" : "Elzen", "given" : "Michel", "non-dropping-particle" : "den", "parse-names" : false, "suffix" : "" }, { "dropping-particle" : "", "family" : "Penman", "given" : "Jim", "non-dropping-particle" : "", "parse-names" : false, "suffix" : "" } ], "container-title" : "Nature Climate Change", "id" : "ITEM-1", "issue" : "3", "issued" : { "date-parts" : [ [ "2017", "3", "27" ] ] }, "page" : "220-226", "publisher" : "Nature Publishing Group", "title" : "The key role of forests in meeting climate targets requires science for credible mitigation", "type" : "article-journal", "volume" : "7" }, "uris" : [ "http://www.mendeley.com/documents/?uuid=40349598-98ea-4708-adb1-36a74624c23c" ] } ], "mendeley" : { "formattedCitation" : "&lt;sup&gt;2&lt;/sup&gt;", "plainTextFormattedCitation" : "2", "previouslyFormattedCitation" : "&lt;sup&gt;2&lt;/sup&gt;" }, "properties" : { "noteIndex" : 1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2</w:t>
      </w:r>
      <w:r w:rsidR="00B72D91">
        <w:rPr>
          <w:rFonts w:ascii="Times New Roman" w:hAnsi="Times New Roman" w:cs="Times New Roman"/>
        </w:rPr>
        <w:fldChar w:fldCharType="end"/>
      </w:r>
      <w:r w:rsidRPr="00455A23">
        <w:rPr>
          <w:rFonts w:ascii="Times New Roman" w:hAnsi="Times New Roman" w:cs="Times New Roman"/>
        </w:rPr>
        <w:t xml:space="preserve">. Another analysis, with broadly similar results, has been conducted by </w:t>
      </w:r>
      <w:proofErr w:type="spellStart"/>
      <w:r w:rsidRPr="00455A23">
        <w:rPr>
          <w:rFonts w:ascii="Times New Roman" w:hAnsi="Times New Roman" w:cs="Times New Roman"/>
        </w:rPr>
        <w:t>Forsell</w:t>
      </w:r>
      <w:proofErr w:type="spellEnd"/>
      <w:r w:rsidRPr="00455A23">
        <w:rPr>
          <w:rFonts w:ascii="Times New Roman" w:hAnsi="Times New Roman" w:cs="Times New Roman"/>
        </w:rPr>
        <w:t xml:space="preserve"> et al.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"10.1186/s13021-016-0068-3", "ISSN" : "1750-0680", "author" : [ { "dropping-particle" : "", "family" : "Forsell", "given" : "Nicklas", "non-dropping-particle" : "", "parse-names" : false, "suffix" : "" }, { "dropping-particle" : "", "family" : "Turkovska", "given" : "Olga", "non-dropping-particle" : "", "parse-names" : false, "suffix" : "" }, { "dropping-particle" : "", "family" : "Gusti", "given" : "Mykola", "non-dropping-particle" : "", "parse-names" : false, "suffix" : "" }, { "dropping-particle" : "", "family" : "Obersteiner", "given" : "Michael", "non-dropping-particle" : "", "parse-names" : false, "suffix" : "" }, { "dropping-particle" : "den", "family" : "Elzen", "given" : "Michel", "non-dropping-particle" : "", "parse-names" : false, "suffix" : "" }, { "dropping-particle" : "", "family" : "Havlik", "given" : "Petr", "non-dropping-particle" : "", "parse-names" : false, "suffix" : "" } ], "container-title" : "Carbon Balance and Management", "id" : "ITEM-1", "issue" : "1", "issued" : { "date-parts" : [ [ "2016", "12", "8" ] ] }, "page" : "26", "title" : "Assessing the INDCs\u2019 land use, land use change, and forest emission projections", "type" : "article-journal", "volume" : "11" }, "uris" : [ "http://www.mendeley.com/documents/?uuid=b82ca71a-d011-458a-8bbe-dd4bc0acf285" ] } ], "mendeley" : { "formattedCitation" : "&lt;sup&gt;3&lt;/sup&gt;", "plainTextFormattedCitation" : "3", "previouslyFormattedCitation" : "&lt;sup&gt;3&lt;/sup&gt;" }, "properties" : { "noteIndex" : 1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3</w:t>
      </w:r>
      <w:r w:rsidR="00B72D91">
        <w:rPr>
          <w:rFonts w:ascii="Times New Roman" w:hAnsi="Times New Roman" w:cs="Times New Roman"/>
        </w:rPr>
        <w:fldChar w:fldCharType="end"/>
      </w:r>
      <w:r w:rsidRPr="00455A23">
        <w:rPr>
          <w:rFonts w:ascii="Times New Roman" w:hAnsi="Times New Roman" w:cs="Times New Roman"/>
        </w:rPr>
        <w:t>.</w:t>
      </w:r>
    </w:p>
    <w:p w14:paraId="08AAC573" w14:textId="77777777" w:rsidR="002C0440" w:rsidRPr="00455A23" w:rsidRDefault="002C0440" w:rsidP="00E4429E">
      <w:pPr>
        <w:spacing w:after="60" w:line="288" w:lineRule="auto"/>
        <w:rPr>
          <w:rFonts w:ascii="Times New Roman" w:hAnsi="Times New Roman" w:cs="Times New Roman"/>
        </w:rPr>
      </w:pPr>
      <w:r w:rsidRPr="00455A23">
        <w:rPr>
          <w:rFonts w:ascii="Times New Roman" w:hAnsi="Times New Roman" w:cs="Times New Roman"/>
        </w:rPr>
        <w:t xml:space="preserve">The figure 1 in the main text, in combination with </w:t>
      </w:r>
      <w:r w:rsidR="0095304D">
        <w:rPr>
          <w:rFonts w:ascii="Times New Roman" w:hAnsi="Times New Roman" w:cs="Times New Roman"/>
        </w:rPr>
        <w:t>Additional</w:t>
      </w:r>
      <w:r w:rsidRPr="00455A23">
        <w:rPr>
          <w:rFonts w:ascii="Times New Roman" w:hAnsi="Times New Roman" w:cs="Times New Roman"/>
        </w:rPr>
        <w:t xml:space="preserve"> table </w:t>
      </w:r>
      <w:r w:rsidR="0095304D">
        <w:rPr>
          <w:rFonts w:ascii="Times New Roman" w:hAnsi="Times New Roman" w:cs="Times New Roman"/>
        </w:rPr>
        <w:t>S</w:t>
      </w:r>
      <w:r w:rsidRPr="00455A23">
        <w:rPr>
          <w:rFonts w:ascii="Times New Roman" w:hAnsi="Times New Roman" w:cs="Times New Roman"/>
        </w:rPr>
        <w:t xml:space="preserve">1 below, shows that globally LULUCF is expected to provide up to a quarter of </w:t>
      </w:r>
      <w:r>
        <w:rPr>
          <w:rFonts w:ascii="Times New Roman" w:hAnsi="Times New Roman" w:cs="Times New Roman"/>
        </w:rPr>
        <w:t xml:space="preserve">the </w:t>
      </w:r>
      <w:r w:rsidRPr="00ED08AC">
        <w:rPr>
          <w:rFonts w:ascii="Times New Roman" w:hAnsi="Times New Roman" w:cs="Times New Roman"/>
          <w:szCs w:val="22"/>
          <w:lang w:val="en-GB"/>
        </w:rPr>
        <w:t>greenhouse gas (</w:t>
      </w:r>
      <w:r>
        <w:rPr>
          <w:rFonts w:ascii="Times New Roman" w:hAnsi="Times New Roman" w:cs="Times New Roman"/>
        </w:rPr>
        <w:t xml:space="preserve">GHG) </w:t>
      </w:r>
      <w:r w:rsidRPr="00455A23">
        <w:rPr>
          <w:rFonts w:ascii="Times New Roman" w:hAnsi="Times New Roman" w:cs="Times New Roman"/>
        </w:rPr>
        <w:t>emission reductions planned by countries. Realizing and tracking this mitigation potential require more transparency in countries’ pledges and enhanced science-policy cooperation to increase confidence in numbers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"10.1038/nclimate3227", "ISSN" : "1758-678X", "author" : [ { "dropping-particle" : "", "family" : "Grassi", "given" : "Giacomo", "non-dropping-particle" : "", "parse-names" : false, "suffix" : "" }, { "dropping-particle" : "", "family" : "House", "given" : "Jo", "non-dropping-particle" : "", "parse-names" : false, "suffix" : "" }, { "dropping-particle" : "", "family" : "Dentener", "given" : "Frank", "non-dropping-particle" : "", "parse-names" : false, "suffix" : "" }, { "dropping-particle" : "", "family" : "Federici", "given" : "Sandro", "non-dropping-particle" : "", "parse-names" : false, "suffix" : "" }, { "dropping-particle" : "", "family" : "Elzen", "given" : "Michel", "non-dropping-particle" : "den", "parse-names" : false, "suffix" : "" }, { "dropping-particle" : "", "family" : "Penman", "given" : "Jim", "non-dropping-particle" : "", "parse-names" : false, "suffix" : "" } ], "container-title" : "Nature Climate Change", "id" : "ITEM-1", "issue" : "3", "issued" : { "date-parts" : [ [ "2017", "3", "27" ] ] }, "page" : "220-226", "publisher" : "Nature Publishing Group", "title" : "The key role of forests in meeting climate targets requires science for credible mitigation", "type" : "article-journal", "volume" : "7" }, "uris" : [ "http://www.mendeley.com/documents/?uuid=40349598-98ea-4708-adb1-36a74624c23c" ] }, { "id" : "ITEM-2", "itemData" : { "DOI" : "10.1038/s41558-018-0283-x", "ISSN" : "1758-678X", "abstract" : "Achieving the long-term temperature goal of the Paris Agreement requires forest-based mitigation. Collective progress towards this goal will be assessed by the Paris Agreement\u2019s Global stocktake. At present, there is a discrepancy of about 4 GtCO2 yr\u22121 in global anthropogenic net land-use emissions between global models (reflected in IPCC assessment reports) and aggregated national GHG inventories (under the UNFCCC). We show that a substantial part of this discrepancy (about 3.2 GtCO2 yr\u22121) can be explained by conceptual differences in anthropogenic forest sink estimation, related to the representation of environmental change impacts and the areas considered as managed. For a more credible tracking of collective progress under the Global stocktake, these conceptual differences between models and inventories need to be reconciled. We implement a new method of disaggregation of global land model results that allows greater comparability with GHG inventories. This provides a deeper understanding of model\u2013inventory differences, allowing more transparent analysis of forest-based mitigation and facilitating a more accurate Global stocktake.", "author" : [ { "dropping-particle" : "", "family" : "Grassi", "given" : "Giacomo", "non-dropping-particle" : "", "parse-names" : false, "suffix" : "" }, { "dropping-particle" : "", "family" : "House", "given" : "Jo", "non-dropping-particle" : "", "parse-names" : false, "suffix" : "" }, { "dropping-particle" : "", "family" : "Kurz", "given" : "Werner A", "non-dropping-particle" : "", "parse-names" : false, "suffix" : "" }, { "dropping-particle" : "", "family" : "Cescatti", "given" : "Alessandro", "non-dropping-particle" : "", "parse-names" : false, "suffix" : "" }, { "dropping-particle" : "", "family" : "Houghton", "given" : "Richard A", "non-dropping-particle" : "", "parse-names" : false, "suffix" : "" }, { "dropping-particle" : "", "family" : "Peters", "given" : "Glen P", "non-dropping-particle" : "", "parse-names" : false, "suffix" : "" }, { "dropping-particle" : "", "family" : "Sanz", "given" : "Maria J", "non-dropping-particle" : "", "parse-names" : false, "suffix" : "" }, { "dropping-particle" : "", "family" : "Vi\u00f1as", "given" : "Raul Abad", "non-dropping-particle" : "", "parse-names" : false, "suffix" : "" }, { "dropping-particle" : "", "family" : "Alkama", "given" : "Ramdane", "non-dropping-particle" : "", "parse-names" : false, "suffix" : "" }, { "dropping-particle" : "", "family" : "Arneth", "given" : "Almut", "non-dropping-particle" : "", "parse-names" : false, "suffix" : "" }, { "dropping-particle" : "", "family" : "Bondeau", "given" : "Alberte", "non-dropping-particle" : "", "parse-names" : false, "suffix" : "" }, { "dropping-particle" : "", "family" : "Dentener", "given" : "Frank", "non-dropping-particle" : "", "parse-names" : false, "suffix" : "" }, { "dropping-particle" : "", "family" : "Fader", "given" : "Marianela", "non-dropping-particle" : "", "parse-names" : false, "suffix" : "" }, { "dropping-particle" : "", "family" : "Federici", "given" : "Sandro", "non-dropping-particle" : "", "parse-names" : false, "suffix" : "" }, { "dropping-particle" : "", "family" : "Friedlingstein", "given" : "Pierre", "non-dropping-particle" : "", "parse-names" : false, "suffix" : "" }, { "dropping-particle" : "", "family" : "Jain", "given" : "Atul K", "non-dropping-particle" : "", "parse-names" : false, "suffix" : "" }, { "dropping-particle" : "", "family" : "Kato", "given" : "Etsushi", "non-dropping-particle" : "", "parse-names" : false, "suffix" : "" }, { "dropping-particle" : "", "family" : "Koven", "given" : "Charles D", "non-dropping-particle" : "", "parse-names" : false, "suffix" : "" }, { "dropping-particle" : "", "family" : "Lee", "given" : "Donna", "non-dropping-particle" : "", "parse-names" : false, "suffix" : "" }, { "dropping-particle" : "", "family" : "Nabel", "given" : "Julia E M S", "non-dropping-particle" : "", "parse-names" : false, "suffix" : "" }, { "dropping-particle" : "", "family" : "Nassikas", "given" : "Alexander A", "non-dropping-particle" : "", "parse-names" : false, "suffix" : "" }, { "dropping-particle" : "", "family" : "Perugini", "given" : "Lucia", "non-dropping-particle" : "", "parse-names" : false, "suffix" : "" }, { "dropping-particle" : "", "family" : "Rossi", "given" : "Simone", "non-dropping-particle" : "", "parse-names" : false, "suffix" : "" }, { "dropping-particle" : "", "family" : "Sitch", "given" : "Stephen", "non-dropping-particle" : "", "parse-names" : false, "suffix" : "" }, { "dropping-particle" : "", "family" : "Viovy", "given" : "Nicolas", "non-dropping-particle" : "", "parse-names" : false, "suffix" : "" }, { "dropping-particle" : "", "family" : "Wiltshire", "given" : "Andy", "non-dropping-particle" : "", "parse-names" : false, "suffix" : "" }, { "dropping-particle" : "", "family" : "Zaehle", "given" : "S\u00f6nke", "non-dropping-particle" : "", "parse-names" : false, "suffix" : "" } ], "container-title" : "Nature Climate Change", "id" : "ITEM-2", "issue" : "10", "issued" : { "date-parts" : [ [ "2018", "10", "24" ] ] }, "page" : "914-920", "title" : "Reconciling global-model estimates and country reporting of anthropogenic forest CO2 sinks", "type" : "article-journal", "volume" : "8" }, "uris" : [ "http://www.mendeley.com/documents/?uuid=0ab64bf5-0fed-44f2-b89c-1bc9c11e90d3" ] } ], "mendeley" : { "formattedCitation" : "&lt;sup&gt;2,4&lt;/sup&gt;", "plainTextFormattedCitation" : "2,4", "previouslyFormattedCitation" : "&lt;sup&gt;2,4&lt;/sup&gt;" }, "properties" : { "noteIndex" : 1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2,4</w:t>
      </w:r>
      <w:r w:rsidR="00B72D91">
        <w:rPr>
          <w:rFonts w:ascii="Times New Roman" w:hAnsi="Times New Roman" w:cs="Times New Roman"/>
        </w:rPr>
        <w:fldChar w:fldCharType="end"/>
      </w:r>
      <w:r w:rsidRPr="00455A23">
        <w:rPr>
          <w:rFonts w:ascii="Times New Roman" w:hAnsi="Times New Roman" w:cs="Times New Roman"/>
        </w:rPr>
        <w:t>. This global-level contribution mainly comes from the expected reduction of emissions from deforestation and forest degradation in Brazil and Indonesia.</w:t>
      </w:r>
    </w:p>
    <w:p w14:paraId="1A658A72" w14:textId="77777777" w:rsidR="002C0440" w:rsidRDefault="002C0440" w:rsidP="00E4429E">
      <w:pPr>
        <w:spacing w:after="60" w:line="288" w:lineRule="auto"/>
        <w:rPr>
          <w:rFonts w:ascii="Times New Roman" w:hAnsi="Times New Roman" w:cs="Times New Roman"/>
          <w:sz w:val="22"/>
          <w:szCs w:val="22"/>
        </w:rPr>
      </w:pPr>
    </w:p>
    <w:p w14:paraId="447CFDB2" w14:textId="77777777" w:rsidR="002C0440" w:rsidRDefault="002C0440" w:rsidP="00E4429E">
      <w:pPr>
        <w:spacing w:after="60" w:line="288" w:lineRule="auto"/>
        <w:rPr>
          <w:rFonts w:ascii="Times New Roman" w:hAnsi="Times New Roman" w:cs="Times New Roman"/>
          <w:sz w:val="22"/>
          <w:szCs w:val="22"/>
        </w:rPr>
      </w:pPr>
      <w:r>
        <w:rPr>
          <w:rFonts w:ascii="Times New Roman" w:hAnsi="Times New Roman" w:cs="Times New Roman"/>
          <w:b/>
          <w:sz w:val="22"/>
          <w:szCs w:val="22"/>
        </w:rPr>
        <w:t>Table</w:t>
      </w:r>
      <w:r w:rsidRPr="007966AA">
        <w:rPr>
          <w:rFonts w:ascii="Times New Roman" w:hAnsi="Times New Roman" w:cs="Times New Roman"/>
          <w:b/>
          <w:sz w:val="22"/>
          <w:szCs w:val="22"/>
        </w:rPr>
        <w:t xml:space="preserve"> </w:t>
      </w:r>
      <w:r w:rsidR="004D3925">
        <w:rPr>
          <w:rFonts w:ascii="Times New Roman" w:hAnsi="Times New Roman" w:cs="Times New Roman"/>
          <w:b/>
          <w:sz w:val="22"/>
          <w:szCs w:val="22"/>
        </w:rPr>
        <w:t>S</w:t>
      </w:r>
      <w:r w:rsidRPr="007966AA">
        <w:rPr>
          <w:rFonts w:ascii="Times New Roman" w:hAnsi="Times New Roman" w:cs="Times New Roman"/>
          <w:b/>
          <w:sz w:val="22"/>
          <w:szCs w:val="22"/>
        </w:rPr>
        <w:t>1.</w:t>
      </w:r>
      <w:r>
        <w:rPr>
          <w:rFonts w:ascii="Times New Roman" w:hAnsi="Times New Roman" w:cs="Times New Roman"/>
          <w:b/>
          <w:sz w:val="22"/>
          <w:szCs w:val="22"/>
        </w:rPr>
        <w:t xml:space="preserve"> </w:t>
      </w:r>
      <w:r w:rsidRPr="007966AA">
        <w:rPr>
          <w:rFonts w:ascii="Times New Roman" w:hAnsi="Times New Roman" w:cs="Times New Roman"/>
          <w:sz w:val="22"/>
          <w:szCs w:val="22"/>
        </w:rPr>
        <w:t>Information on Nationally Determined Contributions of the countries shown in Figure 1</w:t>
      </w:r>
      <w:r>
        <w:rPr>
          <w:rFonts w:ascii="Times New Roman" w:hAnsi="Times New Roman" w:cs="Times New Roman"/>
          <w:sz w:val="22"/>
          <w:szCs w:val="22"/>
        </w:rPr>
        <w:t>, based on Grassi et al.</w:t>
      </w:r>
      <w:r w:rsidR="00B72D91">
        <w:rPr>
          <w:rFonts w:ascii="Times New Roman" w:hAnsi="Times New Roman" w:cs="Times New Roman"/>
          <w:sz w:val="22"/>
          <w:szCs w:val="22"/>
        </w:rPr>
        <w:fldChar w:fldCharType="begin" w:fldLock="1"/>
      </w:r>
      <w:r w:rsidR="00370E0D">
        <w:rPr>
          <w:rFonts w:ascii="Times New Roman" w:hAnsi="Times New Roman" w:cs="Times New Roman"/>
          <w:sz w:val="22"/>
          <w:szCs w:val="22"/>
        </w:rPr>
        <w:instrText>ADDIN CSL_CITATION { "citationItems" : [ { "id" : "ITEM-1", "itemData" : { "DOI" : "10.1038/nclimate3227", "ISSN" : "1758-678X", "author" : [ { "dropping-particle" : "", "family" : "Grassi", "given" : "Giacomo", "non-dropping-particle" : "", "parse-names" : false, "suffix" : "" }, { "dropping-particle" : "", "family" : "House", "given" : "Jo", "non-dropping-particle" : "", "parse-names" : false, "suffix" : "" }, { "dropping-particle" : "", "family" : "Dentener", "given" : "Frank", "non-dropping-particle" : "", "parse-names" : false, "suffix" : "" }, { "dropping-particle" : "", "family" : "Federici", "given" : "Sandro", "non-dropping-particle" : "", "parse-names" : false, "suffix" : "" }, { "dropping-particle" : "", "family" : "Elzen", "given" : "Michel", "non-dropping-particle" : "den", "parse-names" : false, "suffix" : "" }, { "dropping-particle" : "", "family" : "Penman", "given" : "Jim", "non-dropping-particle" : "", "parse-names" : false, "suffix" : "" } ], "container-title" : "Nature Climate Change", "id" : "ITEM-1", "issue" : "3", "issued" : { "date-parts" : [ [ "2017", "3", "27" ] ] }, "page" : "220-226", "publisher" : "Nature Publishing Group", "title" : "The key role of forests in meeting climate targets requires science for credible mitigation", "type" : "article-journal", "volume" : "7" }, "uris" : [ "http://www.mendeley.com/documents/?uuid=40349598-98ea-4708-adb1-36a74624c23c" ] } ], "mendeley" : { "formattedCitation" : "&lt;sup&gt;2&lt;/sup&gt;", "plainTextFormattedCitation" : "2", "previouslyFormattedCitation" : "&lt;sup&gt;2&lt;/sup&gt;" }, "properties" : { "noteIndex" : 1 }, "schema" : "https://github.com/citation-style-language/schema/raw/master/csl-citation.json" }</w:instrText>
      </w:r>
      <w:r w:rsidR="00B72D91">
        <w:rPr>
          <w:rFonts w:ascii="Times New Roman" w:hAnsi="Times New Roman" w:cs="Times New Roman"/>
          <w:sz w:val="22"/>
          <w:szCs w:val="22"/>
        </w:rPr>
        <w:fldChar w:fldCharType="separate"/>
      </w:r>
      <w:r w:rsidR="009D195E" w:rsidRPr="009D195E">
        <w:rPr>
          <w:rFonts w:ascii="Times New Roman" w:hAnsi="Times New Roman" w:cs="Times New Roman"/>
          <w:noProof/>
          <w:sz w:val="22"/>
          <w:szCs w:val="22"/>
          <w:vertAlign w:val="superscript"/>
        </w:rPr>
        <w:t>2</w:t>
      </w:r>
      <w:r w:rsidR="00B72D91">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7966AA">
        <w:rPr>
          <w:rFonts w:ascii="Times New Roman" w:hAnsi="Times New Roman" w:cs="Times New Roman"/>
          <w:sz w:val="22"/>
          <w:szCs w:val="22"/>
        </w:rPr>
        <w:t>For further details, see Fig</w:t>
      </w:r>
      <w:r>
        <w:rPr>
          <w:rFonts w:ascii="Times New Roman" w:hAnsi="Times New Roman" w:cs="Times New Roman"/>
          <w:sz w:val="22"/>
          <w:szCs w:val="22"/>
        </w:rPr>
        <w:t>.</w:t>
      </w:r>
      <w:r w:rsidRPr="007966AA">
        <w:rPr>
          <w:rFonts w:ascii="Times New Roman" w:hAnsi="Times New Roman" w:cs="Times New Roman"/>
          <w:sz w:val="22"/>
          <w:szCs w:val="22"/>
        </w:rPr>
        <w:t xml:space="preserve"> 4b, supplementary sect</w:t>
      </w:r>
      <w:r>
        <w:rPr>
          <w:rFonts w:ascii="Times New Roman" w:hAnsi="Times New Roman" w:cs="Times New Roman"/>
          <w:sz w:val="22"/>
          <w:szCs w:val="22"/>
        </w:rPr>
        <w:t>ion 2 and supplementary Table 5 in Grassi et al.</w:t>
      </w:r>
      <w:r w:rsidR="00B72D91">
        <w:rPr>
          <w:rFonts w:ascii="Times New Roman" w:hAnsi="Times New Roman" w:cs="Times New Roman"/>
          <w:sz w:val="22"/>
          <w:szCs w:val="22"/>
        </w:rPr>
        <w:fldChar w:fldCharType="begin" w:fldLock="1"/>
      </w:r>
      <w:r w:rsidR="00370E0D">
        <w:rPr>
          <w:rFonts w:ascii="Times New Roman" w:hAnsi="Times New Roman" w:cs="Times New Roman"/>
          <w:sz w:val="22"/>
          <w:szCs w:val="22"/>
        </w:rPr>
        <w:instrText>ADDIN CSL_CITATION { "citationItems" : [ { "id" : "ITEM-1", "itemData" : { "DOI" : "10.1038/nclimate3227", "ISSN" : "1758-678X", "author" : [ { "dropping-particle" : "", "family" : "Grassi", "given" : "Giacomo", "non-dropping-particle" : "", "parse-names" : false, "suffix" : "" }, { "dropping-particle" : "", "family" : "House", "given" : "Jo", "non-dropping-particle" : "", "parse-names" : false, "suffix" : "" }, { "dropping-particle" : "", "family" : "Dentener", "given" : "Frank", "non-dropping-particle" : "", "parse-names" : false, "suffix" : "" }, { "dropping-particle" : "", "family" : "Federici", "given" : "Sandro", "non-dropping-particle" : "", "parse-names" : false, "suffix" : "" }, { "dropping-particle" : "", "family" : "Elzen", "given" : "Michel", "non-dropping-particle" : "den", "parse-names" : false, "suffix" : "" }, { "dropping-particle" : "", "family" : "Penman", "given" : "Jim", "non-dropping-particle" : "", "parse-names" : false, "suffix" : "" } ], "container-title" : "Nature Climate Change", "id" : "ITEM-1", "issue" : "3", "issued" : { "date-parts" : [ [ "2017", "3", "27" ] ] }, "page" : "220-226", "publisher" : "Nature Publishing Group", "title" : "The key role of forests in meeting climate targets requires science for credible mitigation", "type" : "article-journal", "volume" : "7" }, "uris" : [ "http://www.mendeley.com/documents/?uuid=40349598-98ea-4708-adb1-36a74624c23c" ] } ], "mendeley" : { "formattedCitation" : "&lt;sup&gt;2&lt;/sup&gt;", "plainTextFormattedCitation" : "2", "previouslyFormattedCitation" : "&lt;sup&gt;2&lt;/sup&gt;" }, "properties" : { "noteIndex" : 1 }, "schema" : "https://github.com/citation-style-language/schema/raw/master/csl-citation.json" }</w:instrText>
      </w:r>
      <w:r w:rsidR="00B72D91">
        <w:rPr>
          <w:rFonts w:ascii="Times New Roman" w:hAnsi="Times New Roman" w:cs="Times New Roman"/>
          <w:sz w:val="22"/>
          <w:szCs w:val="22"/>
        </w:rPr>
        <w:fldChar w:fldCharType="separate"/>
      </w:r>
      <w:r w:rsidR="009D195E" w:rsidRPr="009D195E">
        <w:rPr>
          <w:rFonts w:ascii="Times New Roman" w:hAnsi="Times New Roman" w:cs="Times New Roman"/>
          <w:noProof/>
          <w:sz w:val="22"/>
          <w:szCs w:val="22"/>
          <w:vertAlign w:val="superscript"/>
        </w:rPr>
        <w:t>2</w:t>
      </w:r>
      <w:r w:rsidR="00B72D91">
        <w:rPr>
          <w:rFonts w:ascii="Times New Roman" w:hAnsi="Times New Roman" w:cs="Times New Roman"/>
          <w:sz w:val="22"/>
          <w:szCs w:val="22"/>
        </w:rPr>
        <w:fldChar w:fldCharType="end"/>
      </w:r>
      <w:r>
        <w:rPr>
          <w:rFonts w:ascii="Times New Roman" w:hAnsi="Times New Roman" w:cs="Times New Roman"/>
          <w:sz w:val="22"/>
          <w:szCs w:val="22"/>
        </w:rPr>
        <w:t>.</w:t>
      </w:r>
    </w:p>
    <w:p w14:paraId="0A1D7E0B" w14:textId="77777777" w:rsidR="002C0440" w:rsidRDefault="002C0440" w:rsidP="00E4429E">
      <w:pPr>
        <w:spacing w:after="120" w:line="288" w:lineRule="auto"/>
        <w:rPr>
          <w:rFonts w:ascii="Times New Roman" w:hAnsi="Times New Roman" w:cs="Times New Roman"/>
        </w:rPr>
      </w:pPr>
    </w:p>
    <w:tbl>
      <w:tblPr>
        <w:tblW w:w="7921" w:type="dxa"/>
        <w:tblInd w:w="93" w:type="dxa"/>
        <w:tblBorders>
          <w:bottom w:val="single" w:sz="4" w:space="0" w:color="auto"/>
        </w:tblBorders>
        <w:tblLayout w:type="fixed"/>
        <w:tblLook w:val="04A0" w:firstRow="1" w:lastRow="0" w:firstColumn="1" w:lastColumn="0" w:noHBand="0" w:noVBand="1"/>
      </w:tblPr>
      <w:tblGrid>
        <w:gridCol w:w="1516"/>
        <w:gridCol w:w="1066"/>
        <w:gridCol w:w="1067"/>
        <w:gridCol w:w="1024"/>
        <w:gridCol w:w="812"/>
        <w:gridCol w:w="1012"/>
        <w:gridCol w:w="1424"/>
      </w:tblGrid>
      <w:tr w:rsidR="002C0440" w:rsidRPr="0086026E" w14:paraId="08BC739A" w14:textId="77777777" w:rsidTr="00CE790A">
        <w:trPr>
          <w:trHeight w:val="199"/>
        </w:trPr>
        <w:tc>
          <w:tcPr>
            <w:tcW w:w="1516" w:type="dxa"/>
            <w:vMerge w:val="restart"/>
            <w:tcBorders>
              <w:bottom w:val="single" w:sz="4" w:space="0" w:color="auto"/>
            </w:tcBorders>
            <w:shd w:val="clear" w:color="auto" w:fill="auto"/>
            <w:noWrap/>
            <w:vAlign w:val="center"/>
          </w:tcPr>
          <w:p w14:paraId="28792073" w14:textId="77777777" w:rsidR="002C0440" w:rsidRPr="0086026E" w:rsidRDefault="002C0440" w:rsidP="00E4429E">
            <w:pPr>
              <w:spacing w:line="288" w:lineRule="auto"/>
              <w:jc w:val="center"/>
              <w:rPr>
                <w:rFonts w:ascii="Arial Narrow" w:eastAsia="Times New Roman" w:hAnsi="Arial Narrow" w:cs="Times New Roman"/>
                <w:sz w:val="20"/>
              </w:rPr>
            </w:pPr>
            <w:r w:rsidRPr="0086026E">
              <w:rPr>
                <w:rFonts w:ascii="Arial Narrow" w:eastAsia="Times New Roman" w:hAnsi="Arial Narrow" w:cs="Times New Roman"/>
                <w:sz w:val="20"/>
                <w:szCs w:val="22"/>
              </w:rPr>
              <w:t> </w:t>
            </w:r>
          </w:p>
          <w:p w14:paraId="49DE94F3" w14:textId="77777777" w:rsidR="002C0440" w:rsidRPr="0086026E" w:rsidRDefault="002C0440" w:rsidP="00E4429E">
            <w:pPr>
              <w:spacing w:line="288" w:lineRule="auto"/>
              <w:jc w:val="center"/>
              <w:rPr>
                <w:rFonts w:ascii="Arial Narrow" w:eastAsia="Times New Roman" w:hAnsi="Arial Narrow" w:cs="Times New Roman"/>
                <w:sz w:val="20"/>
              </w:rPr>
            </w:pPr>
            <w:r w:rsidRPr="0086026E">
              <w:rPr>
                <w:rFonts w:ascii="Arial Narrow" w:eastAsia="Times New Roman" w:hAnsi="Arial Narrow" w:cs="Times New Roman"/>
                <w:sz w:val="20"/>
                <w:szCs w:val="22"/>
              </w:rPr>
              <w:t> </w:t>
            </w:r>
          </w:p>
        </w:tc>
        <w:tc>
          <w:tcPr>
            <w:tcW w:w="6403" w:type="dxa"/>
            <w:gridSpan w:val="6"/>
            <w:tcBorders>
              <w:bottom w:val="single" w:sz="4" w:space="0" w:color="auto"/>
            </w:tcBorders>
            <w:shd w:val="clear" w:color="auto" w:fill="auto"/>
            <w:noWrap/>
            <w:vAlign w:val="center"/>
          </w:tcPr>
          <w:p w14:paraId="7B04F874" w14:textId="77777777" w:rsidR="002C0440" w:rsidRPr="0086026E" w:rsidRDefault="002C0440" w:rsidP="00E4429E">
            <w:pPr>
              <w:spacing w:line="288" w:lineRule="auto"/>
              <w:jc w:val="center"/>
              <w:rPr>
                <w:rFonts w:ascii="Arial Narrow" w:eastAsia="Times New Roman" w:hAnsi="Arial Narrow" w:cs="Times New Roman"/>
                <w:b/>
                <w:sz w:val="20"/>
              </w:rPr>
            </w:pPr>
            <w:r w:rsidRPr="0086026E">
              <w:rPr>
                <w:rFonts w:ascii="Arial Narrow" w:eastAsia="Times New Roman" w:hAnsi="Arial Narrow" w:cs="Times New Roman"/>
                <w:b/>
                <w:sz w:val="20"/>
                <w:szCs w:val="22"/>
              </w:rPr>
              <w:t>Information from N</w:t>
            </w:r>
            <w:r>
              <w:rPr>
                <w:rFonts w:ascii="Arial Narrow" w:eastAsia="Times New Roman" w:hAnsi="Arial Narrow" w:cs="Times New Roman"/>
                <w:b/>
                <w:sz w:val="20"/>
                <w:szCs w:val="22"/>
              </w:rPr>
              <w:t>ationally Determined Contributions</w:t>
            </w:r>
          </w:p>
        </w:tc>
      </w:tr>
      <w:tr w:rsidR="002C0440" w:rsidRPr="0086026E" w14:paraId="5C7AEFA9" w14:textId="77777777" w:rsidTr="00CE790A">
        <w:trPr>
          <w:trHeight w:val="199"/>
        </w:trPr>
        <w:tc>
          <w:tcPr>
            <w:tcW w:w="1516" w:type="dxa"/>
            <w:vMerge/>
            <w:tcBorders>
              <w:top w:val="single" w:sz="4" w:space="0" w:color="auto"/>
            </w:tcBorders>
            <w:shd w:val="clear" w:color="auto" w:fill="auto"/>
            <w:noWrap/>
            <w:vAlign w:val="center"/>
            <w:hideMark/>
          </w:tcPr>
          <w:p w14:paraId="40AB9F5B" w14:textId="77777777" w:rsidR="002C0440" w:rsidRPr="0086026E" w:rsidRDefault="002C0440" w:rsidP="00E4429E">
            <w:pPr>
              <w:spacing w:line="288" w:lineRule="auto"/>
              <w:jc w:val="center"/>
              <w:rPr>
                <w:rFonts w:ascii="Arial Narrow" w:eastAsia="Times New Roman" w:hAnsi="Arial Narrow" w:cs="Times New Roman"/>
                <w:sz w:val="18"/>
              </w:rPr>
            </w:pPr>
          </w:p>
        </w:tc>
        <w:tc>
          <w:tcPr>
            <w:tcW w:w="2133" w:type="dxa"/>
            <w:gridSpan w:val="2"/>
            <w:tcBorders>
              <w:top w:val="single" w:sz="4" w:space="0" w:color="auto"/>
              <w:bottom w:val="single" w:sz="4" w:space="0" w:color="auto"/>
            </w:tcBorders>
            <w:shd w:val="clear" w:color="auto" w:fill="auto"/>
            <w:noWrap/>
            <w:vAlign w:val="center"/>
            <w:hideMark/>
          </w:tcPr>
          <w:p w14:paraId="130D39AE" w14:textId="77777777" w:rsidR="002C0440" w:rsidRPr="0086026E"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 xml:space="preserve">Reference </w:t>
            </w:r>
            <w:r>
              <w:rPr>
                <w:rFonts w:ascii="Arial Narrow" w:eastAsia="Times New Roman" w:hAnsi="Arial Narrow" w:cs="Times New Roman"/>
                <w:b/>
                <w:sz w:val="18"/>
                <w:szCs w:val="22"/>
              </w:rPr>
              <w:t xml:space="preserve">total </w:t>
            </w:r>
            <w:r w:rsidRPr="0086026E">
              <w:rPr>
                <w:rFonts w:ascii="Arial Narrow" w:eastAsia="Times New Roman" w:hAnsi="Arial Narrow" w:cs="Times New Roman"/>
                <w:b/>
                <w:sz w:val="18"/>
                <w:szCs w:val="22"/>
              </w:rPr>
              <w:t>GHG emissions</w:t>
            </w:r>
          </w:p>
        </w:tc>
        <w:tc>
          <w:tcPr>
            <w:tcW w:w="2847" w:type="dxa"/>
            <w:gridSpan w:val="3"/>
            <w:tcBorders>
              <w:top w:val="single" w:sz="4" w:space="0" w:color="auto"/>
              <w:bottom w:val="single" w:sz="4" w:space="0" w:color="auto"/>
            </w:tcBorders>
            <w:shd w:val="clear" w:color="auto" w:fill="auto"/>
            <w:noWrap/>
            <w:vAlign w:val="center"/>
            <w:hideMark/>
          </w:tcPr>
          <w:p w14:paraId="7D6A96F5" w14:textId="77777777" w:rsidR="002C0440" w:rsidRPr="0086026E"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 xml:space="preserve">Target </w:t>
            </w:r>
          </w:p>
        </w:tc>
        <w:tc>
          <w:tcPr>
            <w:tcW w:w="1424" w:type="dxa"/>
            <w:vMerge w:val="restart"/>
            <w:tcBorders>
              <w:top w:val="single" w:sz="4" w:space="0" w:color="auto"/>
              <w:bottom w:val="single" w:sz="4" w:space="0" w:color="auto"/>
            </w:tcBorders>
            <w:shd w:val="clear" w:color="auto" w:fill="auto"/>
            <w:vAlign w:val="center"/>
          </w:tcPr>
          <w:p w14:paraId="7D2E3188" w14:textId="77777777" w:rsidR="002C0440" w:rsidRPr="0086026E" w:rsidRDefault="002C0440" w:rsidP="00E4429E">
            <w:pPr>
              <w:spacing w:line="288" w:lineRule="auto"/>
              <w:jc w:val="center"/>
              <w:rPr>
                <w:rFonts w:ascii="Arial Narrow" w:eastAsia="Times New Roman" w:hAnsi="Arial Narrow" w:cs="Times New Roman"/>
                <w:b/>
                <w:sz w:val="18"/>
              </w:rPr>
            </w:pPr>
            <w:r>
              <w:rPr>
                <w:rFonts w:ascii="Arial Narrow" w:eastAsia="Times New Roman" w:hAnsi="Arial Narrow" w:cs="Times New Roman"/>
                <w:b/>
                <w:sz w:val="18"/>
                <w:szCs w:val="22"/>
              </w:rPr>
              <w:t>Planned total GHG e</w:t>
            </w:r>
            <w:r w:rsidRPr="0086026E">
              <w:rPr>
                <w:rFonts w:ascii="Arial Narrow" w:eastAsia="Times New Roman" w:hAnsi="Arial Narrow" w:cs="Times New Roman"/>
                <w:b/>
                <w:sz w:val="18"/>
                <w:szCs w:val="22"/>
              </w:rPr>
              <w:t>mission</w:t>
            </w:r>
            <w:r>
              <w:rPr>
                <w:rFonts w:ascii="Arial Narrow" w:eastAsia="Times New Roman" w:hAnsi="Arial Narrow" w:cs="Times New Roman"/>
                <w:b/>
                <w:sz w:val="18"/>
                <w:szCs w:val="22"/>
              </w:rPr>
              <w:t>s</w:t>
            </w:r>
            <w:r w:rsidRPr="0086026E">
              <w:rPr>
                <w:rFonts w:ascii="Arial Narrow" w:eastAsia="Times New Roman" w:hAnsi="Arial Narrow" w:cs="Times New Roman"/>
                <w:b/>
                <w:sz w:val="18"/>
                <w:szCs w:val="22"/>
              </w:rPr>
              <w:t xml:space="preserve"> reduction</w:t>
            </w:r>
          </w:p>
          <w:p w14:paraId="702F2A69" w14:textId="77777777" w:rsidR="002C0440" w:rsidRPr="0086026E"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Gt CO</w:t>
            </w:r>
            <w:r w:rsidRPr="007966AA">
              <w:rPr>
                <w:rFonts w:ascii="Arial Narrow" w:eastAsia="Times New Roman" w:hAnsi="Arial Narrow" w:cs="Times New Roman"/>
                <w:b/>
                <w:sz w:val="18"/>
                <w:szCs w:val="22"/>
                <w:vertAlign w:val="subscript"/>
              </w:rPr>
              <w:t>2</w:t>
            </w:r>
            <w:r w:rsidRPr="0086026E">
              <w:rPr>
                <w:rFonts w:ascii="Arial Narrow" w:eastAsia="Times New Roman" w:hAnsi="Arial Narrow" w:cs="Times New Roman"/>
                <w:b/>
                <w:sz w:val="18"/>
                <w:szCs w:val="22"/>
              </w:rPr>
              <w:t>/y</w:t>
            </w:r>
          </w:p>
        </w:tc>
      </w:tr>
      <w:tr w:rsidR="002C0440" w:rsidRPr="0086026E" w14:paraId="4D45B52A" w14:textId="77777777" w:rsidTr="00CE790A">
        <w:trPr>
          <w:trHeight w:val="199"/>
        </w:trPr>
        <w:tc>
          <w:tcPr>
            <w:tcW w:w="1516" w:type="dxa"/>
            <w:vMerge/>
            <w:shd w:val="clear" w:color="auto" w:fill="auto"/>
            <w:noWrap/>
            <w:vAlign w:val="center"/>
            <w:hideMark/>
          </w:tcPr>
          <w:p w14:paraId="7349076D" w14:textId="77777777" w:rsidR="002C0440" w:rsidRPr="0086026E" w:rsidRDefault="002C0440" w:rsidP="00E4429E">
            <w:pPr>
              <w:spacing w:line="288" w:lineRule="auto"/>
              <w:jc w:val="center"/>
              <w:rPr>
                <w:rFonts w:ascii="Arial Narrow" w:eastAsia="Times New Roman" w:hAnsi="Arial Narrow" w:cs="Times New Roman"/>
                <w:sz w:val="18"/>
              </w:rPr>
            </w:pPr>
          </w:p>
        </w:tc>
        <w:tc>
          <w:tcPr>
            <w:tcW w:w="1066" w:type="dxa"/>
            <w:tcBorders>
              <w:top w:val="single" w:sz="4" w:space="0" w:color="auto"/>
              <w:bottom w:val="single" w:sz="4" w:space="0" w:color="auto"/>
            </w:tcBorders>
            <w:shd w:val="clear" w:color="auto" w:fill="auto"/>
            <w:noWrap/>
            <w:vAlign w:val="center"/>
            <w:hideMark/>
          </w:tcPr>
          <w:p w14:paraId="53AEC30D" w14:textId="77777777" w:rsidR="002C0440" w:rsidRPr="0086026E"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year</w:t>
            </w:r>
          </w:p>
        </w:tc>
        <w:tc>
          <w:tcPr>
            <w:tcW w:w="1067" w:type="dxa"/>
            <w:tcBorders>
              <w:top w:val="single" w:sz="4" w:space="0" w:color="auto"/>
              <w:bottom w:val="single" w:sz="4" w:space="0" w:color="auto"/>
            </w:tcBorders>
            <w:shd w:val="clear" w:color="auto" w:fill="auto"/>
            <w:noWrap/>
            <w:vAlign w:val="center"/>
            <w:hideMark/>
          </w:tcPr>
          <w:p w14:paraId="727DBDA2" w14:textId="77777777" w:rsidR="002C0440" w:rsidRPr="0086026E"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Gt CO</w:t>
            </w:r>
            <w:r w:rsidRPr="007966AA">
              <w:rPr>
                <w:rFonts w:ascii="Arial Narrow" w:eastAsia="Times New Roman" w:hAnsi="Arial Narrow" w:cs="Times New Roman"/>
                <w:b/>
                <w:sz w:val="18"/>
                <w:szCs w:val="22"/>
                <w:vertAlign w:val="subscript"/>
              </w:rPr>
              <w:t>2</w:t>
            </w:r>
            <w:r w:rsidRPr="0086026E">
              <w:rPr>
                <w:rFonts w:ascii="Arial Narrow" w:eastAsia="Times New Roman" w:hAnsi="Arial Narrow" w:cs="Times New Roman"/>
                <w:b/>
                <w:sz w:val="18"/>
                <w:szCs w:val="22"/>
              </w:rPr>
              <w:t>/y</w:t>
            </w:r>
          </w:p>
        </w:tc>
        <w:tc>
          <w:tcPr>
            <w:tcW w:w="1024" w:type="dxa"/>
            <w:tcBorders>
              <w:top w:val="single" w:sz="4" w:space="0" w:color="auto"/>
              <w:bottom w:val="single" w:sz="4" w:space="0" w:color="auto"/>
            </w:tcBorders>
            <w:shd w:val="clear" w:color="auto" w:fill="auto"/>
            <w:noWrap/>
            <w:vAlign w:val="center"/>
            <w:hideMark/>
          </w:tcPr>
          <w:p w14:paraId="5CE0EFFA" w14:textId="77777777" w:rsidR="002C0440" w:rsidRPr="0086026E" w:rsidRDefault="002C0440" w:rsidP="00E4429E">
            <w:pPr>
              <w:spacing w:line="288" w:lineRule="auto"/>
              <w:ind w:hanging="12"/>
              <w:rPr>
                <w:rFonts w:ascii="Arial Narrow" w:eastAsia="Times New Roman" w:hAnsi="Arial Narrow" w:cs="Times New Roman"/>
                <w:b/>
                <w:sz w:val="18"/>
              </w:rPr>
            </w:pPr>
            <w:r>
              <w:rPr>
                <w:rFonts w:ascii="Arial Narrow" w:eastAsia="Times New Roman" w:hAnsi="Arial Narrow" w:cs="Times New Roman"/>
                <w:b/>
                <w:sz w:val="18"/>
                <w:szCs w:val="22"/>
              </w:rPr>
              <w:t xml:space="preserve">         </w:t>
            </w:r>
            <w:r w:rsidRPr="0086026E">
              <w:rPr>
                <w:rFonts w:ascii="Arial Narrow" w:eastAsia="Times New Roman" w:hAnsi="Arial Narrow" w:cs="Times New Roman"/>
                <w:b/>
                <w:sz w:val="18"/>
                <w:szCs w:val="22"/>
              </w:rPr>
              <w:t>year</w:t>
            </w:r>
          </w:p>
        </w:tc>
        <w:tc>
          <w:tcPr>
            <w:tcW w:w="1820" w:type="dxa"/>
            <w:gridSpan w:val="2"/>
            <w:tcBorders>
              <w:top w:val="single" w:sz="4" w:space="0" w:color="auto"/>
              <w:bottom w:val="single" w:sz="4" w:space="0" w:color="auto"/>
            </w:tcBorders>
            <w:shd w:val="clear" w:color="auto" w:fill="auto"/>
            <w:noWrap/>
            <w:vAlign w:val="center"/>
          </w:tcPr>
          <w:p w14:paraId="3C633B0A" w14:textId="77777777" w:rsidR="002C0440" w:rsidRDefault="002C0440" w:rsidP="00E4429E">
            <w:pPr>
              <w:spacing w:line="288" w:lineRule="auto"/>
              <w:jc w:val="center"/>
              <w:rPr>
                <w:rFonts w:ascii="Arial Narrow" w:eastAsia="Times New Roman" w:hAnsi="Arial Narrow" w:cs="Times New Roman"/>
                <w:b/>
                <w:sz w:val="18"/>
              </w:rPr>
            </w:pPr>
            <w:r w:rsidRPr="0086026E">
              <w:rPr>
                <w:rFonts w:ascii="Arial Narrow" w:eastAsia="Times New Roman" w:hAnsi="Arial Narrow" w:cs="Times New Roman"/>
                <w:b/>
                <w:sz w:val="18"/>
                <w:szCs w:val="22"/>
              </w:rPr>
              <w:t>Max</w:t>
            </w:r>
            <w:r>
              <w:rPr>
                <w:rFonts w:ascii="Arial Narrow" w:eastAsia="Times New Roman" w:hAnsi="Arial Narrow" w:cs="Times New Roman"/>
                <w:b/>
                <w:sz w:val="18"/>
                <w:szCs w:val="22"/>
              </w:rPr>
              <w:t xml:space="preserve"> reduction</w:t>
            </w:r>
          </w:p>
          <w:p w14:paraId="45DCB3B7" w14:textId="77777777" w:rsidR="002C0440" w:rsidRPr="00E23693" w:rsidRDefault="002C0440" w:rsidP="00E4429E">
            <w:pPr>
              <w:spacing w:line="288" w:lineRule="auto"/>
              <w:jc w:val="center"/>
              <w:rPr>
                <w:rFonts w:ascii="Arial Narrow" w:eastAsia="Times New Roman" w:hAnsi="Arial Narrow" w:cs="Times New Roman"/>
                <w:sz w:val="18"/>
              </w:rPr>
            </w:pPr>
            <w:r w:rsidRPr="00E23693">
              <w:rPr>
                <w:rFonts w:ascii="Arial Narrow" w:eastAsia="Times New Roman" w:hAnsi="Arial Narrow" w:cs="Times New Roman"/>
                <w:sz w:val="18"/>
                <w:szCs w:val="22"/>
              </w:rPr>
              <w:t>(relative to reference year)</w:t>
            </w:r>
          </w:p>
        </w:tc>
        <w:tc>
          <w:tcPr>
            <w:tcW w:w="1424" w:type="dxa"/>
            <w:vMerge/>
            <w:tcBorders>
              <w:top w:val="single" w:sz="4" w:space="0" w:color="auto"/>
            </w:tcBorders>
            <w:shd w:val="clear" w:color="auto" w:fill="auto"/>
            <w:noWrap/>
            <w:vAlign w:val="center"/>
            <w:hideMark/>
          </w:tcPr>
          <w:p w14:paraId="3EE75F74" w14:textId="77777777" w:rsidR="002C0440" w:rsidRPr="0086026E" w:rsidRDefault="002C0440" w:rsidP="00E4429E">
            <w:pPr>
              <w:spacing w:line="288" w:lineRule="auto"/>
              <w:jc w:val="center"/>
              <w:rPr>
                <w:rFonts w:ascii="Arial Narrow" w:eastAsia="Times New Roman" w:hAnsi="Arial Narrow" w:cs="Times New Roman"/>
                <w:b/>
                <w:sz w:val="18"/>
              </w:rPr>
            </w:pPr>
          </w:p>
        </w:tc>
      </w:tr>
      <w:tr w:rsidR="002C0440" w:rsidRPr="0086026E" w14:paraId="015F2047" w14:textId="77777777" w:rsidTr="00CE790A">
        <w:trPr>
          <w:trHeight w:val="251"/>
        </w:trPr>
        <w:tc>
          <w:tcPr>
            <w:tcW w:w="1516" w:type="dxa"/>
            <w:tcBorders>
              <w:bottom w:val="single" w:sz="4" w:space="0" w:color="auto"/>
            </w:tcBorders>
            <w:shd w:val="clear" w:color="auto" w:fill="auto"/>
            <w:noWrap/>
            <w:vAlign w:val="center"/>
            <w:hideMark/>
          </w:tcPr>
          <w:p w14:paraId="0643E5CD" w14:textId="77777777" w:rsidR="002C0440" w:rsidRPr="0086026E" w:rsidRDefault="002C0440" w:rsidP="00E4429E">
            <w:pPr>
              <w:spacing w:line="288" w:lineRule="auto"/>
              <w:jc w:val="center"/>
              <w:rPr>
                <w:rFonts w:ascii="Arial Narrow" w:eastAsia="Times New Roman" w:hAnsi="Arial Narrow" w:cs="Times New Roman"/>
                <w:b/>
                <w:bCs/>
                <w:sz w:val="18"/>
              </w:rPr>
            </w:pPr>
            <w:r w:rsidRPr="0086026E">
              <w:rPr>
                <w:rFonts w:ascii="Arial Narrow" w:eastAsia="Times New Roman" w:hAnsi="Arial Narrow" w:cs="Times New Roman"/>
                <w:b/>
                <w:bCs/>
                <w:sz w:val="18"/>
                <w:szCs w:val="22"/>
              </w:rPr>
              <w:t>Brazil</w:t>
            </w:r>
          </w:p>
        </w:tc>
        <w:tc>
          <w:tcPr>
            <w:tcW w:w="1066" w:type="dxa"/>
            <w:tcBorders>
              <w:top w:val="single" w:sz="4" w:space="0" w:color="auto"/>
              <w:bottom w:val="single" w:sz="4" w:space="0" w:color="auto"/>
            </w:tcBorders>
            <w:shd w:val="clear" w:color="auto" w:fill="auto"/>
            <w:noWrap/>
            <w:vAlign w:val="center"/>
            <w:hideMark/>
          </w:tcPr>
          <w:p w14:paraId="75D39F45" w14:textId="77777777" w:rsidR="002C0440" w:rsidRPr="0086026E" w:rsidRDefault="002C0440" w:rsidP="00E4429E">
            <w:pPr>
              <w:spacing w:line="288" w:lineRule="auto"/>
              <w:jc w:val="center"/>
              <w:rPr>
                <w:rFonts w:ascii="Arial Narrow" w:eastAsia="Times New Roman" w:hAnsi="Arial Narrow" w:cs="Times New Roman"/>
                <w:color w:val="000000"/>
                <w:sz w:val="18"/>
              </w:rPr>
            </w:pPr>
            <w:r w:rsidRPr="0086026E">
              <w:rPr>
                <w:rFonts w:ascii="Arial Narrow" w:eastAsia="Times New Roman" w:hAnsi="Arial Narrow" w:cs="Times New Roman"/>
                <w:color w:val="000000"/>
                <w:sz w:val="18"/>
                <w:szCs w:val="22"/>
              </w:rPr>
              <w:t>2005</w:t>
            </w:r>
          </w:p>
        </w:tc>
        <w:tc>
          <w:tcPr>
            <w:tcW w:w="1067" w:type="dxa"/>
            <w:tcBorders>
              <w:top w:val="single" w:sz="4" w:space="0" w:color="auto"/>
              <w:bottom w:val="single" w:sz="4" w:space="0" w:color="auto"/>
            </w:tcBorders>
            <w:shd w:val="clear" w:color="auto" w:fill="auto"/>
            <w:noWrap/>
            <w:vAlign w:val="center"/>
            <w:hideMark/>
          </w:tcPr>
          <w:p w14:paraId="529203F0" w14:textId="77777777" w:rsidR="002C0440" w:rsidRPr="0086026E" w:rsidRDefault="002C0440" w:rsidP="00E4429E">
            <w:pPr>
              <w:spacing w:line="288" w:lineRule="auto"/>
              <w:jc w:val="center"/>
              <w:rPr>
                <w:rFonts w:ascii="Arial Narrow" w:eastAsia="Times New Roman" w:hAnsi="Arial Narrow" w:cs="Times New Roman"/>
                <w:color w:val="000000"/>
                <w:sz w:val="18"/>
              </w:rPr>
            </w:pPr>
            <w:r w:rsidRPr="0086026E">
              <w:rPr>
                <w:rFonts w:ascii="Arial Narrow" w:eastAsia="Times New Roman" w:hAnsi="Arial Narrow" w:cs="Times New Roman"/>
                <w:color w:val="000000"/>
                <w:sz w:val="18"/>
                <w:szCs w:val="22"/>
              </w:rPr>
              <w:t>2.1</w:t>
            </w:r>
          </w:p>
        </w:tc>
        <w:tc>
          <w:tcPr>
            <w:tcW w:w="1024" w:type="dxa"/>
            <w:tcBorders>
              <w:top w:val="single" w:sz="4" w:space="0" w:color="auto"/>
              <w:bottom w:val="single" w:sz="4" w:space="0" w:color="auto"/>
            </w:tcBorders>
            <w:shd w:val="clear" w:color="auto" w:fill="auto"/>
            <w:noWrap/>
            <w:vAlign w:val="center"/>
            <w:hideMark/>
          </w:tcPr>
          <w:p w14:paraId="46AE015A" w14:textId="77777777" w:rsidR="002C0440" w:rsidRPr="0086026E" w:rsidRDefault="002C0440" w:rsidP="00E4429E">
            <w:pPr>
              <w:spacing w:line="288" w:lineRule="auto"/>
              <w:jc w:val="center"/>
              <w:rPr>
                <w:rFonts w:ascii="Arial Narrow" w:eastAsia="Times New Roman" w:hAnsi="Arial Narrow" w:cs="Times New Roman"/>
                <w:color w:val="000000"/>
                <w:sz w:val="18"/>
              </w:rPr>
            </w:pPr>
            <w:r>
              <w:rPr>
                <w:rFonts w:ascii="Arial Narrow" w:eastAsia="Times New Roman" w:hAnsi="Arial Narrow" w:cs="Times New Roman"/>
                <w:sz w:val="18"/>
                <w:szCs w:val="22"/>
              </w:rPr>
              <w:t xml:space="preserve">     </w:t>
            </w:r>
            <w:r w:rsidRPr="0086026E">
              <w:rPr>
                <w:rFonts w:ascii="Arial Narrow" w:eastAsia="Times New Roman" w:hAnsi="Arial Narrow" w:cs="Times New Roman"/>
                <w:sz w:val="18"/>
                <w:szCs w:val="22"/>
              </w:rPr>
              <w:t>2030</w:t>
            </w:r>
          </w:p>
        </w:tc>
        <w:tc>
          <w:tcPr>
            <w:tcW w:w="1820" w:type="dxa"/>
            <w:gridSpan w:val="2"/>
            <w:tcBorders>
              <w:top w:val="single" w:sz="4" w:space="0" w:color="auto"/>
              <w:bottom w:val="single" w:sz="4" w:space="0" w:color="auto"/>
            </w:tcBorders>
            <w:shd w:val="clear" w:color="auto" w:fill="auto"/>
            <w:noWrap/>
            <w:vAlign w:val="center"/>
          </w:tcPr>
          <w:p w14:paraId="1C76BA81"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color w:val="000000"/>
                <w:sz w:val="18"/>
                <w:szCs w:val="22"/>
              </w:rPr>
              <w:t>-43%</w:t>
            </w:r>
          </w:p>
        </w:tc>
        <w:tc>
          <w:tcPr>
            <w:tcW w:w="1424" w:type="dxa"/>
            <w:tcBorders>
              <w:top w:val="single" w:sz="4" w:space="0" w:color="auto"/>
              <w:bottom w:val="single" w:sz="4" w:space="0" w:color="auto"/>
            </w:tcBorders>
            <w:shd w:val="clear" w:color="auto" w:fill="auto"/>
            <w:noWrap/>
            <w:vAlign w:val="center"/>
            <w:hideMark/>
          </w:tcPr>
          <w:p w14:paraId="11DDB46B"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-0.9</w:t>
            </w:r>
          </w:p>
        </w:tc>
      </w:tr>
      <w:tr w:rsidR="002C0440" w:rsidRPr="0086026E" w14:paraId="6C718575" w14:textId="77777777" w:rsidTr="00CE790A">
        <w:trPr>
          <w:trHeight w:val="251"/>
        </w:trPr>
        <w:tc>
          <w:tcPr>
            <w:tcW w:w="1516" w:type="dxa"/>
            <w:tcBorders>
              <w:top w:val="single" w:sz="4" w:space="0" w:color="auto"/>
              <w:bottom w:val="single" w:sz="4" w:space="0" w:color="auto"/>
            </w:tcBorders>
            <w:shd w:val="clear" w:color="auto" w:fill="auto"/>
            <w:noWrap/>
            <w:vAlign w:val="center"/>
            <w:hideMark/>
          </w:tcPr>
          <w:p w14:paraId="3965E822" w14:textId="77777777" w:rsidR="002C0440" w:rsidRPr="0086026E" w:rsidRDefault="002C0440" w:rsidP="00E4429E">
            <w:pPr>
              <w:spacing w:line="288" w:lineRule="auto"/>
              <w:jc w:val="center"/>
              <w:rPr>
                <w:rFonts w:ascii="Arial Narrow" w:eastAsia="Times New Roman" w:hAnsi="Arial Narrow" w:cs="Times New Roman"/>
                <w:b/>
                <w:bCs/>
                <w:sz w:val="18"/>
              </w:rPr>
            </w:pPr>
            <w:r w:rsidRPr="0086026E">
              <w:rPr>
                <w:rFonts w:ascii="Arial Narrow" w:eastAsia="Times New Roman" w:hAnsi="Arial Narrow" w:cs="Times New Roman"/>
                <w:b/>
                <w:bCs/>
                <w:sz w:val="18"/>
                <w:szCs w:val="22"/>
              </w:rPr>
              <w:t>Indonesia</w:t>
            </w:r>
          </w:p>
        </w:tc>
        <w:tc>
          <w:tcPr>
            <w:tcW w:w="1066" w:type="dxa"/>
            <w:tcBorders>
              <w:top w:val="single" w:sz="4" w:space="0" w:color="auto"/>
              <w:bottom w:val="single" w:sz="4" w:space="0" w:color="auto"/>
            </w:tcBorders>
            <w:shd w:val="clear" w:color="auto" w:fill="auto"/>
            <w:noWrap/>
            <w:vAlign w:val="center"/>
            <w:hideMark/>
          </w:tcPr>
          <w:p w14:paraId="15873DDE" w14:textId="77777777" w:rsidR="002C0440" w:rsidRPr="0086026E" w:rsidRDefault="002C0440" w:rsidP="00E4429E">
            <w:pPr>
              <w:spacing w:line="288" w:lineRule="auto"/>
              <w:jc w:val="center"/>
              <w:rPr>
                <w:rFonts w:ascii="Arial Narrow" w:eastAsia="Times New Roman" w:hAnsi="Arial Narrow" w:cs="Times New Roman"/>
                <w:color w:val="000000"/>
                <w:sz w:val="18"/>
              </w:rPr>
            </w:pPr>
            <w:r>
              <w:rPr>
                <w:rFonts w:ascii="Arial Narrow" w:eastAsia="Times New Roman" w:hAnsi="Arial Narrow" w:cs="Times New Roman"/>
                <w:color w:val="000000"/>
                <w:sz w:val="18"/>
                <w:szCs w:val="22"/>
              </w:rPr>
              <w:t>BAU</w:t>
            </w:r>
            <w:r w:rsidRPr="0086026E">
              <w:rPr>
                <w:rFonts w:ascii="Arial Narrow" w:eastAsia="Times New Roman" w:hAnsi="Arial Narrow" w:cs="Times New Roman"/>
                <w:color w:val="000000"/>
                <w:sz w:val="18"/>
                <w:szCs w:val="22"/>
              </w:rPr>
              <w:t xml:space="preserve"> 2030</w:t>
            </w:r>
          </w:p>
        </w:tc>
        <w:tc>
          <w:tcPr>
            <w:tcW w:w="1067" w:type="dxa"/>
            <w:tcBorders>
              <w:top w:val="single" w:sz="4" w:space="0" w:color="auto"/>
              <w:bottom w:val="single" w:sz="4" w:space="0" w:color="auto"/>
            </w:tcBorders>
            <w:shd w:val="clear" w:color="auto" w:fill="auto"/>
            <w:noWrap/>
            <w:vAlign w:val="center"/>
            <w:hideMark/>
          </w:tcPr>
          <w:p w14:paraId="005D209B"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2.9</w:t>
            </w:r>
          </w:p>
        </w:tc>
        <w:tc>
          <w:tcPr>
            <w:tcW w:w="1024" w:type="dxa"/>
            <w:tcBorders>
              <w:top w:val="single" w:sz="4" w:space="0" w:color="auto"/>
              <w:bottom w:val="single" w:sz="4" w:space="0" w:color="auto"/>
            </w:tcBorders>
            <w:shd w:val="clear" w:color="auto" w:fill="auto"/>
            <w:noWrap/>
            <w:vAlign w:val="center"/>
            <w:hideMark/>
          </w:tcPr>
          <w:p w14:paraId="0FB87B35" w14:textId="77777777" w:rsidR="002C0440" w:rsidRPr="0086026E" w:rsidRDefault="002C0440" w:rsidP="00E4429E">
            <w:pPr>
              <w:spacing w:line="288" w:lineRule="auto"/>
              <w:jc w:val="center"/>
              <w:rPr>
                <w:rFonts w:ascii="Arial Narrow" w:eastAsia="Times New Roman" w:hAnsi="Arial Narrow" w:cs="Times New Roman"/>
                <w:sz w:val="18"/>
              </w:rPr>
            </w:pPr>
            <w:r>
              <w:rPr>
                <w:rFonts w:ascii="Arial Narrow" w:eastAsia="Times New Roman" w:hAnsi="Arial Narrow" w:cs="Times New Roman"/>
                <w:sz w:val="18"/>
                <w:szCs w:val="22"/>
              </w:rPr>
              <w:t xml:space="preserve">     </w:t>
            </w:r>
            <w:r w:rsidRPr="0086026E">
              <w:rPr>
                <w:rFonts w:ascii="Arial Narrow" w:eastAsia="Times New Roman" w:hAnsi="Arial Narrow" w:cs="Times New Roman"/>
                <w:sz w:val="18"/>
                <w:szCs w:val="22"/>
              </w:rPr>
              <w:t>2030</w:t>
            </w:r>
          </w:p>
        </w:tc>
        <w:tc>
          <w:tcPr>
            <w:tcW w:w="1820" w:type="dxa"/>
            <w:gridSpan w:val="2"/>
            <w:tcBorders>
              <w:top w:val="single" w:sz="4" w:space="0" w:color="auto"/>
              <w:bottom w:val="single" w:sz="4" w:space="0" w:color="auto"/>
            </w:tcBorders>
            <w:shd w:val="clear" w:color="auto" w:fill="auto"/>
            <w:noWrap/>
            <w:vAlign w:val="center"/>
          </w:tcPr>
          <w:p w14:paraId="335B49C4"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-41%</w:t>
            </w:r>
          </w:p>
        </w:tc>
        <w:tc>
          <w:tcPr>
            <w:tcW w:w="1424" w:type="dxa"/>
            <w:tcBorders>
              <w:top w:val="single" w:sz="4" w:space="0" w:color="auto"/>
              <w:bottom w:val="single" w:sz="4" w:space="0" w:color="auto"/>
            </w:tcBorders>
            <w:shd w:val="clear" w:color="auto" w:fill="auto"/>
            <w:noWrap/>
            <w:vAlign w:val="center"/>
            <w:hideMark/>
          </w:tcPr>
          <w:p w14:paraId="5029BE2C"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-1.2</w:t>
            </w:r>
          </w:p>
        </w:tc>
      </w:tr>
      <w:tr w:rsidR="002C0440" w:rsidRPr="0086026E" w14:paraId="54DE0EB8" w14:textId="77777777" w:rsidTr="00CE790A">
        <w:trPr>
          <w:trHeight w:val="263"/>
        </w:trPr>
        <w:tc>
          <w:tcPr>
            <w:tcW w:w="1516" w:type="dxa"/>
            <w:tcBorders>
              <w:top w:val="single" w:sz="4" w:space="0" w:color="auto"/>
              <w:bottom w:val="single" w:sz="4" w:space="0" w:color="auto"/>
            </w:tcBorders>
            <w:shd w:val="clear" w:color="auto" w:fill="auto"/>
            <w:noWrap/>
            <w:vAlign w:val="center"/>
            <w:hideMark/>
          </w:tcPr>
          <w:p w14:paraId="5A19D3C9" w14:textId="77777777" w:rsidR="002C0440" w:rsidRPr="0086026E" w:rsidRDefault="002C0440" w:rsidP="00E4429E">
            <w:pPr>
              <w:spacing w:line="288" w:lineRule="auto"/>
              <w:jc w:val="center"/>
              <w:rPr>
                <w:rFonts w:ascii="Arial Narrow" w:eastAsia="Times New Roman" w:hAnsi="Arial Narrow" w:cs="Times New Roman"/>
                <w:b/>
                <w:bCs/>
                <w:sz w:val="18"/>
              </w:rPr>
            </w:pPr>
            <w:r w:rsidRPr="0086026E">
              <w:rPr>
                <w:rFonts w:ascii="Arial Narrow" w:eastAsia="Times New Roman" w:hAnsi="Arial Narrow" w:cs="Times New Roman"/>
                <w:b/>
                <w:bCs/>
                <w:sz w:val="18"/>
                <w:szCs w:val="22"/>
              </w:rPr>
              <w:t>Russia</w:t>
            </w:r>
          </w:p>
        </w:tc>
        <w:tc>
          <w:tcPr>
            <w:tcW w:w="1066" w:type="dxa"/>
            <w:tcBorders>
              <w:top w:val="single" w:sz="4" w:space="0" w:color="auto"/>
              <w:bottom w:val="single" w:sz="4" w:space="0" w:color="auto"/>
            </w:tcBorders>
            <w:shd w:val="clear" w:color="auto" w:fill="auto"/>
            <w:noWrap/>
            <w:vAlign w:val="center"/>
            <w:hideMark/>
          </w:tcPr>
          <w:p w14:paraId="2BDEB0A5" w14:textId="77777777" w:rsidR="002C0440" w:rsidRPr="0086026E" w:rsidRDefault="002C0440" w:rsidP="00E4429E">
            <w:pPr>
              <w:spacing w:line="288" w:lineRule="auto"/>
              <w:jc w:val="center"/>
              <w:rPr>
                <w:rFonts w:ascii="Arial Narrow" w:eastAsia="Times New Roman" w:hAnsi="Arial Narrow" w:cs="Times New Roman"/>
                <w:color w:val="000000"/>
                <w:sz w:val="18"/>
              </w:rPr>
            </w:pPr>
            <w:r w:rsidRPr="0086026E">
              <w:rPr>
                <w:rFonts w:ascii="Arial Narrow" w:eastAsia="Times New Roman" w:hAnsi="Arial Narrow" w:cs="Times New Roman"/>
                <w:color w:val="000000"/>
                <w:sz w:val="18"/>
                <w:szCs w:val="22"/>
              </w:rPr>
              <w:t>1990</w:t>
            </w:r>
          </w:p>
        </w:tc>
        <w:tc>
          <w:tcPr>
            <w:tcW w:w="1067" w:type="dxa"/>
            <w:tcBorders>
              <w:top w:val="single" w:sz="4" w:space="0" w:color="auto"/>
              <w:bottom w:val="single" w:sz="4" w:space="0" w:color="auto"/>
            </w:tcBorders>
            <w:shd w:val="clear" w:color="auto" w:fill="auto"/>
            <w:noWrap/>
            <w:vAlign w:val="center"/>
            <w:hideMark/>
          </w:tcPr>
          <w:p w14:paraId="192B6FA1"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3.9</w:t>
            </w:r>
          </w:p>
        </w:tc>
        <w:tc>
          <w:tcPr>
            <w:tcW w:w="1024" w:type="dxa"/>
            <w:tcBorders>
              <w:top w:val="single" w:sz="4" w:space="0" w:color="auto"/>
              <w:bottom w:val="single" w:sz="4" w:space="0" w:color="auto"/>
            </w:tcBorders>
            <w:shd w:val="clear" w:color="auto" w:fill="auto"/>
            <w:noWrap/>
            <w:vAlign w:val="center"/>
            <w:hideMark/>
          </w:tcPr>
          <w:p w14:paraId="3266241E" w14:textId="77777777" w:rsidR="002C0440" w:rsidRPr="0086026E" w:rsidRDefault="002C0440" w:rsidP="00E4429E">
            <w:pPr>
              <w:spacing w:line="288" w:lineRule="auto"/>
              <w:jc w:val="center"/>
              <w:rPr>
                <w:rFonts w:ascii="Arial Narrow" w:eastAsia="Times New Roman" w:hAnsi="Arial Narrow" w:cs="Times New Roman"/>
                <w:sz w:val="18"/>
              </w:rPr>
            </w:pPr>
            <w:r>
              <w:rPr>
                <w:rFonts w:ascii="Arial Narrow" w:eastAsia="Times New Roman" w:hAnsi="Arial Narrow" w:cs="Times New Roman"/>
                <w:sz w:val="18"/>
                <w:szCs w:val="22"/>
              </w:rPr>
              <w:t xml:space="preserve">     </w:t>
            </w:r>
            <w:r w:rsidRPr="0086026E">
              <w:rPr>
                <w:rFonts w:ascii="Arial Narrow" w:eastAsia="Times New Roman" w:hAnsi="Arial Narrow" w:cs="Times New Roman"/>
                <w:sz w:val="18"/>
                <w:szCs w:val="22"/>
              </w:rPr>
              <w:t>2030</w:t>
            </w:r>
          </w:p>
        </w:tc>
        <w:tc>
          <w:tcPr>
            <w:tcW w:w="1820" w:type="dxa"/>
            <w:gridSpan w:val="2"/>
            <w:tcBorders>
              <w:top w:val="single" w:sz="4" w:space="0" w:color="auto"/>
              <w:bottom w:val="single" w:sz="4" w:space="0" w:color="auto"/>
            </w:tcBorders>
            <w:shd w:val="clear" w:color="auto" w:fill="auto"/>
            <w:noWrap/>
            <w:vAlign w:val="center"/>
          </w:tcPr>
          <w:p w14:paraId="13846852" w14:textId="77777777" w:rsidR="002C0440" w:rsidRPr="0086026E" w:rsidRDefault="002C0440" w:rsidP="00E4429E">
            <w:pPr>
              <w:spacing w:line="288" w:lineRule="auto"/>
              <w:jc w:val="center"/>
              <w:rPr>
                <w:rFonts w:ascii="Arial Narrow" w:eastAsia="Times New Roman" w:hAnsi="Arial Narrow" w:cs="Times New Roman"/>
                <w:sz w:val="18"/>
              </w:rPr>
            </w:pPr>
            <w:r w:rsidRPr="0086026E">
              <w:rPr>
                <w:rFonts w:ascii="Arial Narrow" w:eastAsia="Times New Roman" w:hAnsi="Arial Narrow" w:cs="Times New Roman"/>
                <w:sz w:val="18"/>
                <w:szCs w:val="22"/>
              </w:rPr>
              <w:t>-30%</w:t>
            </w:r>
          </w:p>
        </w:tc>
        <w:tc>
          <w:tcPr>
            <w:tcW w:w="1424" w:type="dxa"/>
            <w:tcBorders>
              <w:top w:val="single" w:sz="4" w:space="0" w:color="auto"/>
              <w:bottom w:val="single" w:sz="4" w:space="0" w:color="auto"/>
            </w:tcBorders>
            <w:shd w:val="clear" w:color="auto" w:fill="auto"/>
            <w:noWrap/>
            <w:vAlign w:val="center"/>
            <w:hideMark/>
          </w:tcPr>
          <w:p w14:paraId="59A2C7F6" w14:textId="77777777" w:rsidR="002C0440" w:rsidRPr="0086026E" w:rsidRDefault="002C0440" w:rsidP="00E4429E">
            <w:pPr>
              <w:spacing w:line="288" w:lineRule="auto"/>
              <w:jc w:val="center"/>
              <w:rPr>
                <w:rFonts w:ascii="Arial Narrow" w:eastAsia="Times New Roman" w:hAnsi="Arial Narrow" w:cs="Times New Roman"/>
                <w:sz w:val="18"/>
              </w:rPr>
            </w:pPr>
            <w:r>
              <w:rPr>
                <w:rFonts w:ascii="Arial Narrow" w:eastAsia="Times New Roman" w:hAnsi="Arial Narrow" w:cs="Times New Roman"/>
                <w:sz w:val="18"/>
                <w:szCs w:val="22"/>
              </w:rPr>
              <w:t>-1.2</w:t>
            </w:r>
          </w:p>
        </w:tc>
      </w:tr>
      <w:tr w:rsidR="002C0440" w:rsidRPr="0086026E" w14:paraId="64DAD51D" w14:textId="77777777" w:rsidTr="00CE790A">
        <w:trPr>
          <w:trHeight w:val="263"/>
        </w:trPr>
        <w:tc>
          <w:tcPr>
            <w:tcW w:w="1516" w:type="dxa"/>
            <w:tcBorders>
              <w:top w:val="single" w:sz="4" w:space="0" w:color="auto"/>
              <w:bottom w:val="single" w:sz="4" w:space="0" w:color="auto"/>
            </w:tcBorders>
            <w:shd w:val="clear" w:color="auto" w:fill="auto"/>
            <w:noWrap/>
            <w:vAlign w:val="center"/>
            <w:hideMark/>
          </w:tcPr>
          <w:p w14:paraId="65E78754" w14:textId="77777777" w:rsidR="002C0440" w:rsidRPr="00255C59" w:rsidRDefault="002C0440" w:rsidP="00E4429E">
            <w:pPr>
              <w:spacing w:line="288" w:lineRule="auto"/>
              <w:jc w:val="center"/>
              <w:rPr>
                <w:rFonts w:ascii="Arial Narrow" w:eastAsia="Times New Roman" w:hAnsi="Arial Narrow" w:cs="Times New Roman"/>
                <w:b/>
                <w:bCs/>
                <w:sz w:val="18"/>
              </w:rPr>
            </w:pPr>
            <w:r w:rsidRPr="00255C59">
              <w:rPr>
                <w:rFonts w:ascii="Arial Narrow" w:eastAsia="Times New Roman" w:hAnsi="Arial Narrow" w:cs="Times New Roman"/>
                <w:b/>
                <w:bCs/>
                <w:sz w:val="18"/>
                <w:szCs w:val="22"/>
              </w:rPr>
              <w:t>EU</w:t>
            </w:r>
          </w:p>
        </w:tc>
        <w:tc>
          <w:tcPr>
            <w:tcW w:w="1066" w:type="dxa"/>
            <w:tcBorders>
              <w:top w:val="single" w:sz="4" w:space="0" w:color="auto"/>
              <w:bottom w:val="single" w:sz="4" w:space="0" w:color="auto"/>
            </w:tcBorders>
            <w:shd w:val="clear" w:color="auto" w:fill="auto"/>
            <w:noWrap/>
            <w:vAlign w:val="center"/>
            <w:hideMark/>
          </w:tcPr>
          <w:p w14:paraId="7E3F7D39" w14:textId="77777777" w:rsidR="002C0440" w:rsidRPr="007966AA" w:rsidRDefault="002C0440" w:rsidP="00E4429E">
            <w:pPr>
              <w:spacing w:line="288" w:lineRule="auto"/>
              <w:jc w:val="center"/>
              <w:rPr>
                <w:rFonts w:ascii="Arial Narrow" w:eastAsia="Times New Roman" w:hAnsi="Arial Narrow" w:cs="Times New Roman"/>
                <w:bCs/>
                <w:sz w:val="18"/>
              </w:rPr>
            </w:pPr>
            <w:r w:rsidRPr="007966AA">
              <w:rPr>
                <w:rFonts w:ascii="Arial Narrow" w:eastAsia="Times New Roman" w:hAnsi="Arial Narrow" w:cs="Times New Roman"/>
                <w:bCs/>
                <w:sz w:val="18"/>
                <w:szCs w:val="22"/>
              </w:rPr>
              <w:t>1990</w:t>
            </w:r>
          </w:p>
        </w:tc>
        <w:tc>
          <w:tcPr>
            <w:tcW w:w="1067" w:type="dxa"/>
            <w:tcBorders>
              <w:top w:val="single" w:sz="4" w:space="0" w:color="auto"/>
              <w:bottom w:val="single" w:sz="4" w:space="0" w:color="auto"/>
            </w:tcBorders>
            <w:shd w:val="clear" w:color="auto" w:fill="auto"/>
            <w:noWrap/>
            <w:vAlign w:val="center"/>
            <w:hideMark/>
          </w:tcPr>
          <w:p w14:paraId="64B4007F" w14:textId="77777777" w:rsidR="002C0440" w:rsidRPr="007966AA" w:rsidRDefault="002C0440" w:rsidP="00E4429E">
            <w:pPr>
              <w:spacing w:line="288" w:lineRule="auto"/>
              <w:jc w:val="center"/>
              <w:rPr>
                <w:rFonts w:ascii="Arial Narrow" w:eastAsia="Times New Roman" w:hAnsi="Arial Narrow" w:cs="Times New Roman"/>
                <w:bCs/>
                <w:sz w:val="18"/>
              </w:rPr>
            </w:pPr>
            <w:r w:rsidRPr="007966AA">
              <w:rPr>
                <w:rFonts w:ascii="Arial Narrow" w:eastAsia="Times New Roman" w:hAnsi="Arial Narrow" w:cs="Times New Roman"/>
                <w:bCs/>
                <w:sz w:val="18"/>
                <w:szCs w:val="22"/>
              </w:rPr>
              <w:t>5.6</w:t>
            </w:r>
          </w:p>
        </w:tc>
        <w:tc>
          <w:tcPr>
            <w:tcW w:w="1024" w:type="dxa"/>
            <w:tcBorders>
              <w:top w:val="single" w:sz="4" w:space="0" w:color="auto"/>
              <w:bottom w:val="single" w:sz="4" w:space="0" w:color="auto"/>
            </w:tcBorders>
            <w:shd w:val="clear" w:color="auto" w:fill="auto"/>
            <w:noWrap/>
            <w:vAlign w:val="center"/>
            <w:hideMark/>
          </w:tcPr>
          <w:p w14:paraId="6883EDAA" w14:textId="77777777" w:rsidR="002C0440" w:rsidRPr="007966AA" w:rsidRDefault="002C0440" w:rsidP="00E4429E">
            <w:pPr>
              <w:spacing w:line="288" w:lineRule="auto"/>
              <w:jc w:val="center"/>
              <w:rPr>
                <w:rFonts w:ascii="Arial Narrow" w:eastAsia="Times New Roman" w:hAnsi="Arial Narrow" w:cs="Times New Roman"/>
                <w:bCs/>
                <w:sz w:val="18"/>
              </w:rPr>
            </w:pPr>
            <w:r>
              <w:rPr>
                <w:rFonts w:ascii="Arial Narrow" w:eastAsia="Times New Roman" w:hAnsi="Arial Narrow" w:cs="Times New Roman"/>
                <w:bCs/>
                <w:sz w:val="18"/>
                <w:szCs w:val="22"/>
              </w:rPr>
              <w:t xml:space="preserve">     </w:t>
            </w:r>
            <w:r w:rsidRPr="007966AA">
              <w:rPr>
                <w:rFonts w:ascii="Arial Narrow" w:eastAsia="Times New Roman" w:hAnsi="Arial Narrow" w:cs="Times New Roman"/>
                <w:bCs/>
                <w:sz w:val="18"/>
                <w:szCs w:val="22"/>
              </w:rPr>
              <w:t>2030</w:t>
            </w:r>
          </w:p>
        </w:tc>
        <w:tc>
          <w:tcPr>
            <w:tcW w:w="1820" w:type="dxa"/>
            <w:gridSpan w:val="2"/>
            <w:tcBorders>
              <w:top w:val="single" w:sz="4" w:space="0" w:color="auto"/>
              <w:bottom w:val="single" w:sz="4" w:space="0" w:color="auto"/>
            </w:tcBorders>
            <w:shd w:val="clear" w:color="auto" w:fill="auto"/>
            <w:noWrap/>
            <w:vAlign w:val="center"/>
          </w:tcPr>
          <w:p w14:paraId="28417152" w14:textId="77777777" w:rsidR="002C0440" w:rsidRPr="007966AA" w:rsidRDefault="002C0440" w:rsidP="00E4429E">
            <w:pPr>
              <w:spacing w:line="288" w:lineRule="auto"/>
              <w:jc w:val="center"/>
              <w:rPr>
                <w:rFonts w:ascii="Arial Narrow" w:eastAsia="Times New Roman" w:hAnsi="Arial Narrow" w:cs="Times New Roman"/>
                <w:bCs/>
                <w:sz w:val="18"/>
              </w:rPr>
            </w:pPr>
            <w:r w:rsidRPr="007966AA">
              <w:rPr>
                <w:rFonts w:ascii="Arial Narrow" w:eastAsia="Times New Roman" w:hAnsi="Arial Narrow" w:cs="Times New Roman"/>
                <w:bCs/>
                <w:sz w:val="18"/>
                <w:szCs w:val="22"/>
              </w:rPr>
              <w:t>-40%</w:t>
            </w:r>
          </w:p>
        </w:tc>
        <w:tc>
          <w:tcPr>
            <w:tcW w:w="1424" w:type="dxa"/>
            <w:tcBorders>
              <w:top w:val="single" w:sz="4" w:space="0" w:color="auto"/>
              <w:bottom w:val="single" w:sz="4" w:space="0" w:color="auto"/>
            </w:tcBorders>
            <w:shd w:val="clear" w:color="auto" w:fill="auto"/>
            <w:noWrap/>
            <w:vAlign w:val="center"/>
            <w:hideMark/>
          </w:tcPr>
          <w:p w14:paraId="71A5131B" w14:textId="77777777" w:rsidR="002C0440" w:rsidRPr="007966AA" w:rsidRDefault="002C0440" w:rsidP="00E4429E">
            <w:pPr>
              <w:spacing w:line="288" w:lineRule="auto"/>
              <w:jc w:val="center"/>
              <w:rPr>
                <w:rFonts w:ascii="Arial Narrow" w:eastAsia="Times New Roman" w:hAnsi="Arial Narrow" w:cs="Times New Roman"/>
                <w:bCs/>
                <w:sz w:val="18"/>
              </w:rPr>
            </w:pPr>
            <w:r>
              <w:rPr>
                <w:rFonts w:ascii="Arial Narrow" w:eastAsia="Times New Roman" w:hAnsi="Arial Narrow" w:cs="Times New Roman"/>
                <w:bCs/>
                <w:sz w:val="18"/>
                <w:szCs w:val="22"/>
              </w:rPr>
              <w:t>-2.3</w:t>
            </w:r>
          </w:p>
        </w:tc>
      </w:tr>
      <w:tr w:rsidR="002C0440" w:rsidRPr="00882E19" w14:paraId="2FF58556" w14:textId="77777777" w:rsidTr="00CE790A">
        <w:trPr>
          <w:trHeight w:val="263"/>
        </w:trPr>
        <w:tc>
          <w:tcPr>
            <w:tcW w:w="1516" w:type="dxa"/>
            <w:tcBorders>
              <w:top w:val="single" w:sz="4" w:space="0" w:color="auto"/>
              <w:bottom w:val="single" w:sz="4" w:space="0" w:color="auto"/>
            </w:tcBorders>
            <w:shd w:val="clear" w:color="auto" w:fill="auto"/>
            <w:vAlign w:val="center"/>
            <w:hideMark/>
          </w:tcPr>
          <w:p w14:paraId="3A2E9F5D" w14:textId="77777777" w:rsidR="002C0440" w:rsidRPr="00882E19" w:rsidRDefault="002C0440" w:rsidP="00E4429E">
            <w:pPr>
              <w:spacing w:line="288" w:lineRule="auto"/>
              <w:jc w:val="center"/>
              <w:rPr>
                <w:rFonts w:ascii="Arial Narrow" w:eastAsia="Times New Roman" w:hAnsi="Arial Narrow" w:cs="Times New Roman"/>
                <w:b/>
                <w:sz w:val="18"/>
              </w:rPr>
            </w:pPr>
            <w:r w:rsidRPr="00882E19">
              <w:rPr>
                <w:rFonts w:ascii="Arial Narrow" w:eastAsia="Times New Roman" w:hAnsi="Arial Narrow"/>
                <w:b/>
                <w:sz w:val="18"/>
              </w:rPr>
              <w:t>Other countries</w:t>
            </w:r>
          </w:p>
        </w:tc>
        <w:tc>
          <w:tcPr>
            <w:tcW w:w="1066" w:type="dxa"/>
            <w:tcBorders>
              <w:top w:val="single" w:sz="4" w:space="0" w:color="auto"/>
              <w:bottom w:val="single" w:sz="4" w:space="0" w:color="auto"/>
            </w:tcBorders>
            <w:shd w:val="clear" w:color="auto" w:fill="auto"/>
            <w:noWrap/>
            <w:vAlign w:val="center"/>
            <w:hideMark/>
          </w:tcPr>
          <w:p w14:paraId="29A486DB" w14:textId="77777777" w:rsidR="002C0440" w:rsidRPr="00882E19" w:rsidRDefault="002C0440" w:rsidP="00E4429E">
            <w:pPr>
              <w:spacing w:line="288" w:lineRule="auto"/>
              <w:jc w:val="center"/>
              <w:rPr>
                <w:rFonts w:ascii="Arial Narrow" w:eastAsia="Times New Roman" w:hAnsi="Arial Narrow" w:cs="Times New Roman"/>
                <w:b/>
                <w:sz w:val="18"/>
              </w:rPr>
            </w:pPr>
          </w:p>
        </w:tc>
        <w:tc>
          <w:tcPr>
            <w:tcW w:w="1067" w:type="dxa"/>
            <w:tcBorders>
              <w:top w:val="single" w:sz="4" w:space="0" w:color="auto"/>
              <w:bottom w:val="single" w:sz="4" w:space="0" w:color="auto"/>
            </w:tcBorders>
            <w:shd w:val="clear" w:color="auto" w:fill="auto"/>
            <w:noWrap/>
            <w:vAlign w:val="center"/>
            <w:hideMark/>
          </w:tcPr>
          <w:p w14:paraId="27D651C2" w14:textId="77777777" w:rsidR="002C0440" w:rsidRPr="00882E19" w:rsidRDefault="002C0440" w:rsidP="00E4429E">
            <w:pPr>
              <w:spacing w:line="288" w:lineRule="auto"/>
              <w:jc w:val="center"/>
              <w:rPr>
                <w:rFonts w:ascii="Arial Narrow" w:eastAsia="Times New Roman" w:hAnsi="Arial Narrow" w:cs="Times New Roman"/>
                <w:b/>
                <w:sz w:val="18"/>
              </w:rPr>
            </w:pPr>
            <w:r w:rsidRPr="00882E19">
              <w:rPr>
                <w:rFonts w:ascii="Arial Narrow" w:eastAsia="Times New Roman" w:hAnsi="Arial Narrow"/>
                <w:sz w:val="18"/>
              </w:rPr>
              <w:t>55.4</w:t>
            </w:r>
          </w:p>
        </w:tc>
        <w:tc>
          <w:tcPr>
            <w:tcW w:w="1836" w:type="dxa"/>
            <w:gridSpan w:val="2"/>
            <w:tcBorders>
              <w:top w:val="single" w:sz="4" w:space="0" w:color="auto"/>
              <w:bottom w:val="single" w:sz="4" w:space="0" w:color="auto"/>
            </w:tcBorders>
            <w:shd w:val="clear" w:color="auto" w:fill="auto"/>
            <w:noWrap/>
            <w:vAlign w:val="center"/>
            <w:hideMark/>
          </w:tcPr>
          <w:p w14:paraId="640B3CEA" w14:textId="77777777" w:rsidR="002C0440" w:rsidRPr="00882E19" w:rsidRDefault="002C0440" w:rsidP="00E4429E">
            <w:pPr>
              <w:spacing w:line="288" w:lineRule="auto"/>
              <w:jc w:val="center"/>
              <w:rPr>
                <w:rFonts w:ascii="Arial Narrow" w:eastAsia="Times New Roman" w:hAnsi="Arial Narrow" w:cs="Times New Roman"/>
                <w:b/>
                <w:sz w:val="18"/>
              </w:rPr>
            </w:pPr>
          </w:p>
        </w:tc>
        <w:tc>
          <w:tcPr>
            <w:tcW w:w="1012" w:type="dxa"/>
            <w:tcBorders>
              <w:top w:val="single" w:sz="4" w:space="0" w:color="auto"/>
              <w:bottom w:val="single" w:sz="4" w:space="0" w:color="auto"/>
            </w:tcBorders>
            <w:shd w:val="clear" w:color="auto" w:fill="auto"/>
            <w:noWrap/>
            <w:vAlign w:val="center"/>
            <w:hideMark/>
          </w:tcPr>
          <w:p w14:paraId="1E2CDB1D" w14:textId="77777777" w:rsidR="002C0440" w:rsidRPr="00882E19" w:rsidRDefault="002C0440" w:rsidP="00E4429E">
            <w:pPr>
              <w:spacing w:line="288" w:lineRule="auto"/>
              <w:jc w:val="center"/>
              <w:rPr>
                <w:rFonts w:ascii="Arial Narrow" w:eastAsia="Times New Roman" w:hAnsi="Arial Narrow" w:cs="Times New Roman"/>
                <w:b/>
                <w:sz w:val="18"/>
              </w:rPr>
            </w:pPr>
          </w:p>
        </w:tc>
        <w:tc>
          <w:tcPr>
            <w:tcW w:w="1424" w:type="dxa"/>
            <w:tcBorders>
              <w:top w:val="single" w:sz="4" w:space="0" w:color="auto"/>
              <w:bottom w:val="single" w:sz="4" w:space="0" w:color="auto"/>
            </w:tcBorders>
            <w:shd w:val="clear" w:color="auto" w:fill="auto"/>
            <w:noWrap/>
            <w:vAlign w:val="center"/>
            <w:hideMark/>
          </w:tcPr>
          <w:p w14:paraId="39DEB5E9" w14:textId="77777777" w:rsidR="002C0440" w:rsidRPr="00882E19" w:rsidRDefault="002C0440" w:rsidP="00E4429E">
            <w:pPr>
              <w:spacing w:line="288" w:lineRule="auto"/>
              <w:jc w:val="center"/>
              <w:rPr>
                <w:rFonts w:ascii="Arial Narrow" w:eastAsia="Times New Roman" w:hAnsi="Arial Narrow" w:cs="Times New Roman"/>
                <w:b/>
                <w:sz w:val="18"/>
              </w:rPr>
            </w:pPr>
            <w:r w:rsidRPr="00882E19">
              <w:rPr>
                <w:rFonts w:ascii="Arial Narrow" w:eastAsia="Times New Roman" w:hAnsi="Arial Narrow"/>
                <w:sz w:val="18"/>
              </w:rPr>
              <w:t>-10.3</w:t>
            </w:r>
          </w:p>
        </w:tc>
      </w:tr>
      <w:tr w:rsidR="002C0440" w:rsidRPr="0086026E" w14:paraId="17C6E21A" w14:textId="77777777" w:rsidTr="00CE790A">
        <w:trPr>
          <w:trHeight w:val="148"/>
        </w:trPr>
        <w:tc>
          <w:tcPr>
            <w:tcW w:w="1516" w:type="dxa"/>
            <w:tcBorders>
              <w:top w:val="single" w:sz="4" w:space="0" w:color="auto"/>
            </w:tcBorders>
            <w:shd w:val="clear" w:color="auto" w:fill="auto"/>
            <w:noWrap/>
            <w:vAlign w:val="center"/>
            <w:hideMark/>
          </w:tcPr>
          <w:p w14:paraId="7908F7F9" w14:textId="77777777" w:rsidR="002C0440" w:rsidRPr="0086026E" w:rsidRDefault="002C0440" w:rsidP="00E4429E">
            <w:pPr>
              <w:spacing w:line="288" w:lineRule="auto"/>
              <w:jc w:val="center"/>
              <w:rPr>
                <w:rFonts w:ascii="Arial Narrow" w:eastAsia="Times New Roman" w:hAnsi="Arial Narrow" w:cs="Times New Roman"/>
                <w:b/>
                <w:color w:val="000000"/>
                <w:sz w:val="18"/>
              </w:rPr>
            </w:pPr>
            <w:r>
              <w:rPr>
                <w:rFonts w:ascii="Arial Narrow" w:eastAsia="Times New Roman" w:hAnsi="Arial Narrow" w:cs="Times New Roman"/>
                <w:b/>
                <w:color w:val="000000"/>
                <w:sz w:val="18"/>
                <w:szCs w:val="22"/>
              </w:rPr>
              <w:t>All countries</w:t>
            </w:r>
          </w:p>
        </w:tc>
        <w:tc>
          <w:tcPr>
            <w:tcW w:w="1066" w:type="dxa"/>
            <w:tcBorders>
              <w:top w:val="single" w:sz="4" w:space="0" w:color="auto"/>
            </w:tcBorders>
            <w:shd w:val="clear" w:color="auto" w:fill="auto"/>
            <w:noWrap/>
            <w:vAlign w:val="center"/>
            <w:hideMark/>
          </w:tcPr>
          <w:p w14:paraId="681E1373" w14:textId="77777777" w:rsidR="002C0440" w:rsidRPr="0086026E" w:rsidRDefault="002C0440" w:rsidP="00E4429E">
            <w:pPr>
              <w:spacing w:line="288" w:lineRule="auto"/>
              <w:jc w:val="center"/>
              <w:rPr>
                <w:rFonts w:ascii="Arial Narrow" w:eastAsia="Times New Roman" w:hAnsi="Arial Narrow" w:cs="Times New Roman"/>
                <w:b/>
                <w:color w:val="000000"/>
                <w:sz w:val="18"/>
              </w:rPr>
            </w:pPr>
            <w:r w:rsidRPr="0086026E">
              <w:rPr>
                <w:rFonts w:ascii="Arial Narrow" w:eastAsia="Times New Roman" w:hAnsi="Arial Narrow" w:cs="Times New Roman"/>
                <w:b/>
                <w:color w:val="000000"/>
                <w:sz w:val="18"/>
                <w:szCs w:val="22"/>
              </w:rPr>
              <w:t> </w:t>
            </w:r>
          </w:p>
        </w:tc>
        <w:tc>
          <w:tcPr>
            <w:tcW w:w="1067" w:type="dxa"/>
            <w:tcBorders>
              <w:top w:val="single" w:sz="4" w:space="0" w:color="auto"/>
            </w:tcBorders>
            <w:shd w:val="clear" w:color="auto" w:fill="auto"/>
            <w:noWrap/>
            <w:vAlign w:val="center"/>
            <w:hideMark/>
          </w:tcPr>
          <w:p w14:paraId="64DD16B1" w14:textId="77777777" w:rsidR="002C0440" w:rsidRPr="007966AA" w:rsidRDefault="002C0440" w:rsidP="00E4429E">
            <w:pPr>
              <w:spacing w:line="288" w:lineRule="auto"/>
              <w:jc w:val="center"/>
              <w:rPr>
                <w:rFonts w:ascii="Arial Narrow" w:eastAsia="Times New Roman" w:hAnsi="Arial Narrow" w:cs="Times New Roman"/>
                <w:color w:val="000000"/>
                <w:sz w:val="18"/>
              </w:rPr>
            </w:pPr>
            <w:r w:rsidRPr="007966AA">
              <w:rPr>
                <w:rFonts w:ascii="Arial Narrow" w:eastAsia="Times New Roman" w:hAnsi="Arial Narrow" w:cs="Times New Roman"/>
                <w:color w:val="000000"/>
                <w:sz w:val="18"/>
                <w:szCs w:val="22"/>
              </w:rPr>
              <w:t>69.9</w:t>
            </w:r>
          </w:p>
        </w:tc>
        <w:tc>
          <w:tcPr>
            <w:tcW w:w="1836" w:type="dxa"/>
            <w:gridSpan w:val="2"/>
            <w:tcBorders>
              <w:top w:val="single" w:sz="4" w:space="0" w:color="auto"/>
            </w:tcBorders>
            <w:shd w:val="clear" w:color="auto" w:fill="auto"/>
            <w:noWrap/>
            <w:vAlign w:val="center"/>
            <w:hideMark/>
          </w:tcPr>
          <w:p w14:paraId="10BC5E11" w14:textId="77777777" w:rsidR="002C0440" w:rsidRPr="007966AA" w:rsidRDefault="002C0440" w:rsidP="00E4429E">
            <w:pPr>
              <w:spacing w:line="288" w:lineRule="auto"/>
              <w:jc w:val="center"/>
              <w:rPr>
                <w:rFonts w:ascii="Arial Narrow" w:eastAsia="Times New Roman" w:hAnsi="Arial Narrow" w:cs="Times New Roman"/>
                <w:color w:val="000000"/>
                <w:sz w:val="18"/>
              </w:rPr>
            </w:pPr>
            <w:r w:rsidRPr="007966AA">
              <w:rPr>
                <w:rFonts w:ascii="Arial Narrow" w:eastAsia="Times New Roman" w:hAnsi="Arial Narrow" w:cs="Times New Roman"/>
                <w:color w:val="000000"/>
                <w:sz w:val="18"/>
                <w:szCs w:val="22"/>
              </w:rPr>
              <w:t> </w:t>
            </w:r>
          </w:p>
        </w:tc>
        <w:tc>
          <w:tcPr>
            <w:tcW w:w="1012" w:type="dxa"/>
            <w:tcBorders>
              <w:top w:val="single" w:sz="4" w:space="0" w:color="auto"/>
            </w:tcBorders>
            <w:shd w:val="clear" w:color="auto" w:fill="auto"/>
            <w:noWrap/>
            <w:vAlign w:val="center"/>
            <w:hideMark/>
          </w:tcPr>
          <w:p w14:paraId="25717CE2" w14:textId="77777777" w:rsidR="002C0440" w:rsidRPr="007966AA" w:rsidRDefault="002C0440" w:rsidP="00E4429E">
            <w:pPr>
              <w:spacing w:line="288" w:lineRule="auto"/>
              <w:jc w:val="center"/>
              <w:rPr>
                <w:rFonts w:ascii="Arial Narrow" w:eastAsia="Times New Roman" w:hAnsi="Arial Narrow" w:cs="Times New Roman"/>
                <w:color w:val="000000"/>
                <w:sz w:val="18"/>
              </w:rPr>
            </w:pPr>
            <w:r w:rsidRPr="007966AA">
              <w:rPr>
                <w:rFonts w:ascii="Arial Narrow" w:eastAsia="Times New Roman" w:hAnsi="Arial Narrow" w:cs="Times New Roman"/>
                <w:color w:val="000000"/>
                <w:sz w:val="18"/>
                <w:szCs w:val="22"/>
              </w:rPr>
              <w:t> </w:t>
            </w:r>
          </w:p>
        </w:tc>
        <w:tc>
          <w:tcPr>
            <w:tcW w:w="1424" w:type="dxa"/>
            <w:tcBorders>
              <w:top w:val="single" w:sz="4" w:space="0" w:color="auto"/>
            </w:tcBorders>
            <w:shd w:val="clear" w:color="auto" w:fill="auto"/>
            <w:noWrap/>
            <w:vAlign w:val="center"/>
            <w:hideMark/>
          </w:tcPr>
          <w:p w14:paraId="0DD0A141" w14:textId="77777777" w:rsidR="002C0440" w:rsidRPr="007966AA" w:rsidRDefault="002C0440" w:rsidP="00E4429E">
            <w:pPr>
              <w:spacing w:line="288" w:lineRule="auto"/>
              <w:jc w:val="center"/>
              <w:rPr>
                <w:rFonts w:ascii="Arial Narrow" w:eastAsia="Times New Roman" w:hAnsi="Arial Narrow" w:cs="Times New Roman"/>
                <w:color w:val="000000"/>
                <w:sz w:val="18"/>
              </w:rPr>
            </w:pPr>
            <w:r w:rsidRPr="007966AA">
              <w:rPr>
                <w:rFonts w:ascii="Arial Narrow" w:eastAsia="Times New Roman" w:hAnsi="Arial Narrow" w:cs="Times New Roman"/>
                <w:color w:val="000000"/>
                <w:sz w:val="18"/>
                <w:szCs w:val="22"/>
              </w:rPr>
              <w:t>-15.8</w:t>
            </w:r>
          </w:p>
        </w:tc>
      </w:tr>
    </w:tbl>
    <w:p w14:paraId="43DCCEB8" w14:textId="77777777" w:rsidR="002C0440" w:rsidRPr="00877AE9" w:rsidRDefault="002C0440" w:rsidP="00E4429E">
      <w:pPr>
        <w:spacing w:after="120" w:line="288" w:lineRule="auto"/>
        <w:rPr>
          <w:rFonts w:ascii="Times New Roman" w:hAnsi="Times New Roman" w:cs="Times New Roman"/>
          <w:b/>
        </w:rPr>
      </w:pPr>
    </w:p>
    <w:p w14:paraId="08F3496E" w14:textId="77777777" w:rsidR="002C0440" w:rsidRDefault="002C0440" w:rsidP="00E4429E">
      <w:pPr>
        <w:spacing w:after="60" w:line="288" w:lineRule="auto"/>
        <w:rPr>
          <w:rFonts w:ascii="Times New Roman" w:hAnsi="Times New Roman" w:cs="Times New Roman"/>
          <w:sz w:val="22"/>
          <w:szCs w:val="22"/>
        </w:rPr>
      </w:pPr>
    </w:p>
    <w:p w14:paraId="7854B99B" w14:textId="77777777" w:rsidR="002C0440" w:rsidRDefault="002C0440" w:rsidP="00E4429E">
      <w:pPr>
        <w:spacing w:line="288" w:lineRule="auto"/>
        <w:rPr>
          <w:rFonts w:ascii="Times New Roman" w:hAnsi="Times New Roman" w:cs="Times New Roman"/>
          <w:b/>
          <w:szCs w:val="22"/>
          <w:lang w:val="en-GB"/>
        </w:rPr>
      </w:pPr>
      <w:r>
        <w:rPr>
          <w:rFonts w:ascii="Times New Roman" w:hAnsi="Times New Roman" w:cs="Times New Roman"/>
          <w:b/>
          <w:szCs w:val="22"/>
          <w:lang w:val="en-GB"/>
        </w:rPr>
        <w:br w:type="page"/>
      </w:r>
    </w:p>
    <w:p w14:paraId="6561556F" w14:textId="77777777" w:rsidR="002C0440" w:rsidRPr="00ED08AC" w:rsidRDefault="0095304D" w:rsidP="00E4429E">
      <w:pPr>
        <w:spacing w:after="60" w:line="288" w:lineRule="auto"/>
        <w:rPr>
          <w:rFonts w:ascii="Times New Roman" w:hAnsi="Times New Roman" w:cs="Times New Roman"/>
          <w:b/>
          <w:szCs w:val="22"/>
        </w:rPr>
      </w:pPr>
      <w:r>
        <w:rPr>
          <w:rFonts w:ascii="Times New Roman" w:hAnsi="Times New Roman" w:cs="Times New Roman"/>
          <w:b/>
          <w:szCs w:val="22"/>
        </w:rPr>
        <w:lastRenderedPageBreak/>
        <w:t>S</w:t>
      </w:r>
      <w:r w:rsidR="002C0440">
        <w:rPr>
          <w:rFonts w:ascii="Times New Roman" w:hAnsi="Times New Roman" w:cs="Times New Roman"/>
          <w:b/>
          <w:szCs w:val="22"/>
        </w:rPr>
        <w:t xml:space="preserve">2. </w:t>
      </w:r>
      <w:r w:rsidR="002C0440" w:rsidRPr="00ED08AC">
        <w:rPr>
          <w:rFonts w:ascii="Times New Roman" w:hAnsi="Times New Roman" w:cs="Times New Roman"/>
          <w:b/>
          <w:szCs w:val="22"/>
        </w:rPr>
        <w:t>The contribution of EU forest</w:t>
      </w:r>
      <w:r w:rsidR="002C0440">
        <w:rPr>
          <w:rFonts w:ascii="Times New Roman" w:hAnsi="Times New Roman" w:cs="Times New Roman"/>
          <w:b/>
          <w:szCs w:val="22"/>
        </w:rPr>
        <w:t>s</w:t>
      </w:r>
      <w:r w:rsidR="002C0440" w:rsidRPr="00ED08AC">
        <w:rPr>
          <w:rFonts w:ascii="Times New Roman" w:hAnsi="Times New Roman" w:cs="Times New Roman"/>
          <w:b/>
          <w:szCs w:val="22"/>
        </w:rPr>
        <w:t xml:space="preserve"> to meet the climate targets </w:t>
      </w:r>
    </w:p>
    <w:p w14:paraId="62177357" w14:textId="77777777" w:rsidR="002C0440" w:rsidRDefault="002C0440" w:rsidP="00E4429E">
      <w:pPr>
        <w:spacing w:after="60" w:line="288" w:lineRule="auto"/>
        <w:rPr>
          <w:rFonts w:ascii="Times New Roman" w:hAnsi="Times New Roman" w:cs="Times New Roman"/>
          <w:b/>
          <w:szCs w:val="22"/>
          <w:lang w:val="en-GB"/>
        </w:rPr>
      </w:pPr>
    </w:p>
    <w:p w14:paraId="38B0BFA6" w14:textId="7B85BCB7" w:rsidR="002C0440" w:rsidRPr="00ED08AC" w:rsidRDefault="0095304D" w:rsidP="00E4429E">
      <w:pPr>
        <w:spacing w:after="60" w:line="288" w:lineRule="auto"/>
        <w:rPr>
          <w:rFonts w:ascii="Times New Roman" w:hAnsi="Times New Roman" w:cs="Times New Roman"/>
          <w:b/>
          <w:sz w:val="22"/>
          <w:szCs w:val="22"/>
          <w:u w:val="single"/>
          <w:lang w:val="en-GB"/>
        </w:rPr>
      </w:pPr>
      <w:r>
        <w:rPr>
          <w:rFonts w:ascii="Times New Roman" w:hAnsi="Times New Roman" w:cs="Times New Roman"/>
          <w:b/>
          <w:sz w:val="22"/>
          <w:szCs w:val="22"/>
          <w:lang w:val="en-GB"/>
        </w:rPr>
        <w:t>S</w:t>
      </w:r>
      <w:r w:rsidR="002C0440" w:rsidRPr="00DC1316">
        <w:rPr>
          <w:rFonts w:ascii="Times New Roman" w:hAnsi="Times New Roman" w:cs="Times New Roman"/>
          <w:b/>
          <w:sz w:val="22"/>
          <w:szCs w:val="22"/>
          <w:lang w:val="en-GB"/>
        </w:rPr>
        <w:t>2.1</w:t>
      </w:r>
      <w:r w:rsidR="00FA1A6E">
        <w:rPr>
          <w:rFonts w:ascii="Times New Roman" w:hAnsi="Times New Roman" w:cs="Times New Roman"/>
          <w:b/>
          <w:sz w:val="22"/>
          <w:szCs w:val="22"/>
          <w:lang w:val="en-GB"/>
        </w:rPr>
        <w:t>.</w:t>
      </w:r>
      <w:r w:rsidR="002C0440" w:rsidRPr="00DC1316">
        <w:rPr>
          <w:rFonts w:ascii="Times New Roman" w:hAnsi="Times New Roman" w:cs="Times New Roman"/>
          <w:b/>
          <w:sz w:val="22"/>
          <w:szCs w:val="22"/>
          <w:lang w:val="en-GB"/>
        </w:rPr>
        <w:t xml:space="preserve"> </w:t>
      </w:r>
      <w:r w:rsidR="002C0440" w:rsidRPr="00ED08AC">
        <w:rPr>
          <w:rFonts w:ascii="Times New Roman" w:hAnsi="Times New Roman" w:cs="Times New Roman"/>
          <w:b/>
          <w:sz w:val="22"/>
          <w:szCs w:val="22"/>
          <w:u w:val="single"/>
          <w:lang w:val="en-GB"/>
        </w:rPr>
        <w:t>Assessing the greenhouse gas mitigation by forest management</w:t>
      </w:r>
    </w:p>
    <w:p w14:paraId="6FB5247C" w14:textId="77777777" w:rsidR="002C0440" w:rsidRPr="00D91D38" w:rsidRDefault="002C0440" w:rsidP="00E4429E">
      <w:pPr>
        <w:spacing w:after="120" w:line="288" w:lineRule="auto"/>
        <w:rPr>
          <w:rFonts w:ascii="Times New Roman" w:hAnsi="Times New Roman" w:cs="Times New Roman"/>
        </w:rPr>
      </w:pPr>
      <w:r w:rsidRPr="00D91D38">
        <w:rPr>
          <w:rFonts w:ascii="Times New Roman" w:hAnsi="Times New Roman" w:cs="Times New Roman"/>
        </w:rPr>
        <w:t xml:space="preserve">Assessing the </w:t>
      </w:r>
      <w:r>
        <w:rPr>
          <w:rFonts w:ascii="Times New Roman" w:hAnsi="Times New Roman" w:cs="Times New Roman"/>
        </w:rPr>
        <w:t xml:space="preserve">GHG </w:t>
      </w:r>
      <w:r w:rsidRPr="00D91D38">
        <w:rPr>
          <w:rFonts w:ascii="Times New Roman" w:hAnsi="Times New Roman" w:cs="Times New Roman"/>
        </w:rPr>
        <w:t>mitigation outcomes in the forest sector is more complex th</w:t>
      </w:r>
      <w:r>
        <w:rPr>
          <w:rFonts w:ascii="Times New Roman" w:hAnsi="Times New Roman" w:cs="Times New Roman"/>
        </w:rPr>
        <w:t>an in other GHG sectors (e.g., energy, a</w:t>
      </w:r>
      <w:r w:rsidRPr="00D91D38">
        <w:rPr>
          <w:rFonts w:ascii="Times New Roman" w:hAnsi="Times New Roman" w:cs="Times New Roman"/>
        </w:rPr>
        <w:t>griculture). This is because it can be hard to disentangle the simultaneous natural and anthropogenic processes that determine forest-related fluxes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"10.1186/s13021-018-0096-2", "ISSN" : "1750-0680", "abstract" : "The credibility and effectiveness of country climate targets under the Paris Agreement requires that, in all greenhouse gas (GHG) sectors, the accounted mitigation outcomes reflect genuine deviations from the type and magnitude of activities generating emissions in the base year or baseline. This is challenging for the forestry sector, as the future net emissions can change irrespective of actual management activities, because of age-related stand dynamics resulting from past management and natural disturbances. The solution implemented under the Kyoto Protocol (2013\u20132020) was accounting mitigation as deviation from a projected (forward-looking) \u201cforest reference level\u201d, which considered the age-related dynamics but also allowed including the assumed future implementation of approved policies. This caused controversies, as unverifiable counterfactual scenarios with inflated future harvest could lead to credits where no change in management has actually occurred, or conversely, failing to reflect in the accounts a policy-driven increase in net emissions. Instead, here we describe an approach to set reference levels based on the projected continuation of documented historical forest management practice, i.e. reflecting age-related dynamics but not the future impact of policies. We illustrate a possible method to implement this approach at the level of the European Union (EU) using the Carbon Budget Model.", "author" : [ { "dropping-particle" : "", "family" : "Grassi", "given" : "Giacomo", "non-dropping-particle" : "", "parse-names" : false, "suffix" : "" }, { "dropping-particle" : "", "family" : "Pilli", "given" : "Roberto", "non-dropping-particle" : "", "parse-names" : false, "suffix" : "" }, { "dropping-particle" : "", "family" : "House", "given" : "Jo", "non-dropping-particle" : "", "parse-names" : false, "suffix" : "" }, { "dropping-particle" : "", "family" : "Federici", "given" : "Sandro", "non-dropping-particle" : "", "parse-names" : false, "suffix" : "" }, { "dropping-particle" : "", "family" : "Kurz", "given" : "Werner A", "non-dropping-particle" : "", "parse-names" : false, "suffix" : "" } ], "container-title" : "Carbon Balance and Management", "id" : "ITEM-1", "issue" : "1", "issued" : { "date-parts" : [ [ "2018", "12", "17" ] ] }, "page" : "8", "title" : "Science-based approach for credible accounting of mitigation in managed forests", "type" : "article-journal", "volume" : "13" }, "uris" : [ "http://www.mendeley.com/documents/?uuid=12d440d2-9ace-4a86-8299-634fb97d0fe1" ] } ], "mendeley" : { "formattedCitation" : "&lt;sup&gt;5&lt;/sup&gt;", "plainTextFormattedCitation" : "5", "previouslyFormattedCitation" : "&lt;sup&gt;5&lt;/sup&gt;"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5</w:t>
      </w:r>
      <w:r w:rsidR="00B72D91">
        <w:rPr>
          <w:rFonts w:ascii="Times New Roman" w:hAnsi="Times New Roman" w:cs="Times New Roman"/>
        </w:rPr>
        <w:fldChar w:fldCharType="end"/>
      </w:r>
      <w:r w:rsidRPr="00D91D38">
        <w:rPr>
          <w:rFonts w:ascii="Times New Roman" w:hAnsi="Times New Roman" w:cs="Times New Roman"/>
        </w:rPr>
        <w:t xml:space="preserve">. Moreover, unlike </w:t>
      </w:r>
      <w:r w:rsidR="00F45411">
        <w:rPr>
          <w:rFonts w:ascii="Times New Roman" w:hAnsi="Times New Roman" w:cs="Times New Roman"/>
        </w:rPr>
        <w:t xml:space="preserve">in </w:t>
      </w:r>
      <w:r w:rsidRPr="00D91D38">
        <w:rPr>
          <w:rFonts w:ascii="Times New Roman" w:hAnsi="Times New Roman" w:cs="Times New Roman"/>
        </w:rPr>
        <w:t>other sectors, future emissions and removals in forests can change over time as a result of forest characteristics such as age-class distributions, which are largely determined by past forest management and natural disturbances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"10.1016/j.envsci.2008.08.005", "ISSN" : "14629011", "author" : [ { "dropping-particle" : "", "family" : "B\u00f6ttcher", "given" : "Hannes", "non-dropping-particle" : "", "parse-names" : false, "suffix" : "" }, { "dropping-particle" : "", "family" : "Kurz", "given" : "Werner A.", "non-dropping-particle" : "", "parse-names" : false, "suffix" : "" }, { "dropping-particle" : "", "family" : "Freibauer", "given" : "Annette", "non-dropping-particle" : "", "parse-names" : false, "suffix" : "" } ], "container-title" : "Environmental Science &amp; Policy", "id" : "ITEM-1", "issue" : "8", "issued" : { "date-parts" : [ [ "2008", "12" ] ] }, "page" : "669-686", "title" : "Accounting of forest carbon sinks and sources under a future climate protocol\u2014factoring out past disturbance and management effects on age\u2013class structure", "type" : "article-journal", "volume" : "11" }, "uris" : [ "http://www.mendeley.com/documents/?uuid=0e5da56c-f6c5-4dec-b063-0146ca1a5655" ] } ], "mendeley" : { "formattedCitation" : "&lt;sup&gt;6&lt;/sup&gt;", "plainTextFormattedCitation" : "6", "previouslyFormattedCitation" : "&lt;sup&gt;6&lt;/sup&gt;"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6</w:t>
      </w:r>
      <w:r w:rsidR="00B72D91">
        <w:rPr>
          <w:rFonts w:ascii="Times New Roman" w:hAnsi="Times New Roman" w:cs="Times New Roman"/>
        </w:rPr>
        <w:fldChar w:fldCharType="end"/>
      </w:r>
      <w:r w:rsidR="00540531">
        <w:rPr>
          <w:rFonts w:ascii="Times New Roman" w:hAnsi="Times New Roman" w:cs="Times New Roman"/>
        </w:rPr>
        <w:t>.</w:t>
      </w:r>
      <w:r w:rsidRPr="00D91D38">
        <w:rPr>
          <w:rFonts w:ascii="Times New Roman" w:hAnsi="Times New Roman" w:cs="Times New Roman"/>
        </w:rPr>
        <w:t xml:space="preserve"> </w:t>
      </w:r>
    </w:p>
    <w:p w14:paraId="13459971" w14:textId="77777777" w:rsidR="002C0440" w:rsidRPr="00D91D38" w:rsidRDefault="002C0440" w:rsidP="00E4429E">
      <w:pPr>
        <w:spacing w:after="120" w:line="288" w:lineRule="auto"/>
        <w:rPr>
          <w:rFonts w:ascii="Times New Roman" w:hAnsi="Times New Roman" w:cs="Times New Roman"/>
        </w:rPr>
      </w:pPr>
      <w:r w:rsidRPr="00D91D38">
        <w:rPr>
          <w:rFonts w:ascii="Times New Roman" w:hAnsi="Times New Roman" w:cs="Times New Roman"/>
        </w:rPr>
        <w:t xml:space="preserve">Under the United Nations Framework Convention on Climate Change (UNFCCC), this complexity has been addressed through a distinction between “reporting” and “accounting” of GHG fluxes, which is unique for the </w:t>
      </w:r>
      <w:r>
        <w:rPr>
          <w:rFonts w:ascii="Times New Roman" w:hAnsi="Times New Roman" w:cs="Times New Roman"/>
        </w:rPr>
        <w:t xml:space="preserve">LULUCF </w:t>
      </w:r>
      <w:r w:rsidRPr="00D91D38">
        <w:rPr>
          <w:rFonts w:ascii="Times New Roman" w:hAnsi="Times New Roman" w:cs="Times New Roman"/>
        </w:rPr>
        <w:t>sector</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"URL" : "https://unfccc.int/topics/land-use/workstreams/land-use--land-use-change-and-forestry-lulucf", "author" : [ { "dropping-particle" : "", "family" : "UNFCCC", "given" : "", "non-dropping-particle" : "", "parse-names" : false, "suffix" : "" } ], "id" : "ITEM-1", "issued" : { "date-parts" : [ [ "0" ] ] }, "title" : "Land Use, Land-Use Change and Forestry (LULUCF)", "type" : "webpage" }, "uris" : [ "http://www.mendeley.com/documents/?uuid=d89098b7-f6fb-4095-97ff-54284280cf91" ] }, { "id" : "ITEM-2", "itemData" : { "author" : [ { "dropping-particle" : "", "family" : "Iversen", "given" : "P.", "non-dropping-particle" : "", "parse-names" : false, "suffix" : "" }, { "dropping-particle" : "", "family" : "Lee", "given" : "D.", "non-dropping-particle" : "", "parse-names" : false, "suffix" : "" }, { "dropping-particle" : "", "family" : "Rocha", "given" : "M.", "non-dropping-particle" : "", "parse-names" : false, "suffix" : "" } ], "id" : "ITEM-2", "issued" : { "date-parts" : [ [ "2014" ] ] }, "number-of-pages" : "66", "title" : "Understanding Land Use in the UNFCCC", "type" : "report" }, "uris" : [ "http://www.mendeley.com/documents/?uuid=4680415e-eee1-47a6-93c1-7bc8540da51b" ] } ], "mendeley" : { "formattedCitation" : "&lt;sup&gt;7,8&lt;/sup&gt;", "plainTextFormattedCitation" : "7,8", "previouslyFormattedCitation" : "&lt;sup&gt;7,8&lt;/sup&gt;"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7,8</w:t>
      </w:r>
      <w:r w:rsidR="00B72D91">
        <w:rPr>
          <w:rFonts w:ascii="Times New Roman" w:hAnsi="Times New Roman" w:cs="Times New Roman"/>
        </w:rPr>
        <w:fldChar w:fldCharType="end"/>
      </w:r>
      <w:r w:rsidR="00546705">
        <w:rPr>
          <w:rFonts w:ascii="Times New Roman" w:hAnsi="Times New Roman" w:cs="Times New Roman"/>
        </w:rPr>
        <w:t>.</w:t>
      </w:r>
    </w:p>
    <w:p w14:paraId="701C4935" w14:textId="77777777" w:rsidR="002C0440" w:rsidRPr="00D91D38" w:rsidRDefault="002C0440" w:rsidP="00E4429E">
      <w:pPr>
        <w:spacing w:after="120" w:line="288" w:lineRule="auto"/>
        <w:rPr>
          <w:rFonts w:ascii="Times New Roman" w:hAnsi="Times New Roman" w:cs="Times New Roman"/>
        </w:rPr>
      </w:pPr>
      <w:r w:rsidRPr="00D91D38">
        <w:rPr>
          <w:rFonts w:ascii="Times New Roman" w:hAnsi="Times New Roman" w:cs="Times New Roman"/>
        </w:rPr>
        <w:t xml:space="preserve">“Reporting” refers to the inclusion of estimates of anthropogenic GHG fluxes in national GHG inventories, following the methodological guidance provided by the Intergovernmental Panel on Climate Change (IPCC). The GHG inventories reported under the UNFCCC should, in principle, aim to reflect “what the atmosphere sees” in </w:t>
      </w:r>
      <w:r>
        <w:rPr>
          <w:rFonts w:ascii="Times New Roman" w:hAnsi="Times New Roman" w:cs="Times New Roman"/>
        </w:rPr>
        <w:t>“</w:t>
      </w:r>
      <w:r w:rsidRPr="00D91D38">
        <w:rPr>
          <w:rFonts w:ascii="Times New Roman" w:hAnsi="Times New Roman" w:cs="Times New Roman"/>
        </w:rPr>
        <w:t>managed lands</w:t>
      </w:r>
      <w:r>
        <w:rPr>
          <w:rFonts w:ascii="Times New Roman" w:hAnsi="Times New Roman" w:cs="Times New Roman"/>
        </w:rPr>
        <w:t>”</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"IPCC", "given" : "", "non-dropping-particle" : "", "parse-names" : false, "suffix" : "" } ], "id" : "ITEM-1", "issued" : { "date-parts" : [ [ "2006" ] ] }, "publisher-place" : "Japan", "title" : "2006 IPCC Guidelines for National Greenhouse Gas Inventories", "type" : "report" }, "uris" : [ "http://www.mendeley.com/documents/?uuid=6fd3cfeb-603a-4ea3-bc52-8e58ecdd0d22" ] }, { "id" : "ITEM-2", "itemData" : { "DOI" : "10.1038/s41558-018-0283-x", "ISSN" : "1758-678X", "abstract" : "Achieving the long-term temperature goal of the Paris Agreement requires forest-based mitigation. Collective progress towards this goal will be assessed by the Paris Agreement\u2019s Global stocktake. At present, there is a discrepancy of about 4 GtCO2 yr\u22121 in global anthropogenic net land-use emissions between global models (reflected in IPCC assessment reports) and aggregated national GHG inventories (under the UNFCCC). We show that a substantial part of this discrepancy (about 3.2 GtCO2 yr\u22121) can be explained by conceptual differences in anthropogenic forest sink estimation, related to the representation of environmental change impacts and the areas considered as managed. For a more credible tracking of collective progress under the Global stocktake, these conceptual differences between models and inventories need to be reconciled. We implement a new method of disaggregation of global land model results that allows greater comparability with GHG inventories. This provides a deeper understanding of model\u2013inventory differences, allowing more transparent analysis of forest-based mitigation and facilitating a more accurate Global stocktake.", "author" : [ { "dropping-particle" : "", "family" : "Grassi", "given" : "Giacomo", "non-dropping-particle" : "", "parse-names" : false, "suffix" : "" }, { "dropping-particle" : "", "family" : "House", "given" : "Jo", "non-dropping-particle" : "", "parse-names" : false, "suffix" : "" }, { "dropping-particle" : "", "family" : "Kurz", "given" : "Werner A", "non-dropping-particle" : "", "parse-names" : false, "suffix" : "" }, { "dropping-particle" : "", "family" : "Cescatti", "given" : "Alessandro", "non-dropping-particle" : "", "parse-names" : false, "suffix" : "" }, { "dropping-particle" : "", "family" : "Houghton", "given" : "Richard A", "non-dropping-particle" : "", "parse-names" : false, "suffix" : "" }, { "dropping-particle" : "", "family" : "Peters", "given" : "Glen P", "non-dropping-particle" : "", "parse-names" : false, "suffix" : "" }, { "dropping-particle" : "", "family" : "Sanz", "given" : "Maria J", "non-dropping-particle" : "", "parse-names" : false, "suffix" : "" }, { "dropping-particle" : "", "family" : "Vi\u00f1as", "given" : "Raul Abad", "non-dropping-particle" : "", "parse-names" : false, "suffix" : "" }, { "dropping-particle" : "", "family" : "Alkama", "given" : "Ramdane", "non-dropping-particle" : "", "parse-names" : false, "suffix" : "" }, { "dropping-particle" : "", "family" : "Arneth", "given" : "Almut", "non-dropping-particle" : "", "parse-names" : false, "suffix" : "" }, { "dropping-particle" : "", "family" : "Bondeau", "given" : "Alberte", "non-dropping-particle" : "", "parse-names" : false, "suffix" : "" }, { "dropping-particle" : "", "family" : "Dentener", "given" : "Frank", "non-dropping-particle" : "", "parse-names" : false, "suffix" : "" }, { "dropping-particle" : "", "family" : "Fader", "given" : "Marianela", "non-dropping-particle" : "", "parse-names" : false, "suffix" : "" }, { "dropping-particle" : "", "family" : "Federici", "given" : "Sandro", "non-dropping-particle" : "", "parse-names" : false, "suffix" : "" }, { "dropping-particle" : "", "family" : "Friedlingstein", "given" : "Pierre", "non-dropping-particle" : "", "parse-names" : false, "suffix" : "" }, { "dropping-particle" : "", "family" : "Jain", "given" : "Atul K", "non-dropping-particle" : "", "parse-names" : false, "suffix" : "" }, { "dropping-particle" : "", "family" : "Kato", "given" : "Etsushi", "non-dropping-particle" : "", "parse-names" : false, "suffix" : "" }, { "dropping-particle" : "", "family" : "Koven", "given" : "Charles D", "non-dropping-particle" : "", "parse-names" : false, "suffix" : "" }, { "dropping-particle" : "", "family" : "Lee", "given" : "Donna", "non-dropping-particle" : "", "parse-names" : false, "suffix" : "" }, { "dropping-particle" : "", "family" : "Nabel", "given" : "Julia E M S", "non-dropping-particle" : "", "parse-names" : false, "suffix" : "" }, { "dropping-particle" : "", "family" : "Nassikas", "given" : "Alexander A", "non-dropping-particle" : "", "parse-names" : false, "suffix" : "" }, { "dropping-particle" : "", "family" : "Perugini", "given" : "Lucia", "non-dropping-particle" : "", "parse-names" : false, "suffix" : "" }, { "dropping-particle" : "", "family" : "Rossi", "given" : "Simone", "non-dropping-particle" : "", "parse-names" : false, "suffix" : "" }, { "dropping-particle" : "", "family" : "Sitch", "given" : "Stephen", "non-dropping-particle" : "", "parse-names" : false, "suffix" : "" }, { "dropping-particle" : "", "family" : "Viovy", "given" : "Nicolas", "non-dropping-particle" : "", "parse-names" : false, "suffix" : "" }, { "dropping-particle" : "", "family" : "Wiltshire", "given" : "Andy", "non-dropping-particle" : "", "parse-names" : false, "suffix" : "" }, { "dropping-particle" : "", "family" : "Zaehle", "given" : "S\u00f6nke", "non-dropping-particle" : "", "parse-names" : false, "suffix" : "" } ], "container-title" : "Nature Climate Change", "id" : "ITEM-2", "issue" : "10", "issued" : { "date-parts" : [ [ "2018", "10", "24" ] ] }, "page" : "914-920", "title" : "Reconciling global-model estimates and country reporting of anthropogenic forest CO2 sinks", "type" : "article-journal", "volume" : "8" }, "uris" : [ "http://www.mendeley.com/documents/?uuid=0ab64bf5-0fed-44f2-b89c-1bc9c11e90d3" ] } ], "mendeley" : { "formattedCitation" : "&lt;sup&gt;4,9&lt;/sup&gt;", "plainTextFormattedCitation" : "4,9", "previouslyFormattedCitation" : "&lt;sup&gt;4,9&lt;/sup&gt;"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4,9</w:t>
      </w:r>
      <w:r w:rsidR="00B72D91">
        <w:rPr>
          <w:rFonts w:ascii="Times New Roman" w:hAnsi="Times New Roman" w:cs="Times New Roman"/>
        </w:rPr>
        <w:fldChar w:fldCharType="end"/>
      </w:r>
      <w:r w:rsidRPr="00D91D38">
        <w:rPr>
          <w:rFonts w:ascii="Times New Roman" w:hAnsi="Times New Roman" w:cs="Times New Roman"/>
        </w:rPr>
        <w:t xml:space="preserve">, within the limits </w:t>
      </w:r>
      <w:r w:rsidR="00E4429E">
        <w:rPr>
          <w:rFonts w:ascii="Times New Roman" w:hAnsi="Times New Roman" w:cs="Times New Roman"/>
        </w:rPr>
        <w:t>imposed</w:t>
      </w:r>
      <w:r w:rsidRPr="00D91D38">
        <w:rPr>
          <w:rFonts w:ascii="Times New Roman" w:hAnsi="Times New Roman" w:cs="Times New Roman"/>
        </w:rPr>
        <w:t xml:space="preserve"> by the method used and the available</w:t>
      </w:r>
      <w:r w:rsidR="00F45411">
        <w:rPr>
          <w:rFonts w:ascii="Times New Roman" w:hAnsi="Times New Roman" w:cs="Times New Roman"/>
        </w:rPr>
        <w:t xml:space="preserve"> data</w:t>
      </w:r>
      <w:r w:rsidRPr="00D91D38">
        <w:rPr>
          <w:rFonts w:ascii="Times New Roman" w:hAnsi="Times New Roman" w:cs="Times New Roman"/>
        </w:rPr>
        <w:t xml:space="preserve">. </w:t>
      </w:r>
      <w:r>
        <w:rPr>
          <w:rFonts w:ascii="Times New Roman" w:hAnsi="Times New Roman" w:cs="Times New Roman"/>
        </w:rPr>
        <w:t xml:space="preserve">These inventories include the carbon stock changes in all the carbon pools, including living biomass, dead organic matter, soil and </w:t>
      </w:r>
      <w:r w:rsidRPr="00ED08AC">
        <w:rPr>
          <w:rFonts w:ascii="Times New Roman" w:hAnsi="Times New Roman" w:cs="Times New Roman"/>
        </w:rPr>
        <w:t>harvested wood products.</w:t>
      </w:r>
    </w:p>
    <w:p w14:paraId="08316933" w14:textId="77777777" w:rsidR="002C0440" w:rsidRDefault="00F45411" w:rsidP="00E4429E">
      <w:pPr>
        <w:spacing w:after="120" w:line="288" w:lineRule="auto"/>
        <w:rPr>
          <w:rFonts w:ascii="Times New Roman" w:hAnsi="Times New Roman" w:cs="Times New Roman"/>
        </w:rPr>
      </w:pPr>
      <w:r w:rsidRPr="00D91D38">
        <w:rPr>
          <w:rFonts w:ascii="Times New Roman" w:hAnsi="Times New Roman" w:cs="Times New Roman"/>
        </w:rPr>
        <w:t>In the context of mitigation targets</w:t>
      </w:r>
      <w:r>
        <w:rPr>
          <w:rFonts w:ascii="Times New Roman" w:hAnsi="Times New Roman" w:cs="Times New Roman"/>
        </w:rPr>
        <w:t xml:space="preserve"> (e.g. under the Kyoto Protocol, </w:t>
      </w:r>
      <w:r w:rsidRPr="00D91D38">
        <w:rPr>
          <w:rFonts w:ascii="Times New Roman" w:hAnsi="Times New Roman" w:cs="Times New Roman"/>
        </w:rPr>
        <w:t>the Paris Agreement</w:t>
      </w:r>
      <w:r>
        <w:rPr>
          <w:rFonts w:ascii="Times New Roman" w:hAnsi="Times New Roman" w:cs="Times New Roman"/>
        </w:rPr>
        <w:t xml:space="preserve"> and the EU 2030 climate targets</w:t>
      </w:r>
      <w:r w:rsidRPr="00D91D38">
        <w:rPr>
          <w:rFonts w:ascii="Times New Roman" w:hAnsi="Times New Roman" w:cs="Times New Roman"/>
        </w:rPr>
        <w:t>), “accounting” refers to the comparison of emissions and removals with</w:t>
      </w:r>
      <w:r>
        <w:rPr>
          <w:rFonts w:ascii="Times New Roman" w:hAnsi="Times New Roman" w:cs="Times New Roman"/>
        </w:rPr>
        <w:t xml:space="preserve"> respect to</w:t>
      </w:r>
      <w:r w:rsidRPr="00D91D38">
        <w:rPr>
          <w:rFonts w:ascii="Times New Roman" w:hAnsi="Times New Roman" w:cs="Times New Roman"/>
        </w:rPr>
        <w:t xml:space="preserve"> </w:t>
      </w:r>
      <w:r>
        <w:rPr>
          <w:rFonts w:ascii="Times New Roman" w:hAnsi="Times New Roman" w:cs="Times New Roman"/>
        </w:rPr>
        <w:t>a</w:t>
      </w:r>
      <w:r w:rsidRPr="00D91D38">
        <w:rPr>
          <w:rFonts w:ascii="Times New Roman" w:hAnsi="Times New Roman" w:cs="Times New Roman"/>
        </w:rPr>
        <w:t xml:space="preserve"> target and quantifies progress toward </w:t>
      </w:r>
      <w:r>
        <w:rPr>
          <w:rFonts w:ascii="Times New Roman" w:hAnsi="Times New Roman" w:cs="Times New Roman"/>
        </w:rPr>
        <w:t>this</w:t>
      </w:r>
      <w:r w:rsidRPr="00D91D38">
        <w:rPr>
          <w:rFonts w:ascii="Times New Roman" w:hAnsi="Times New Roman" w:cs="Times New Roman"/>
        </w:rPr>
        <w:t xml:space="preserve"> target. </w:t>
      </w:r>
      <w:r w:rsidR="002C0440" w:rsidRPr="00D91D38">
        <w:rPr>
          <w:rFonts w:ascii="Times New Roman" w:hAnsi="Times New Roman" w:cs="Times New Roman"/>
        </w:rPr>
        <w:t xml:space="preserve">Targets are typically expressed relative to the emissions in a base year (or </w:t>
      </w:r>
      <w:r w:rsidR="002C0440">
        <w:rPr>
          <w:rFonts w:ascii="Times New Roman" w:hAnsi="Times New Roman" w:cs="Times New Roman"/>
        </w:rPr>
        <w:t xml:space="preserve">a </w:t>
      </w:r>
      <w:r w:rsidR="002C0440" w:rsidRPr="00D91D38">
        <w:rPr>
          <w:rFonts w:ascii="Times New Roman" w:hAnsi="Times New Roman" w:cs="Times New Roman"/>
        </w:rPr>
        <w:t>baseline</w:t>
      </w:r>
      <w:r w:rsidR="002C0440">
        <w:rPr>
          <w:rFonts w:ascii="Times New Roman" w:hAnsi="Times New Roman" w:cs="Times New Roman"/>
        </w:rPr>
        <w:t>/benchmark</w:t>
      </w:r>
      <w:r w:rsidR="002C0440" w:rsidRPr="00D91D38">
        <w:rPr>
          <w:rFonts w:ascii="Times New Roman" w:hAnsi="Times New Roman" w:cs="Times New Roman"/>
        </w:rPr>
        <w:t>), thus the accounted mitigation outcomes should reflect genuine deviations from the activities generating emissions in the base year (or baseline</w:t>
      </w:r>
      <w:r w:rsidR="002C0440">
        <w:rPr>
          <w:rFonts w:ascii="Times New Roman" w:hAnsi="Times New Roman" w:cs="Times New Roman"/>
        </w:rPr>
        <w:t>/benchmark</w:t>
      </w:r>
      <w:r w:rsidR="002C0440" w:rsidRPr="00D91D38">
        <w:rPr>
          <w:rFonts w:ascii="Times New Roman" w:hAnsi="Times New Roman" w:cs="Times New Roman"/>
        </w:rPr>
        <w:t xml:space="preserve">). For the LULUCF sector, specific “accounting rules” may be applied to filter reported flux estimates with the aim to better quantify the results of mitigation actions. LULUCF accounting then produces “debits” or “credits” (i.e. extra emissions or extra emission reductions, respectively) that count toward the target. </w:t>
      </w:r>
    </w:p>
    <w:p w14:paraId="6A9D6F37" w14:textId="77777777" w:rsidR="002C0440" w:rsidRDefault="002C0440" w:rsidP="00E4429E">
      <w:pPr>
        <w:spacing w:after="120" w:line="288" w:lineRule="auto"/>
        <w:rPr>
          <w:rFonts w:ascii="Times New Roman" w:hAnsi="Times New Roman" w:cs="Times New Roman"/>
        </w:rPr>
      </w:pPr>
      <w:r>
        <w:rPr>
          <w:rFonts w:ascii="Times New Roman" w:hAnsi="Times New Roman" w:cs="Times New Roman"/>
        </w:rPr>
        <w:t>In the context of the recent EU LULUCF legislation</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"EU", "given" : "", "non-dropping-particle" : "", "parse-names" : false, "suffix" : "" } ], "id" : "ITEM-1", "issued" : { "date-parts" : [ [ "2018" ] ] }, "number-of-pages" : "25", "title" : "Regulation (EU) 2018/841 of the European Parliament and of the Council of 30 May 2018 on the inclusion of greenhouse gas emissions and removals from land use, land use change and forestry in the 2030 climate and energy framework, and amending Regulation (", "type" : "report" }, "uris" : [ "http://www.mendeley.com/documents/?uuid=729b82bd-f9b3-4781-9e31-49fcaefcd36c" ] } ], "mendeley" : { "formattedCitation" : "&lt;sup&gt;10&lt;/sup&gt;", "plainTextFormattedCitation" : "10", "previouslyFormattedCitation" : "&lt;sup&gt;10&lt;/sup&gt;"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10</w:t>
      </w:r>
      <w:r w:rsidR="00B72D91">
        <w:rPr>
          <w:rFonts w:ascii="Times New Roman" w:hAnsi="Times New Roman" w:cs="Times New Roman"/>
        </w:rPr>
        <w:fldChar w:fldCharType="end"/>
      </w:r>
      <w:r>
        <w:rPr>
          <w:rFonts w:ascii="Times New Roman" w:hAnsi="Times New Roman" w:cs="Times New Roman"/>
        </w:rPr>
        <w:t xml:space="preserve">, </w:t>
      </w:r>
      <w:r w:rsidRPr="006A59A0">
        <w:rPr>
          <w:rFonts w:ascii="Times New Roman" w:hAnsi="Times New Roman" w:cs="Times New Roman"/>
        </w:rPr>
        <w:t xml:space="preserve">the </w:t>
      </w:r>
      <w:r>
        <w:rPr>
          <w:rFonts w:ascii="Times New Roman" w:hAnsi="Times New Roman" w:cs="Times New Roman"/>
        </w:rPr>
        <w:t xml:space="preserve">forest management mitigation (i.e. the </w:t>
      </w:r>
      <w:r w:rsidRPr="006A59A0">
        <w:rPr>
          <w:rFonts w:ascii="Times New Roman" w:hAnsi="Times New Roman" w:cs="Times New Roman"/>
        </w:rPr>
        <w:t xml:space="preserve">contribution of </w:t>
      </w:r>
      <w:r>
        <w:rPr>
          <w:rFonts w:ascii="Times New Roman" w:hAnsi="Times New Roman" w:cs="Times New Roman"/>
        </w:rPr>
        <w:t>managed forests</w:t>
      </w:r>
      <w:r w:rsidRPr="006A59A0">
        <w:rPr>
          <w:rFonts w:ascii="Times New Roman" w:hAnsi="Times New Roman" w:cs="Times New Roman"/>
        </w:rPr>
        <w:t xml:space="preserve"> to the EU climate targets in the period 2021-2030</w:t>
      </w:r>
      <w:r>
        <w:rPr>
          <w:rFonts w:ascii="Times New Roman" w:hAnsi="Times New Roman" w:cs="Times New Roman"/>
        </w:rPr>
        <w:t>)</w:t>
      </w:r>
      <w:r w:rsidRPr="006A59A0">
        <w:rPr>
          <w:rFonts w:ascii="Times New Roman" w:hAnsi="Times New Roman" w:cs="Times New Roman"/>
        </w:rPr>
        <w:t xml:space="preserve"> will be determined by comparing the actual forest sink to a predetermined science-based projected benchmark</w:t>
      </w:r>
      <w:r>
        <w:rPr>
          <w:rFonts w:ascii="Times New Roman" w:hAnsi="Times New Roman" w:cs="Times New Roman"/>
        </w:rPr>
        <w:t xml:space="preserve"> (called “forest reference level”)</w:t>
      </w:r>
      <w:r w:rsidRPr="006A59A0">
        <w:rPr>
          <w:rFonts w:ascii="Times New Roman" w:hAnsi="Times New Roman" w:cs="Times New Roman"/>
        </w:rPr>
        <w:t>, which reflects the continuation of the historical forest management practice</w:t>
      </w:r>
      <w:r w:rsidR="00E4429E">
        <w:rPr>
          <w:rFonts w:ascii="Times New Roman" w:hAnsi="Times New Roman" w:cs="Times New Roman"/>
        </w:rPr>
        <w:t>s</w:t>
      </w:r>
      <w:r w:rsidRPr="006A59A0">
        <w:rPr>
          <w:rFonts w:ascii="Times New Roman" w:hAnsi="Times New Roman" w:cs="Times New Roman"/>
        </w:rPr>
        <w:t xml:space="preserve"> </w:t>
      </w:r>
      <w:r>
        <w:rPr>
          <w:rFonts w:ascii="Times New Roman" w:hAnsi="Times New Roman" w:cs="Times New Roman"/>
        </w:rPr>
        <w:t>taking into account the dynamic impact</w:t>
      </w:r>
      <w:r w:rsidR="00E4429E">
        <w:rPr>
          <w:rFonts w:ascii="Times New Roman" w:hAnsi="Times New Roman" w:cs="Times New Roman"/>
        </w:rPr>
        <w:t>s</w:t>
      </w:r>
      <w:r>
        <w:rPr>
          <w:rFonts w:ascii="Times New Roman" w:hAnsi="Times New Roman" w:cs="Times New Roman"/>
        </w:rPr>
        <w:t xml:space="preserve"> of forest aging</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"10.1186/s13021-018-0096-2", "ISSN" : "1750-0680", "abstract" : "The credibility and effectiveness of country climate targets under the Paris Agreement requires that, in all greenhouse gas (GHG) sectors, the accounted mitigation outcomes reflect genuine deviations from the type and magnitude of activities generating emissions in the base year or baseline. This is challenging for the forestry sector, as the future net emissions can change irrespective of actual management activities, because of age-related stand dynamics resulting from past management and natural disturbances. The solution implemented under the Kyoto Protocol (2013\u20132020) was accounting mitigation as deviation from a projected (forward-looking) \u201cforest reference level\u201d, which considered the age-related dynamics but also allowed including the assumed future implementation of approved policies. This caused controversies, as unverifiable counterfactual scenarios with inflated future harvest could lead to credits where no change in management has actually occurred, or conversely, failing to reflect in the accounts a policy-driven increase in net emissions. Instead, here we describe an approach to set reference levels based on the projected continuation of documented historical forest management practice, i.e. reflecting age-related dynamics but not the future impact of policies. We illustrate a possible method to implement this approach at the level of the European Union (EU) using the Carbon Budget Model.", "author" : [ { "dropping-particle" : "", "family" : "Grassi", "given" : "Giacomo", "non-dropping-particle" : "", "parse-names" : false, "suffix" : "" }, { "dropping-particle" : "", "family" : "Pilli", "given" : "Roberto", "non-dropping-particle" : "", "parse-names" : false, "suffix" : "" }, { "dropping-particle" : "", "family" : "House", "given" : "Jo", "non-dropping-particle" : "", "parse-names" : false, "suffix" : "" }, { "dropping-particle" : "", "family" : "Federici", "given" : "Sandro", "non-dropping-particle" : "", "parse-names" : false, "suffix" : "" }, { "dropping-particle" : "", "family" : "Kurz", "given" : "Werner A", "non-dropping-particle" : "", "parse-names" : false, "suffix" : "" } ], "container-title" : "Carbon Balance and Management", "id" : "ITEM-1", "issue" : "1", "issued" : { "date-parts" : [ [ "2018", "12", "17" ] ] }, "page" : "8", "title" : "Science-based approach for credible accounting of mitigation in managed forests", "type" : "article-journal", "volume" : "13" }, "uris" : [ "http://www.mendeley.com/documents/?uuid=12d440d2-9ace-4a86-8299-634fb97d0fe1" ] }, { "id" : "ITEM-2", "itemData" : { "abstract" : "This technical guidance document has been prepared for DG Climate Action, to support the EU Member States in complying with the \u2018LULUCF Regulation\u2019, 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 (Text with EEA relevance). In particular, the aim of this document is to provide guidance for the Member States on the establishment of Forest Reference Levels (FRLs) and National Forestry Accounting Plans (NFAPs) as required by the LULUCF Regulation. The LULUCF Regulation requires the Member States to submit their NFAPs, including a proposed FRL, to the Commission by 31 December 2018 for the period from 2021 to 2025, and by 30 June 2023 for the period from 2026 to 2030. While the guidance provided in this document is not binding on the Member States, it seeks to help the Member States to interpret the LULUCF Regulation, and provides examples of possible technical approaches for preparing the FRLs and NFAPs. However, there may exist a number of other approaches to set the FRL in line with the LULUCF Regulation.", "author" : [ { "dropping-particle" : "", "family" : "Forsell", "given" : "N.", "non-dropping-particle" : "", "parse-names" : false, "suffix" : "" }, { "dropping-particle" : "", "family" : "Korosuo", "given" : "A.", "non-dropping-particle" : "", "parse-names" : false, "suffix" : "" }, { "dropping-particle" : "", "family" : "Federici", "given" : "S.", "non-dropping-particle" : "", "parse-names" : false, "suffix" : "" }, { "dropping-particle" : "", "family" : "Gusti", "given" : "M.", "non-dropping-particle" : "", "parse-names" : false, "suffix" : "" }, { "dropping-particle" : "", "family" : "Rinc\u00f3n-Crist\u00f3bal", "given" : "J-J.", "non-dropping-particle" : "", "parse-names" : false, "suffix" : "" }, { "dropping-particle" : "", "family" : "R\u00fcter", "given" : "S.", "non-dropping-particle" : "", "parse-names" : false, "suffix" : "" }, { "dropping-particle" : "", "family" : "S\u00e1nchez-Jim\u00e9nez", "given" : "B.", "non-dropping-particle" : "", "parse-names" : false, "suffix" : "" }, { "dropping-particle" : "", "family" : "Dore", "given" : "C.", "non-dropping-particle" : "", "parse-names" : false, "suffix" : "" }, { "dropping-particle" : "", "family" : "Brajterman", "given" : "O.", "non-dropping-particle" : "", "parse-names" : false, "suffix" : "" }, { "dropping-particle" : "", "family" : "Gardiner", "given" : "J.", "non-dropping-particle" : "", "parse-names" : false, "suffix" : "" } ], "id" : "ITEM-2", "issued" : { "date-parts" : [ [ "2018" ] ] }, "number-of-pages" : "120", "publisher-place" : "Luxembourg: Publications Office of the European Union", "title" : "Guidance on developing and reporting Forest Reference Levels in accordance with Regulation (EU) 2018/841", "type" : "report" }, "uris" : [ "http://www.mendeley.com/documents/?uuid=9125cd02-3f77-4abe-a305-694401a71362" ] } ], "mendeley" : { "formattedCitation" : "&lt;sup&gt;5,11&lt;/sup&gt;", "plainTextFormattedCitation" : "5,11", "previouslyFormattedCitation" : "&lt;sup&gt;5,11&lt;/sup&gt;"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5,11</w:t>
      </w:r>
      <w:r w:rsidR="00B72D91">
        <w:rPr>
          <w:rFonts w:ascii="Times New Roman" w:hAnsi="Times New Roman" w:cs="Times New Roman"/>
        </w:rPr>
        <w:fldChar w:fldCharType="end"/>
      </w:r>
      <w:r w:rsidRPr="006A59A0">
        <w:rPr>
          <w:rFonts w:ascii="Times New Roman" w:hAnsi="Times New Roman" w:cs="Times New Roman"/>
        </w:rPr>
        <w:t>. If the actual sink fall</w:t>
      </w:r>
      <w:r>
        <w:rPr>
          <w:rFonts w:ascii="Times New Roman" w:hAnsi="Times New Roman" w:cs="Times New Roman"/>
        </w:rPr>
        <w:t>s</w:t>
      </w:r>
      <w:r w:rsidRPr="006A59A0">
        <w:rPr>
          <w:rFonts w:ascii="Times New Roman" w:hAnsi="Times New Roman" w:cs="Times New Roman"/>
        </w:rPr>
        <w:t xml:space="preserve"> below this </w:t>
      </w:r>
      <w:r>
        <w:rPr>
          <w:rFonts w:ascii="Times New Roman" w:hAnsi="Times New Roman" w:cs="Times New Roman"/>
        </w:rPr>
        <w:t>reference level</w:t>
      </w:r>
      <w:r w:rsidRPr="006A59A0">
        <w:rPr>
          <w:rFonts w:ascii="Times New Roman" w:hAnsi="Times New Roman" w:cs="Times New Roman"/>
        </w:rPr>
        <w:t xml:space="preserve">, the corresponding accounting “debit” will need to be compensated for, through extra emission reduction efforts in other GHG sectors, such as </w:t>
      </w:r>
      <w:r>
        <w:rPr>
          <w:rFonts w:ascii="Times New Roman" w:hAnsi="Times New Roman" w:cs="Times New Roman"/>
        </w:rPr>
        <w:t xml:space="preserve">transport, agriculture or </w:t>
      </w:r>
      <w:r w:rsidRPr="006A59A0">
        <w:rPr>
          <w:rFonts w:ascii="Times New Roman" w:hAnsi="Times New Roman" w:cs="Times New Roman"/>
        </w:rPr>
        <w:t>energy.</w:t>
      </w:r>
      <w:r>
        <w:rPr>
          <w:rFonts w:ascii="Times New Roman" w:hAnsi="Times New Roman" w:cs="Times New Roman"/>
        </w:rPr>
        <w:t xml:space="preserve"> Therefore, irrespective of the potential evolution of the forest sink</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"10.1186/s13021-018-0107-3", "ISSN" : "1750-0680", "abstract" : "In June 2018, the European Parliament and Council of the European Union adopted a legislative regulation for incorporating greenhouse gas emissions and removals from Land Use, Land Use Change and Forestry (EU-LULUCF) under its 2030 Climate and Energy Framework. The LULUCF regulation aim to incentivise EU Member States to decrease greenhouse gas emissions and increase removals in the LULUCF sector. The regulation, however, does not set a target for increasing the LULUCF carbon sink, but rather includes a \u2018no net debit\u2019 target for LULUCF (Forests and Agricultural soils). For Managed Forest Land (MFL) an accounting framework with capped credits for additional mitigation against a set forest reference level (FRL) was agreed for 2021\u20132030. The FRL gives the projected future carbon sink in the two compliance periods 2021\u20132025 and 2026\u20132030 under \u201ccontinuation of forest management practices as they were in the reference period 2000\u20132009\u201d. This FRL was disputed by some Member States as it was perceived to put a limit on their future wood harvesting from MFL. Here we simulated with the EFISCEN European forest model the \u201ccontinuation of forest management practices\u201d and determined the corresponding wood harvest for 26 EU countries under progressing age classes.", "author" : [ { "dropping-particle" : "", "family" : "Nabuurs", "given" : "Gert-Jan", "non-dropping-particle" : "", "parse-names" : false, "suffix" : "" }, { "dropping-particle" : "", "family" : "Arets", "given" : "Eric J M M", "non-dropping-particle" : "", "parse-names" : false, "suffix" : "" }, { "dropping-particle" : "", "family" : "Schelhaas", "given" : "Mart-Jan", "non-dropping-particle" : "", "parse-names" : false, "suffix" : "" } ], "container-title" : "Carbon Balance and Management", "id" : "ITEM-1", "issue" : "1", "issued" : { "date-parts" : [ [ "2018", "12", "16" ] ] }, "page" : "18", "title" : "Understanding the implications of the EU-LULUCF regulation for the wood supply from EU forests to the EU", "type" : "article-journal", "volume" : "13" }, "uris" : [ "http://www.mendeley.com/documents/?uuid=067d7c8d-854c-48a7-86cd-abca971a8bfa" ] } ], "mendeley" : { "formattedCitation" : "&lt;sup&gt;12&lt;/sup&gt;", "plainTextFormattedCitation" : "12", "previouslyFormattedCitation" : "&lt;sup&gt;12&lt;/sup&gt;"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12</w:t>
      </w:r>
      <w:r w:rsidR="00B72D91">
        <w:rPr>
          <w:rFonts w:ascii="Times New Roman" w:hAnsi="Times New Roman" w:cs="Times New Roman"/>
        </w:rPr>
        <w:fldChar w:fldCharType="end"/>
      </w:r>
      <w:r>
        <w:rPr>
          <w:rFonts w:ascii="Times New Roman" w:hAnsi="Times New Roman" w:cs="Times New Roman"/>
        </w:rPr>
        <w:t>,</w:t>
      </w:r>
      <w:r w:rsidR="00975D4B">
        <w:rPr>
          <w:rFonts w:ascii="Times New Roman" w:hAnsi="Times New Roman" w:cs="Times New Roman"/>
        </w:rPr>
        <w:t xml:space="preserve"> </w:t>
      </w:r>
      <w:r>
        <w:rPr>
          <w:rFonts w:ascii="Times New Roman" w:hAnsi="Times New Roman" w:cs="Times New Roman"/>
        </w:rPr>
        <w:t xml:space="preserve">if the contribution of forests to the EU target has to be assessed, the specific forest </w:t>
      </w:r>
      <w:r>
        <w:rPr>
          <w:rFonts w:ascii="Times New Roman" w:hAnsi="Times New Roman" w:cs="Times New Roman"/>
        </w:rPr>
        <w:lastRenderedPageBreak/>
        <w:t xml:space="preserve">accounting rules (such as forest reference level) have to be fully taken into account. </w:t>
      </w:r>
      <w:r w:rsidR="00975D4B">
        <w:rPr>
          <w:rFonts w:ascii="Times New Roman" w:hAnsi="Times New Roman" w:cs="Times New Roman"/>
        </w:rPr>
        <w:t>Once this is done, the contribution from forests to the EU 2030 target appears relatively small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"10.1186/s13021-018-0096-2", "ISSN" : "1750-0680", "abstract" : "The credibility and effectiveness of country climate targets under the Paris Agreement requires that, in all greenhouse gas (GHG) sectors, the accounted mitigation outcomes reflect genuine deviations from the type and magnitude of activities generating emissions in the base year or baseline. This is challenging for the forestry sector, as the future net emissions can change irrespective of actual management activities, because of age-related stand dynamics resulting from past management and natural disturbances. The solution implemented under the Kyoto Protocol (2013\u20132020) was accounting mitigation as deviation from a projected (forward-looking) \u201cforest reference level\u201d, which considered the age-related dynamics but also allowed including the assumed future implementation of approved policies. This caused controversies, as unverifiable counterfactual scenarios with inflated future harvest could lead to credits where no change in management has actually occurred, or conversely, failing to reflect in the accounts a policy-driven increase in net emissions. Instead, here we describe an approach to set reference levels based on the projected continuation of documented historical forest management practice, i.e. reflecting age-related dynamics but not the future impact of policies. We illustrate a possible method to implement this approach at the level of the European Union (EU) using the Carbon Budget Model.", "author" : [ { "dropping-particle" : "", "family" : "Grassi", "given" : "Giacomo", "non-dropping-particle" : "", "parse-names" : false, "suffix" : "" }, { "dropping-particle" : "", "family" : "Pilli", "given" : "Roberto", "non-dropping-particle" : "", "parse-names" : false, "suffix" : "" }, { "dropping-particle" : "", "family" : "House", "given" : "Jo", "non-dropping-particle" : "", "parse-names" : false, "suffix" : "" }, { "dropping-particle" : "", "family" : "Federici", "given" : "Sandro", "non-dropping-particle" : "", "parse-names" : false, "suffix" : "" }, { "dropping-particle" : "", "family" : "Kurz", "given" : "Werner A", "non-dropping-particle" : "", "parse-names" : false, "suffix" : "" } ], "container-title" : "Carbon Balance and Management", "id" : "ITEM-1", "issue" : "1", "issued" : { "date-parts" : [ [ "2018", "12", "17" ] ] }, "page" : "8", "title" : "Science-based approach for credible accounting of mitigation in managed forests", "type" : "article-journal", "volume" : "13" }, "uris" : [ "http://www.mendeley.com/documents/?uuid=12d440d2-9ace-4a86-8299-634fb97d0fe1" ] }, { "id" : "ITEM-2", "itemData" : { "author" : [ { "dropping-particle" : "", "family" : "EC", "given" : "", "non-dropping-particle" : "", "parse-names" : false, "suffix" : "" } ], "id" : "ITEM-2", "issued" : { "date-parts" : [ [ "2016" ] ] }, "number-of-pages" : "139", "publisher-place" : "Brussels", "title" : "Commission Staff Working Document. Impact assessment accompanying the document Proposal for a Regulation of the European Parliament and of the Council on the inclusion of greenhouse gas emissions and removals from land use, land use change and forestry in", "type" : "report" }, "uris" : [ "http://www.mendeley.com/documents/?uuid=153cf29a-764f-4b11-bcf7-ea093a58f4dd" ] } ], "mendeley" : { "formattedCitation" : "&lt;sup&gt;5,13&lt;/sup&gt;", "plainTextFormattedCitation" : "5,13", "previouslyFormattedCitation" : "&lt;sup&gt;5,13&lt;/sup&gt;" }, "properties" : { "noteIndex" : 2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5,13</w:t>
      </w:r>
      <w:r w:rsidR="00B72D91">
        <w:rPr>
          <w:rFonts w:ascii="Times New Roman" w:hAnsi="Times New Roman" w:cs="Times New Roman"/>
        </w:rPr>
        <w:fldChar w:fldCharType="end"/>
      </w:r>
      <w:r w:rsidR="00975D4B">
        <w:rPr>
          <w:rFonts w:ascii="Times New Roman" w:hAnsi="Times New Roman" w:cs="Times New Roman"/>
        </w:rPr>
        <w:t>, as discussed in the main text.</w:t>
      </w:r>
    </w:p>
    <w:p w14:paraId="34C078D5" w14:textId="77777777" w:rsidR="002C0440" w:rsidRDefault="002C0440" w:rsidP="00E4429E">
      <w:pPr>
        <w:spacing w:after="120" w:line="288" w:lineRule="auto"/>
        <w:rPr>
          <w:rFonts w:ascii="Times New Roman" w:hAnsi="Times New Roman" w:cs="Times New Roman"/>
        </w:rPr>
      </w:pPr>
      <w:r>
        <w:rPr>
          <w:rFonts w:ascii="Times New Roman" w:hAnsi="Times New Roman" w:cs="Times New Roman"/>
        </w:rPr>
        <w:t xml:space="preserve">Beyond the “direct” forest GHG mitigation described above, reflected in the LULUCF sector, </w:t>
      </w:r>
      <w:r w:rsidRPr="009F292D">
        <w:rPr>
          <w:rFonts w:ascii="Times New Roman" w:hAnsi="Times New Roman" w:cs="Times New Roman"/>
        </w:rPr>
        <w:t>forests may contribute also “indirectly”, through the utilization of wood as an energy source and the substitution of energy intensive materials with durable long life wood products. Here we consider this contribution as “indirect” because it generates GHG saving</w:t>
      </w:r>
      <w:r>
        <w:rPr>
          <w:rFonts w:ascii="Times New Roman" w:hAnsi="Times New Roman" w:cs="Times New Roman"/>
        </w:rPr>
        <w:t>s</w:t>
      </w:r>
      <w:r w:rsidRPr="009F292D">
        <w:rPr>
          <w:rFonts w:ascii="Times New Roman" w:hAnsi="Times New Roman" w:cs="Times New Roman"/>
        </w:rPr>
        <w:t xml:space="preserve"> in other GHG sectors, such as energy and building</w:t>
      </w:r>
      <w:r>
        <w:rPr>
          <w:rFonts w:ascii="Times New Roman" w:hAnsi="Times New Roman" w:cs="Times New Roman"/>
        </w:rPr>
        <w:t>s</w:t>
      </w:r>
      <w:r w:rsidRPr="009F292D">
        <w:rPr>
          <w:rFonts w:ascii="Times New Roman" w:hAnsi="Times New Roman" w:cs="Times New Roman"/>
        </w:rPr>
        <w:t>, but not directly in the LULUCF</w:t>
      </w:r>
      <w:r>
        <w:rPr>
          <w:rFonts w:ascii="Times New Roman" w:hAnsi="Times New Roman" w:cs="Times New Roman"/>
        </w:rPr>
        <w:t xml:space="preserve"> sector.</w:t>
      </w:r>
    </w:p>
    <w:p w14:paraId="56E853C7" w14:textId="77777777" w:rsidR="002C0440" w:rsidRDefault="002C0440" w:rsidP="00E4429E">
      <w:pPr>
        <w:spacing w:after="120" w:line="288" w:lineRule="auto"/>
        <w:jc w:val="both"/>
        <w:rPr>
          <w:rFonts w:ascii="Times New Roman" w:hAnsi="Times New Roman" w:cs="Times New Roman"/>
        </w:rPr>
      </w:pPr>
      <w:r>
        <w:rPr>
          <w:rFonts w:ascii="Times New Roman" w:hAnsi="Times New Roman" w:cs="Times New Roman"/>
        </w:rPr>
        <w:t>While the GHG savings from material substitution are addressed elsewhere</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"R\u00fcter", "given" : "S", "non-dropping-particle" : "", "parse-names" : false, "suffix" : "" }, { "dropping-particle" : "", "family" : "Werner", "given" : "F", "non-dropping-particle" : "", "parse-names" : false, "suffix" : "" }, { "dropping-particle" : "", "family" : "Forsell", "given" : "N", "non-dropping-particle" : "", "parse-names" : false, "suffix" : "" }, { "dropping-particle" : "", "family" : "Prins", "given" : "C", "non-dropping-particle" : "", "parse-names" : false, "suffix" : "" }, { "dropping-particle" : "", "family" : "Vial", "given" : "E", "non-dropping-particle" : "", "parse-names" : false, "suffix" : "" }, { "dropping-particle" : "", "family" : "Levet", "given" : "A-L.", "non-dropping-particle" : "", "parse-names" : false, "suffix" : "" } ], "id" : "ITEM-1", "issued" : { "date-parts" : [ [ "2016" ] ] }, "number-of-pages" : "147", "publisher-place" : "Braunschweig", "title" : "ClimWood2030, Climate benefits of material substitution by forest biomass and harvested wood products: Perspective 2030 - Final Report", "type" : "report" }, "uris" : [ "http://www.mendeley.com/documents/?uuid=38e4e84f-4ddf-4f5e-a037-8d46423d6f77" ] } ], "mendeley" : { "formattedCitation" : "&lt;sup&gt;14&lt;/sup&gt;", "plainTextFormattedCitation" : "14", "previouslyFormattedCitation" : "&lt;sup&gt;14&lt;/sup&gt;" }, "properties" : { "noteIndex" : 3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14</w:t>
      </w:r>
      <w:r w:rsidR="00B72D91">
        <w:rPr>
          <w:rFonts w:ascii="Times New Roman" w:hAnsi="Times New Roman" w:cs="Times New Roman"/>
        </w:rPr>
        <w:fldChar w:fldCharType="end"/>
      </w:r>
      <w:r w:rsidRPr="00ED08AC">
        <w:rPr>
          <w:rFonts w:ascii="Times New Roman" w:hAnsi="Times New Roman" w:cs="Times New Roman"/>
        </w:rPr>
        <w:t>, in the following section we illustrate the methodology used to</w:t>
      </w:r>
      <w:r>
        <w:rPr>
          <w:rFonts w:ascii="Times New Roman" w:hAnsi="Times New Roman" w:cs="Times New Roman"/>
        </w:rPr>
        <w:t xml:space="preserve"> estimate the likely contribution of forest-based bioenergy to the EU 2030 climate target, as reported in the main text.</w:t>
      </w:r>
    </w:p>
    <w:p w14:paraId="29E2CF50" w14:textId="77777777" w:rsidR="002C0440" w:rsidRDefault="002C0440" w:rsidP="00E4429E">
      <w:pPr>
        <w:spacing w:after="60" w:line="288" w:lineRule="auto"/>
        <w:rPr>
          <w:rFonts w:ascii="Times New Roman" w:hAnsi="Times New Roman" w:cs="Times New Roman"/>
          <w:b/>
          <w:szCs w:val="22"/>
          <w:lang w:val="en-GB"/>
        </w:rPr>
      </w:pPr>
    </w:p>
    <w:p w14:paraId="6E48B27E" w14:textId="5B74156A" w:rsidR="002C0440" w:rsidRPr="00ED08AC" w:rsidRDefault="0095304D" w:rsidP="00E4429E">
      <w:pPr>
        <w:spacing w:after="60" w:line="288" w:lineRule="auto"/>
        <w:rPr>
          <w:rFonts w:ascii="Times New Roman" w:hAnsi="Times New Roman" w:cs="Times New Roman"/>
          <w:b/>
          <w:sz w:val="22"/>
          <w:szCs w:val="22"/>
          <w:u w:val="single"/>
          <w:lang w:val="en-GB"/>
        </w:rPr>
      </w:pPr>
      <w:r>
        <w:rPr>
          <w:rFonts w:ascii="Times New Roman" w:hAnsi="Times New Roman" w:cs="Times New Roman"/>
          <w:b/>
          <w:sz w:val="22"/>
          <w:szCs w:val="22"/>
          <w:lang w:val="en-GB"/>
        </w:rPr>
        <w:t>S</w:t>
      </w:r>
      <w:r w:rsidR="002C0440" w:rsidRPr="00DC1316">
        <w:rPr>
          <w:rFonts w:ascii="Times New Roman" w:hAnsi="Times New Roman" w:cs="Times New Roman"/>
          <w:b/>
          <w:sz w:val="22"/>
          <w:szCs w:val="22"/>
          <w:lang w:val="en-GB"/>
        </w:rPr>
        <w:t>2.2.</w:t>
      </w:r>
      <w:r w:rsidR="002C0440">
        <w:rPr>
          <w:rFonts w:ascii="Times New Roman" w:hAnsi="Times New Roman" w:cs="Times New Roman"/>
          <w:sz w:val="22"/>
          <w:szCs w:val="22"/>
          <w:lang w:val="en-GB"/>
        </w:rPr>
        <w:t xml:space="preserve"> </w:t>
      </w:r>
      <w:r w:rsidR="002C0440" w:rsidRPr="00ED08AC">
        <w:rPr>
          <w:rFonts w:ascii="Times New Roman" w:hAnsi="Times New Roman" w:cs="Times New Roman"/>
          <w:b/>
          <w:sz w:val="22"/>
          <w:szCs w:val="22"/>
          <w:u w:val="single"/>
          <w:lang w:val="en-GB"/>
        </w:rPr>
        <w:t xml:space="preserve">Estimating the </w:t>
      </w:r>
      <w:r w:rsidR="002C0440" w:rsidRPr="00ED08AC">
        <w:rPr>
          <w:rFonts w:ascii="Times New Roman" w:hAnsi="Times New Roman" w:cs="Times New Roman"/>
          <w:b/>
          <w:sz w:val="22"/>
          <w:szCs w:val="22"/>
          <w:u w:val="single"/>
        </w:rPr>
        <w:t>contribution of forest-based bioenergy to the EU 2030 climate target</w:t>
      </w:r>
    </w:p>
    <w:p w14:paraId="75F4768B" w14:textId="77777777" w:rsidR="002C0440" w:rsidRDefault="002C0440" w:rsidP="00E4429E">
      <w:pPr>
        <w:spacing w:after="120" w:line="288" w:lineRule="auto"/>
        <w:rPr>
          <w:rFonts w:ascii="Times New Roman" w:hAnsi="Times New Roman" w:cs="Times New Roman"/>
        </w:rPr>
      </w:pPr>
      <w:r w:rsidRPr="006A59A0">
        <w:rPr>
          <w:rFonts w:ascii="Times New Roman" w:hAnsi="Times New Roman" w:cs="Times New Roman"/>
        </w:rPr>
        <w:t xml:space="preserve">The </w:t>
      </w:r>
      <w:r>
        <w:rPr>
          <w:rFonts w:ascii="Times New Roman" w:hAnsi="Times New Roman" w:cs="Times New Roman"/>
        </w:rPr>
        <w:t xml:space="preserve">results </w:t>
      </w:r>
      <w:r w:rsidRPr="006A59A0">
        <w:rPr>
          <w:rFonts w:ascii="Times New Roman" w:hAnsi="Times New Roman" w:cs="Times New Roman"/>
        </w:rPr>
        <w:t>present</w:t>
      </w:r>
      <w:r>
        <w:rPr>
          <w:rFonts w:ascii="Times New Roman" w:hAnsi="Times New Roman" w:cs="Times New Roman"/>
        </w:rPr>
        <w:t>ed in support of this</w:t>
      </w:r>
      <w:r w:rsidRPr="006A59A0">
        <w:rPr>
          <w:rFonts w:ascii="Times New Roman" w:hAnsi="Times New Roman" w:cs="Times New Roman"/>
        </w:rPr>
        <w:t xml:space="preserve"> comment </w:t>
      </w:r>
      <w:r>
        <w:rPr>
          <w:rFonts w:ascii="Times New Roman" w:hAnsi="Times New Roman" w:cs="Times New Roman"/>
        </w:rPr>
        <w:t xml:space="preserve">are not intended </w:t>
      </w:r>
      <w:r w:rsidRPr="006A59A0">
        <w:rPr>
          <w:rFonts w:ascii="Times New Roman" w:hAnsi="Times New Roman" w:cs="Times New Roman"/>
        </w:rPr>
        <w:t xml:space="preserve">to provide a comprehensive assessment of the GHG savings associated with the use of wood for energy purposes in the </w:t>
      </w:r>
      <w:r>
        <w:rPr>
          <w:rFonts w:ascii="Times New Roman" w:hAnsi="Times New Roman" w:cs="Times New Roman"/>
        </w:rPr>
        <w:t>European Union (</w:t>
      </w:r>
      <w:r w:rsidRPr="006A59A0">
        <w:rPr>
          <w:rFonts w:ascii="Times New Roman" w:hAnsi="Times New Roman" w:cs="Times New Roman"/>
        </w:rPr>
        <w:t>EU</w:t>
      </w:r>
      <w:r>
        <w:rPr>
          <w:rFonts w:ascii="Times New Roman" w:hAnsi="Times New Roman" w:cs="Times New Roman"/>
        </w:rPr>
        <w:t>, including 28 Member States)</w:t>
      </w:r>
      <w:r w:rsidRPr="006A59A0">
        <w:rPr>
          <w:rFonts w:ascii="Times New Roman" w:hAnsi="Times New Roman" w:cs="Times New Roman"/>
        </w:rPr>
        <w:t>. Rather, we aim to provide an order</w:t>
      </w:r>
      <w:r w:rsidR="00E4429E">
        <w:rPr>
          <w:rFonts w:ascii="Times New Roman" w:hAnsi="Times New Roman" w:cs="Times New Roman"/>
        </w:rPr>
        <w:t xml:space="preserve"> </w:t>
      </w:r>
      <w:r w:rsidRPr="006A59A0">
        <w:rPr>
          <w:rFonts w:ascii="Times New Roman" w:hAnsi="Times New Roman" w:cs="Times New Roman"/>
        </w:rPr>
        <w:t>of</w:t>
      </w:r>
      <w:r w:rsidR="00E4429E">
        <w:rPr>
          <w:rFonts w:ascii="Times New Roman" w:hAnsi="Times New Roman" w:cs="Times New Roman"/>
        </w:rPr>
        <w:t xml:space="preserve"> </w:t>
      </w:r>
      <w:r w:rsidRPr="006A59A0">
        <w:rPr>
          <w:rFonts w:ascii="Times New Roman" w:hAnsi="Times New Roman" w:cs="Times New Roman"/>
        </w:rPr>
        <w:t xml:space="preserve">magnitude of the expected relative additional contribution of EU wood bioenergy to the EU 2030 climate targets. In doing so, we took into account the new EU </w:t>
      </w:r>
      <w:r>
        <w:rPr>
          <w:rFonts w:ascii="Times New Roman" w:hAnsi="Times New Roman" w:cs="Times New Roman"/>
        </w:rPr>
        <w:t>LULUCF legislation</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"EU", "given" : "", "non-dropping-particle" : "", "parse-names" : false, "suffix" : "" } ], "id" : "ITEM-1", "issued" : { "date-parts" : [ [ "2018" ] ] }, "number-of-pages" : "25", "title" : "Regulation (EU) 2018/841 of the European Parliament and of the Council of 30 May 2018 on the inclusion of greenhouse gas emissions and removals from land use, land use change and forestry in the 2030 climate and energy framework, and amending Regulation (", "type" : "report" }, "uris" : [ "http://www.mendeley.com/documents/?uuid=729b82bd-f9b3-4781-9e31-49fcaefcd36c" ] } ], "mendeley" : { "formattedCitation" : "&lt;sup&gt;10&lt;/sup&gt;", "plainTextFormattedCitation" : "10", "previouslyFormattedCitation" : "&lt;sup&gt;10&lt;/sup&gt;" }, "properties" : { "noteIndex" : 3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10</w:t>
      </w:r>
      <w:r w:rsidR="00B72D91">
        <w:rPr>
          <w:rFonts w:ascii="Times New Roman" w:hAnsi="Times New Roman" w:cs="Times New Roman"/>
        </w:rPr>
        <w:fldChar w:fldCharType="end"/>
      </w:r>
      <w:r w:rsidRPr="005B3E4C">
        <w:rPr>
          <w:rFonts w:ascii="Times New Roman" w:hAnsi="Times New Roman" w:cs="Times New Roman"/>
        </w:rPr>
        <w:t>, and the accounting rules for forest management, i.e. the forest reference level reflecting</w:t>
      </w:r>
      <w:r w:rsidRPr="006A59A0">
        <w:rPr>
          <w:rFonts w:ascii="Times New Roman" w:hAnsi="Times New Roman" w:cs="Times New Roman"/>
        </w:rPr>
        <w:t xml:space="preserve"> the continuation of the historical forest management practice</w:t>
      </w:r>
      <w:r w:rsidR="00E4429E">
        <w:rPr>
          <w:rFonts w:ascii="Times New Roman" w:hAnsi="Times New Roman" w:cs="Times New Roman"/>
        </w:rPr>
        <w:t>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"DOI" : "10.1186/s13021-018-0096-2", "ISSN" : "1750-0680", "abstract" : "The credibility and effectiveness of country climate targets under the Paris Agreement requires that, in all greenhouse gas (GHG) sectors, the accounted mitigation outcomes reflect genuine deviations from the type and magnitude of activities generating emissions in the base year or baseline. This is challenging for the forestry sector, as the future net emissions can change irrespective of actual management activities, because of age-related stand dynamics resulting from past management and natural disturbances. The solution implemented under the Kyoto Protocol (2013\u20132020) was accounting mitigation as deviation from a projected (forward-looking) \u201cforest reference level\u201d, which considered the age-related dynamics but also allowed including the assumed future implementation of approved policies. This caused controversies, as unverifiable counterfactual scenarios with inflated future harvest could lead to credits where no change in management has actually occurred, or conversely, failing to reflect in the accounts a policy-driven increase in net emissions. Instead, here we describe an approach to set reference levels based on the projected continuation of documented historical forest management practice, i.e. reflecting age-related dynamics but not the future impact of policies. We illustrate a possible method to implement this approach at the level of the European Union (EU) using the Carbon Budget Model.", "author" : [ { "dropping-particle" : "", "family" : "Grassi", "given" : "Giacomo", "non-dropping-particle" : "", "parse-names" : false, "suffix" : "" }, { "dropping-particle" : "", "family" : "Pilli", "given" : "Roberto", "non-dropping-particle" : "", "parse-names" : false, "suffix" : "" }, { "dropping-particle" : "", "family" : "House", "given" : "Jo", "non-dropping-particle" : "", "parse-names" : false, "suffix" : "" }, { "dropping-particle" : "", "family" : "Federici", "given" : "Sandro", "non-dropping-particle" : "", "parse-names" : false, "suffix" : "" }, { "dropping-particle" : "", "family" : "Kurz", "given" : "Werner A", "non-dropping-particle" : "", "parse-names" : false, "suffix" : "" } ], "container-title" : "Carbon Balance and Management", "id" : "ITEM-1", "issue" : "1", "issued" : { "date-parts" : [ [ "2018", "12", "17" ] ] }, "page" : "8", "title" : "Science-based approach for credible accounting of mitigation in managed forests", "type" : "article-journal", "volume" : "13" }, "uris" : [ "http://www.mendeley.com/documents/?uuid=12d440d2-9ace-4a86-8299-634fb97d0fe1" ] }, { "id" : "ITEM-2", "itemData" : { "abstract" : "This technical guidance document has been prepared for DG Climate Action, to support the EU Member States in complying with the \u2018LULUCF Regulation\u2019, 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 (Text with EEA relevance). In particular, the aim of this document is to provide guidance for the Member States on the establishment of Forest Reference Levels (FRLs) and National Forestry Accounting Plans (NFAPs) as required by the LULUCF Regulation. The LULUCF Regulation requires the Member States to submit their NFAPs, including a proposed FRL, to the Commission by 31 December 2018 for the period from 2021 to 2025, and by 30 June 2023 for the period from 2026 to 2030. While the guidance provided in this document is not binding on the Member States, it seeks to help the Member States to interpret the LULUCF Regulation, and provides examples of possible technical approaches for preparing the FRLs and NFAPs. However, there may exist a number of other approaches to set the FRL in line with the LULUCF Regulation.", "author" : [ { "dropping-particle" : "", "family" : "Forsell", "given" : "N.", "non-dropping-particle" : "", "parse-names" : false, "suffix" : "" }, { "dropping-particle" : "", "family" : "Korosuo", "given" : "A.", "non-dropping-particle" : "", "parse-names" : false, "suffix" : "" }, { "dropping-particle" : "", "family" : "Federici", "given" : "S.", "non-dropping-particle" : "", "parse-names" : false, "suffix" : "" }, { "dropping-particle" : "", "family" : "Gusti", "given" : "M.", "non-dropping-particle" : "", "parse-names" : false, "suffix" : "" }, { "dropping-particle" : "", "family" : "Rinc\u00f3n-Crist\u00f3bal", "given" : "J-J.", "non-dropping-particle" : "", "parse-names" : false, "suffix" : "" }, { "dropping-particle" : "", "family" : "R\u00fcter", "given" : "S.", "non-dropping-particle" : "", "parse-names" : false, "suffix" : "" }, { "dropping-particle" : "", "family" : "S\u00e1nchez-Jim\u00e9nez", "given" : "B.", "non-dropping-particle" : "", "parse-names" : false, "suffix" : "" }, { "dropping-particle" : "", "family" : "Dore", "given" : "C.", "non-dropping-particle" : "", "parse-names" : false, "suffix" : "" }, { "dropping-particle" : "", "family" : "Brajterman", "given" : "O.", "non-dropping-particle" : "", "parse-names" : false, "suffix" : "" }, { "dropping-particle" : "", "family" : "Gardiner", "given" : "J.", "non-dropping-particle" : "", "parse-names" : false, "suffix" : "" } ], "id" : "ITEM-2", "issued" : { "date-parts" : [ [ "2018" ] ] }, "number-of-pages" : "120", "publisher-place" : "Luxembourg: Publications Office of the European Union", "title" : "Guidance on developing and reporting Forest Reference Levels in accordance with Regulation (EU) 2018/841", "type" : "report" }, "uris" : [ "http://www.mendeley.com/documents/?uuid=9125cd02-3f77-4abe-a305-694401a71362" ] } ], "mendeley" : { "formattedCitation" : "&lt;sup&gt;5,11&lt;/sup&gt;", "plainTextFormattedCitation" : "5,11", "previouslyFormattedCitation" : "&lt;sup&gt;5,11&lt;/sup&gt;" }, "properties" : { "noteIndex" : 2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5,11</w:t>
      </w:r>
      <w:r w:rsidR="00B72D91">
        <w:rPr>
          <w:rFonts w:ascii="Times New Roman" w:hAnsi="Times New Roman" w:cs="Times New Roman"/>
        </w:rPr>
        <w:fldChar w:fldCharType="end"/>
      </w:r>
      <w:r w:rsidRPr="006A59A0">
        <w:rPr>
          <w:rFonts w:ascii="Times New Roman" w:hAnsi="Times New Roman" w:cs="Times New Roman"/>
        </w:rPr>
        <w:t xml:space="preserve">. If the </w:t>
      </w:r>
      <w:r>
        <w:rPr>
          <w:rFonts w:ascii="Times New Roman" w:hAnsi="Times New Roman" w:cs="Times New Roman"/>
        </w:rPr>
        <w:t>future</w:t>
      </w:r>
      <w:r w:rsidRPr="006A59A0">
        <w:rPr>
          <w:rFonts w:ascii="Times New Roman" w:hAnsi="Times New Roman" w:cs="Times New Roman"/>
        </w:rPr>
        <w:t xml:space="preserve"> sink fall</w:t>
      </w:r>
      <w:r>
        <w:rPr>
          <w:rFonts w:ascii="Times New Roman" w:hAnsi="Times New Roman" w:cs="Times New Roman"/>
        </w:rPr>
        <w:t>s</w:t>
      </w:r>
      <w:r w:rsidRPr="006A59A0">
        <w:rPr>
          <w:rFonts w:ascii="Times New Roman" w:hAnsi="Times New Roman" w:cs="Times New Roman"/>
        </w:rPr>
        <w:t xml:space="preserve"> below this </w:t>
      </w:r>
      <w:r>
        <w:rPr>
          <w:rFonts w:ascii="Times New Roman" w:hAnsi="Times New Roman" w:cs="Times New Roman"/>
        </w:rPr>
        <w:t>reference level</w:t>
      </w:r>
      <w:r w:rsidRPr="006A59A0">
        <w:rPr>
          <w:rFonts w:ascii="Times New Roman" w:hAnsi="Times New Roman" w:cs="Times New Roman"/>
        </w:rPr>
        <w:t xml:space="preserve">, the corresponding accounting “debit” from LULUCF will need to be compensated for, through extra emission reduction efforts in other GHG sectors. </w:t>
      </w:r>
    </w:p>
    <w:p w14:paraId="3E74AC8E" w14:textId="77777777" w:rsidR="002C0440" w:rsidRDefault="002C0440" w:rsidP="00E4429E">
      <w:pPr>
        <w:spacing w:after="120" w:line="288" w:lineRule="auto"/>
        <w:rPr>
          <w:rFonts w:ascii="Times New Roman" w:hAnsi="Times New Roman" w:cs="Times New Roman"/>
        </w:rPr>
      </w:pPr>
      <w:r w:rsidRPr="006A59A0">
        <w:rPr>
          <w:rFonts w:ascii="Times New Roman" w:hAnsi="Times New Roman" w:cs="Times New Roman"/>
        </w:rPr>
        <w:t xml:space="preserve">In other words, we </w:t>
      </w:r>
      <w:r>
        <w:rPr>
          <w:rFonts w:ascii="Times New Roman" w:hAnsi="Times New Roman" w:cs="Times New Roman"/>
        </w:rPr>
        <w:t xml:space="preserve">have </w:t>
      </w:r>
      <w:r w:rsidRPr="006A59A0">
        <w:rPr>
          <w:rFonts w:ascii="Times New Roman" w:hAnsi="Times New Roman" w:cs="Times New Roman"/>
        </w:rPr>
        <w:t xml:space="preserve">tried to address the question: </w:t>
      </w:r>
      <w:r>
        <w:rPr>
          <w:rFonts w:ascii="Times New Roman" w:hAnsi="Times New Roman" w:cs="Times New Roman"/>
        </w:rPr>
        <w:t xml:space="preserve">approximately </w:t>
      </w:r>
      <w:r w:rsidRPr="006A59A0">
        <w:rPr>
          <w:rFonts w:ascii="Times New Roman" w:hAnsi="Times New Roman" w:cs="Times New Roman"/>
        </w:rPr>
        <w:t xml:space="preserve">how much of the </w:t>
      </w:r>
      <w:r>
        <w:rPr>
          <w:rFonts w:ascii="Times New Roman" w:hAnsi="Times New Roman" w:cs="Times New Roman"/>
        </w:rPr>
        <w:t>planned</w:t>
      </w:r>
      <w:r w:rsidRPr="006A59A0">
        <w:rPr>
          <w:rFonts w:ascii="Times New Roman" w:hAnsi="Times New Roman" w:cs="Times New Roman"/>
        </w:rPr>
        <w:t xml:space="preserve"> 40% EU GHG emission reduction in 2030 vs</w:t>
      </w:r>
      <w:r>
        <w:rPr>
          <w:rFonts w:ascii="Times New Roman" w:hAnsi="Times New Roman" w:cs="Times New Roman"/>
        </w:rPr>
        <w:t>.</w:t>
      </w:r>
      <w:r w:rsidRPr="006A59A0">
        <w:rPr>
          <w:rFonts w:ascii="Times New Roman" w:hAnsi="Times New Roman" w:cs="Times New Roman"/>
        </w:rPr>
        <w:t xml:space="preserve"> 1990 can be expected to come from an increase </w:t>
      </w:r>
      <w:r>
        <w:rPr>
          <w:rFonts w:ascii="Times New Roman" w:hAnsi="Times New Roman" w:cs="Times New Roman"/>
        </w:rPr>
        <w:t xml:space="preserve">in the </w:t>
      </w:r>
      <w:r w:rsidRPr="006A59A0">
        <w:rPr>
          <w:rFonts w:ascii="Times New Roman" w:hAnsi="Times New Roman" w:cs="Times New Roman"/>
        </w:rPr>
        <w:t xml:space="preserve">use of EU domestic wood </w:t>
      </w:r>
      <w:r>
        <w:rPr>
          <w:rFonts w:ascii="Times New Roman" w:hAnsi="Times New Roman" w:cs="Times New Roman"/>
        </w:rPr>
        <w:t xml:space="preserve">production utilised </w:t>
      </w:r>
      <w:r w:rsidRPr="006A59A0">
        <w:rPr>
          <w:rFonts w:ascii="Times New Roman" w:hAnsi="Times New Roman" w:cs="Times New Roman"/>
        </w:rPr>
        <w:t xml:space="preserve">for energy purposes in the same period, without generating accounting debits in the </w:t>
      </w:r>
      <w:r>
        <w:rPr>
          <w:rFonts w:ascii="Times New Roman" w:hAnsi="Times New Roman" w:cs="Times New Roman"/>
        </w:rPr>
        <w:t xml:space="preserve">forest (and thus </w:t>
      </w:r>
      <w:r w:rsidRPr="006A59A0">
        <w:rPr>
          <w:rFonts w:ascii="Times New Roman" w:hAnsi="Times New Roman" w:cs="Times New Roman"/>
        </w:rPr>
        <w:t>LULUCF</w:t>
      </w:r>
      <w:r>
        <w:rPr>
          <w:rFonts w:ascii="Times New Roman" w:hAnsi="Times New Roman" w:cs="Times New Roman"/>
        </w:rPr>
        <w:t>)</w:t>
      </w:r>
      <w:r w:rsidRPr="006A59A0">
        <w:rPr>
          <w:rFonts w:ascii="Times New Roman" w:hAnsi="Times New Roman" w:cs="Times New Roman"/>
        </w:rPr>
        <w:t xml:space="preserve"> </w:t>
      </w:r>
      <w:r w:rsidRPr="002859DA">
        <w:rPr>
          <w:rFonts w:ascii="Times New Roman" w:hAnsi="Times New Roman" w:cs="Times New Roman"/>
        </w:rPr>
        <w:t>sector? To this aim, below we describe a systems analysis that we made of the essential elements of wood industry resource supply and utilization chains, referring to wood production statistics for the EU.</w:t>
      </w:r>
    </w:p>
    <w:p w14:paraId="1D0C9962"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 xml:space="preserve">The </w:t>
      </w:r>
      <w:r w:rsidRPr="00A31BD7">
        <w:rPr>
          <w:rFonts w:ascii="Times New Roman" w:hAnsi="Times New Roman" w:cs="Times New Roman"/>
          <w:color w:val="000000" w:themeColor="text1"/>
        </w:rPr>
        <w:t>Eurostat/UNECE/FAO/ITTO Joint Forest Sector Questionnaire</w:t>
      </w:r>
      <w:r w:rsidR="00D9111A">
        <w:rPr>
          <w:rFonts w:ascii="Times New Roman" w:hAnsi="Times New Roman" w:cs="Times New Roman"/>
          <w:color w:val="000000" w:themeColor="text1"/>
        </w:rPr>
        <w:t xml:space="preserve"> </w:t>
      </w:r>
      <w:r w:rsidRPr="00A31BD7">
        <w:rPr>
          <w:rFonts w:ascii="Times New Roman" w:hAnsi="Times New Roman" w:cs="Times New Roman"/>
          <w:color w:val="000000" w:themeColor="text1"/>
        </w:rPr>
        <w:t>(JFSQ)</w:t>
      </w:r>
      <w:r w:rsidR="00CD6CEF">
        <w:rPr>
          <w:rFonts w:ascii="Times New Roman" w:hAnsi="Times New Roman" w:cs="Times New Roman"/>
          <w:color w:val="000000" w:themeColor="text1"/>
        </w:rPr>
        <w:t xml:space="preserve"> </w:t>
      </w:r>
      <w:r w:rsidRPr="00A31BD7">
        <w:rPr>
          <w:rFonts w:ascii="Times New Roman" w:hAnsi="Times New Roman" w:cs="Times New Roman"/>
          <w:color w:val="000000" w:themeColor="text1"/>
        </w:rPr>
        <w:t>forest products</w:t>
      </w:r>
      <w:r w:rsidR="00D9111A">
        <w:rPr>
          <w:rFonts w:ascii="Times New Roman" w:hAnsi="Times New Roman" w:cs="Times New Roman"/>
          <w:color w:val="000000" w:themeColor="text1"/>
        </w:rPr>
        <w:t xml:space="preserve"> datasets</w:t>
      </w:r>
      <w:r w:rsidR="00B72D91">
        <w:rPr>
          <w:rFonts w:ascii="Times New Roman" w:hAnsi="Times New Roman" w:cs="Times New Roman"/>
          <w:color w:val="000000" w:themeColor="text1"/>
        </w:rPr>
        <w:fldChar w:fldCharType="begin" w:fldLock="1"/>
      </w:r>
      <w:r w:rsidR="00370E0D">
        <w:rPr>
          <w:rFonts w:ascii="Times New Roman" w:hAnsi="Times New Roman" w:cs="Times New Roman"/>
          <w:color w:val="000000" w:themeColor="text1"/>
        </w:rPr>
        <w:instrText>ADDIN CSL_CITATION { "citationItems" : [ { "id" : "ITEM-1", "itemData" : { "URL" : "https://www.unece.org/forests/forestsfpmonlinedata/jfsq.html", "author" : [ { "dropping-particle" : "", "family" : "UNECE", "given" : "", "non-dropping-particle" : "", "parse-names" : false, "suffix" : "" }, { "dropping-particle" : "", "family" : "FAO", "given" : "", "non-dropping-particle" : "", "parse-names" : false, "suffix" : "" } ], "id" : "ITEM-1", "issued" : { "date-parts" : [ [ "0" ] ] }, "title" : "Joint Forest Sector Questionnaire", "type" : "webpage" }, "uris" : [ "http://www.mendeley.com/documents/?uuid=36270ab1-2f99-42c5-b5a2-179e340246ac" ] } ], "mendeley" : { "formattedCitation" : "&lt;sup&gt;15&lt;/sup&gt;", "plainTextFormattedCitation" : "15", "previouslyFormattedCitation" : "&lt;sup&gt;15&lt;/sup&gt;" }, "properties" : { "noteIndex" : 3 }, "schema" : "https://github.com/citation-style-language/schema/raw/master/csl-citation.json" }</w:instrText>
      </w:r>
      <w:r w:rsidR="00B72D91">
        <w:rPr>
          <w:rFonts w:ascii="Times New Roman" w:hAnsi="Times New Roman" w:cs="Times New Roman"/>
          <w:color w:val="000000" w:themeColor="text1"/>
        </w:rPr>
        <w:fldChar w:fldCharType="separate"/>
      </w:r>
      <w:r w:rsidR="00370E0D" w:rsidRPr="00370E0D">
        <w:rPr>
          <w:rFonts w:ascii="Times New Roman" w:hAnsi="Times New Roman" w:cs="Times New Roman"/>
          <w:noProof/>
          <w:color w:val="000000" w:themeColor="text1"/>
          <w:vertAlign w:val="superscript"/>
        </w:rPr>
        <w:t>15</w:t>
      </w:r>
      <w:r w:rsidR="00B72D91">
        <w:rPr>
          <w:rFonts w:ascii="Times New Roman" w:hAnsi="Times New Roman" w:cs="Times New Roman"/>
          <w:color w:val="000000" w:themeColor="text1"/>
        </w:rPr>
        <w:fldChar w:fldCharType="end"/>
      </w:r>
      <w:r w:rsidRPr="00A31BD7">
        <w:rPr>
          <w:rFonts w:ascii="Times New Roman" w:hAnsi="Times New Roman" w:cs="Times New Roman"/>
          <w:color w:val="000000" w:themeColor="text1"/>
        </w:rPr>
        <w:t>, available through the FAOSTAT</w:t>
      </w:r>
      <w:r w:rsidR="00D9111A">
        <w:rPr>
          <w:rFonts w:ascii="Times New Roman" w:hAnsi="Times New Roman" w:cs="Times New Roman"/>
          <w:color w:val="000000" w:themeColor="text1"/>
        </w:rPr>
        <w:t xml:space="preserve"> </w:t>
      </w:r>
      <w:r w:rsidRPr="00A31BD7">
        <w:rPr>
          <w:rFonts w:ascii="Times New Roman" w:hAnsi="Times New Roman" w:cs="Times New Roman"/>
          <w:color w:val="000000" w:themeColor="text1"/>
        </w:rPr>
        <w:t>database</w:t>
      </w:r>
      <w:r w:rsidR="00B72D91">
        <w:rPr>
          <w:rFonts w:ascii="Times New Roman" w:hAnsi="Times New Roman" w:cs="Times New Roman"/>
          <w:color w:val="000000" w:themeColor="text1"/>
        </w:rPr>
        <w:fldChar w:fldCharType="begin" w:fldLock="1"/>
      </w:r>
      <w:r w:rsidR="00370E0D">
        <w:rPr>
          <w:rFonts w:ascii="Times New Roman" w:hAnsi="Times New Roman" w:cs="Times New Roman"/>
          <w:color w:val="000000" w:themeColor="text1"/>
        </w:rPr>
        <w:instrText>ADDIN CSL_CITATION { "citationItems" : [ { "id" : "ITEM-1", "itemData" : { "URL" : "www.fao.org/faostat/en/#data/FO", "author" : [ { "dropping-particle" : "", "family" : "FAO", "given" : "", "non-dropping-particle" : "", "parse-names" : false, "suffix" : "" } ], "id" : "ITEM-1", "issued" : { "date-parts" : [ [ "0" ] ] }, "title" : "FAOSTAT: Forestry Production and Trade", "type" : "webpage" }, "uris" : [ "http://www.mendeley.com/documents/?uuid=b4f92b06-53a3-4ae7-8ca5-0b8b2dbf3047" ] } ], "mendeley" : { "formattedCitation" : "&lt;sup&gt;16&lt;/sup&gt;", "plainTextFormattedCitation" : "16", "previouslyFormattedCitation" : "&lt;sup&gt;16&lt;/sup&gt;" }, "properties" : { "noteIndex" : 3 }, "schema" : "https://github.com/citation-style-language/schema/raw/master/csl-citation.json" }</w:instrText>
      </w:r>
      <w:r w:rsidR="00B72D91">
        <w:rPr>
          <w:rFonts w:ascii="Times New Roman" w:hAnsi="Times New Roman" w:cs="Times New Roman"/>
          <w:color w:val="000000" w:themeColor="text1"/>
        </w:rPr>
        <w:fldChar w:fldCharType="separate"/>
      </w:r>
      <w:r w:rsidR="00370E0D" w:rsidRPr="00370E0D">
        <w:rPr>
          <w:rFonts w:ascii="Times New Roman" w:hAnsi="Times New Roman" w:cs="Times New Roman"/>
          <w:noProof/>
          <w:color w:val="000000" w:themeColor="text1"/>
          <w:vertAlign w:val="superscript"/>
        </w:rPr>
        <w:t>16</w:t>
      </w:r>
      <w:r w:rsidR="00B72D91">
        <w:rPr>
          <w:rFonts w:ascii="Times New Roman" w:hAnsi="Times New Roman" w:cs="Times New Roman"/>
          <w:color w:val="000000" w:themeColor="text1"/>
        </w:rPr>
        <w:fldChar w:fldCharType="end"/>
      </w:r>
      <w:r w:rsidR="00717F26">
        <w:rPr>
          <w:rFonts w:ascii="Times New Roman" w:hAnsi="Times New Roman" w:cs="Times New Roman"/>
          <w:color w:val="000000" w:themeColor="text1"/>
        </w:rPr>
        <w:t>,</w:t>
      </w:r>
      <w:r w:rsidRPr="00A31BD7">
        <w:rPr>
          <w:rFonts w:ascii="Times New Roman" w:hAnsi="Times New Roman" w:cs="Times New Roman"/>
          <w:color w:val="000000" w:themeColor="text1"/>
        </w:rPr>
        <w:t xml:space="preserve"> </w:t>
      </w:r>
      <w:r w:rsidRPr="00A31BD7">
        <w:rPr>
          <w:rFonts w:ascii="Times New Roman" w:hAnsi="Times New Roman" w:cs="Times New Roman"/>
        </w:rPr>
        <w:t>provide data on the production and international trade of many commodities, including forestry products. These data can be used to estimate the quantity of wood produced and used for energy purposes within the EU.</w:t>
      </w:r>
    </w:p>
    <w:p w14:paraId="0764F742"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 xml:space="preserve">The database contains data reported for each year on the roundwood produced by countries, including those countries comprising the EU. The reported roundwood production is also disaggregated into four categories of primary products, i.e. (i) </w:t>
      </w:r>
      <w:proofErr w:type="spellStart"/>
      <w:r w:rsidRPr="00A31BD7">
        <w:rPr>
          <w:rFonts w:ascii="Times New Roman" w:hAnsi="Times New Roman" w:cs="Times New Roman"/>
        </w:rPr>
        <w:t>sawlogs</w:t>
      </w:r>
      <w:proofErr w:type="spellEnd"/>
      <w:r w:rsidRPr="00A31BD7">
        <w:rPr>
          <w:rFonts w:ascii="Times New Roman" w:hAnsi="Times New Roman" w:cs="Times New Roman"/>
        </w:rPr>
        <w:t xml:space="preserve"> and veneer logs, (ii) </w:t>
      </w:r>
      <w:r w:rsidRPr="00A31BD7">
        <w:rPr>
          <w:rFonts w:ascii="Times New Roman" w:hAnsi="Times New Roman" w:cs="Times New Roman"/>
        </w:rPr>
        <w:lastRenderedPageBreak/>
        <w:t xml:space="preserve">pulpwood, (iii) other industrial roundwood and </w:t>
      </w:r>
      <w:proofErr w:type="gramStart"/>
      <w:r w:rsidRPr="00A31BD7">
        <w:rPr>
          <w:rFonts w:ascii="Times New Roman" w:hAnsi="Times New Roman" w:cs="Times New Roman"/>
        </w:rPr>
        <w:t>(iv) wood</w:t>
      </w:r>
      <w:proofErr w:type="gramEnd"/>
      <w:r w:rsidRPr="00A31BD7">
        <w:rPr>
          <w:rFonts w:ascii="Times New Roman" w:hAnsi="Times New Roman" w:cs="Times New Roman"/>
        </w:rPr>
        <w:t xml:space="preserve"> fuel (including wood for charcoal).  These categories are also reported separately for coniferous and non-coniferous wood.</w:t>
      </w:r>
    </w:p>
    <w:p w14:paraId="476E4A5C"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 xml:space="preserve">Although it may be assumed that all the material in the category of wood fuel is used for energy purposes, this does not represent all of the wood used for this purpose. This is because, in addition to wood harvested specifically for energy purposes, wood in other categories includes a significant proportion that is utilised for energy. When other categories of roundwood are processed into </w:t>
      </w:r>
      <w:proofErr w:type="spellStart"/>
      <w:r w:rsidRPr="00A31BD7">
        <w:rPr>
          <w:rFonts w:ascii="Times New Roman" w:hAnsi="Times New Roman" w:cs="Times New Roman"/>
        </w:rPr>
        <w:t>sawnwood</w:t>
      </w:r>
      <w:proofErr w:type="spellEnd"/>
      <w:r w:rsidRPr="00A31BD7">
        <w:rPr>
          <w:rFonts w:ascii="Times New Roman" w:hAnsi="Times New Roman" w:cs="Times New Roman"/>
        </w:rPr>
        <w:t xml:space="preserve">, paper, card, </w:t>
      </w:r>
      <w:proofErr w:type="spellStart"/>
      <w:r w:rsidRPr="00A31BD7">
        <w:rPr>
          <w:rFonts w:ascii="Times New Roman" w:hAnsi="Times New Roman" w:cs="Times New Roman"/>
        </w:rPr>
        <w:t>panelboards</w:t>
      </w:r>
      <w:proofErr w:type="spellEnd"/>
      <w:r w:rsidRPr="00A31BD7">
        <w:rPr>
          <w:rFonts w:ascii="Times New Roman" w:hAnsi="Times New Roman" w:cs="Times New Roman"/>
        </w:rPr>
        <w:t xml:space="preserve">, fencing products, etc., residues are generated as by-products in the form of offcuts, bark, </w:t>
      </w:r>
      <w:proofErr w:type="spellStart"/>
      <w:r w:rsidRPr="00A31BD7">
        <w:rPr>
          <w:rFonts w:ascii="Times New Roman" w:hAnsi="Times New Roman" w:cs="Times New Roman"/>
        </w:rPr>
        <w:t>slabwood</w:t>
      </w:r>
      <w:proofErr w:type="spellEnd"/>
      <w:r w:rsidRPr="00A31BD7">
        <w:rPr>
          <w:rFonts w:ascii="Times New Roman" w:hAnsi="Times New Roman" w:cs="Times New Roman"/>
        </w:rPr>
        <w:t>, chips, sawdust and other wood particles. Hence, in order to estimate the total use of roundwood for energy purposes, it is necessary to estimate the proportion of industrial residues generated from other product categories, and of these the proportion utilised for energy. Since 1992, the production of chips, particles and residues has been reported explicitly as a separate category in FAOSTAT data, however, these categories were not reported in 1990. Furthermore, a significant proportion of this material is burned for process heat or power within sawmills and other production plants (and therefore not traded), so it is likely that the quantities reported under this category represent significant underestimates. Hence, the estimation of the quantities of total wood production in the EU used for energy purposes required the analysis of the subsequent utilisation of the four categories of roundwood described above. This analysis involved a number of assumptions as stated below.</w:t>
      </w:r>
    </w:p>
    <w:p w14:paraId="6D278BC7"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Firstly, FAOSTAT roundwood statistics are reported as under-b</w:t>
      </w:r>
      <w:r w:rsidR="00E4429E">
        <w:rPr>
          <w:rFonts w:ascii="Times New Roman" w:hAnsi="Times New Roman" w:cs="Times New Roman"/>
        </w:rPr>
        <w:t xml:space="preserve">ark volumes (in cubic metres). </w:t>
      </w:r>
      <w:r w:rsidRPr="00A31BD7">
        <w:rPr>
          <w:rFonts w:ascii="Times New Roman" w:hAnsi="Times New Roman" w:cs="Times New Roman"/>
        </w:rPr>
        <w:t>For the purposes of this assessment, the reported roundwood statistics were converted to equivalent over-bark volumes, by assuming that bark represents an additional 15% of the under-bark roundwood volume of both coniferous and non-coniferous</w:t>
      </w:r>
      <w:r w:rsidR="00E4429E">
        <w:rPr>
          <w:rFonts w:ascii="Times New Roman" w:hAnsi="Times New Roman" w:cs="Times New Roman"/>
        </w:rPr>
        <w:t xml:space="preserve"> roundwood produced in the EU. </w:t>
      </w:r>
      <w:r w:rsidRPr="00A31BD7">
        <w:rPr>
          <w:rFonts w:ascii="Times New Roman" w:hAnsi="Times New Roman" w:cs="Times New Roman"/>
        </w:rPr>
        <w:t>However the considerable variation between tree species and within individual trees should be noted.</w:t>
      </w:r>
    </w:p>
    <w:p w14:paraId="212A41C3"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 xml:space="preserve">It was further assumed that 50% of the over-bark sawlog volume is converted into </w:t>
      </w:r>
      <w:proofErr w:type="spellStart"/>
      <w:r w:rsidRPr="00A31BD7">
        <w:rPr>
          <w:rFonts w:ascii="Times New Roman" w:hAnsi="Times New Roman" w:cs="Times New Roman"/>
        </w:rPr>
        <w:t>sawnwood</w:t>
      </w:r>
      <w:proofErr w:type="spellEnd"/>
      <w:r w:rsidRPr="00A31BD7">
        <w:rPr>
          <w:rFonts w:ascii="Times New Roman" w:hAnsi="Times New Roman" w:cs="Times New Roman"/>
        </w:rPr>
        <w:t xml:space="preserve"> with the remainder becoming residues in the form of chips (10%) and other types of residue (40%). For the pulpwood category, it was assumed that 85% of the over-bark volume is utilised for wood-based panels, paper and card, fencing etc., with 5% of the volume becoming residues in the form of chips with a further 10% becoming other residues. For the category of other industrial roundwood, it was assumed that 75% of the over-bark volume is utilised for wood-based panels, paper and card, fencing etc., with 5% of the volume becoming chips and a further 20% becoming other residues.</w:t>
      </w:r>
    </w:p>
    <w:p w14:paraId="6D29A20A" w14:textId="77777777" w:rsidR="002C0440" w:rsidRPr="00A31BD7" w:rsidRDefault="002C0440" w:rsidP="00E4429E">
      <w:pPr>
        <w:spacing w:after="120" w:line="288" w:lineRule="auto"/>
        <w:rPr>
          <w:rFonts w:ascii="Times New Roman" w:hAnsi="Times New Roman" w:cs="Times New Roman"/>
        </w:rPr>
      </w:pPr>
      <w:r w:rsidRPr="00A31BD7">
        <w:rPr>
          <w:rFonts w:ascii="Times New Roman" w:hAnsi="Times New Roman" w:cs="Times New Roman"/>
        </w:rPr>
        <w:t>Having estimated the generation of chips and residues from the (non-wood fuel) roundwood categories, it was then assumed that 50% of the chips and 75% of the other residues are used for energy purposes.</w:t>
      </w:r>
    </w:p>
    <w:p w14:paraId="713A4F6B" w14:textId="77777777" w:rsidR="002C0440" w:rsidRDefault="0095304D" w:rsidP="00E4429E">
      <w:pPr>
        <w:spacing w:after="120" w:line="288" w:lineRule="auto"/>
        <w:rPr>
          <w:rFonts w:ascii="Times New Roman" w:hAnsi="Times New Roman" w:cs="Times New Roman"/>
        </w:rPr>
      </w:pPr>
      <w:r>
        <w:rPr>
          <w:rFonts w:ascii="Times New Roman" w:hAnsi="Times New Roman" w:cs="Times New Roman"/>
        </w:rPr>
        <w:lastRenderedPageBreak/>
        <w:t>Additional</w:t>
      </w:r>
      <w:r w:rsidR="002C0440">
        <w:rPr>
          <w:rFonts w:ascii="Times New Roman" w:hAnsi="Times New Roman" w:cs="Times New Roman"/>
        </w:rPr>
        <w:t xml:space="preserve"> </w:t>
      </w:r>
      <w:r w:rsidR="002C0440" w:rsidRPr="00A31BD7">
        <w:rPr>
          <w:rFonts w:ascii="Times New Roman" w:hAnsi="Times New Roman" w:cs="Times New Roman"/>
        </w:rPr>
        <w:t xml:space="preserve">Table </w:t>
      </w:r>
      <w:r>
        <w:rPr>
          <w:rFonts w:ascii="Times New Roman" w:hAnsi="Times New Roman" w:cs="Times New Roman"/>
        </w:rPr>
        <w:t>S</w:t>
      </w:r>
      <w:r w:rsidR="002C0440">
        <w:rPr>
          <w:rFonts w:ascii="Times New Roman" w:hAnsi="Times New Roman" w:cs="Times New Roman"/>
        </w:rPr>
        <w:t>2</w:t>
      </w:r>
      <w:r w:rsidR="002C0440" w:rsidRPr="00A31BD7">
        <w:rPr>
          <w:rFonts w:ascii="Times New Roman" w:hAnsi="Times New Roman" w:cs="Times New Roman"/>
        </w:rPr>
        <w:t xml:space="preserve"> shows estimates derived according to the methods described above for the total wood volume produced in the EU and used for energy purposes, in the years 1990 and 2015.</w:t>
      </w:r>
    </w:p>
    <w:p w14:paraId="6505AA63" w14:textId="77777777" w:rsidR="002C0440" w:rsidRDefault="002C0440" w:rsidP="00E4429E">
      <w:pPr>
        <w:spacing w:after="120" w:line="288" w:lineRule="auto"/>
        <w:rPr>
          <w:rFonts w:ascii="Times New Roman" w:hAnsi="Times New Roman" w:cs="Times New Roman"/>
        </w:rPr>
      </w:pPr>
    </w:p>
    <w:p w14:paraId="2566952C" w14:textId="77777777" w:rsidR="002C0440" w:rsidRPr="008340CB" w:rsidRDefault="002C0440" w:rsidP="00E4429E">
      <w:pPr>
        <w:spacing w:after="120" w:line="288" w:lineRule="auto"/>
        <w:rPr>
          <w:rFonts w:ascii="Times New Roman" w:hAnsi="Times New Roman" w:cs="Times New Roman"/>
          <w:b/>
          <w:sz w:val="22"/>
          <w:szCs w:val="22"/>
        </w:rPr>
      </w:pPr>
      <w:r w:rsidRPr="008340CB">
        <w:rPr>
          <w:rFonts w:ascii="Times New Roman" w:hAnsi="Times New Roman" w:cs="Times New Roman"/>
          <w:b/>
          <w:sz w:val="22"/>
          <w:szCs w:val="22"/>
        </w:rPr>
        <w:t xml:space="preserve">Table </w:t>
      </w:r>
      <w:r w:rsidR="004D3925">
        <w:rPr>
          <w:rFonts w:ascii="Times New Roman" w:hAnsi="Times New Roman" w:cs="Times New Roman"/>
          <w:b/>
          <w:sz w:val="22"/>
          <w:szCs w:val="22"/>
        </w:rPr>
        <w:t>S</w:t>
      </w:r>
      <w:r w:rsidRPr="008340CB">
        <w:rPr>
          <w:rFonts w:ascii="Times New Roman" w:hAnsi="Times New Roman" w:cs="Times New Roman"/>
          <w:b/>
          <w:sz w:val="22"/>
          <w:szCs w:val="22"/>
        </w:rPr>
        <w:t>2. Estimates of wood volume produced in the EU</w:t>
      </w:r>
      <w:r>
        <w:rPr>
          <w:rFonts w:ascii="Times New Roman" w:hAnsi="Times New Roman" w:cs="Times New Roman"/>
          <w:b/>
          <w:sz w:val="22"/>
          <w:szCs w:val="22"/>
        </w:rPr>
        <w:t xml:space="preserve"> (including 28 countries)</w:t>
      </w:r>
      <w:r w:rsidRPr="008340CB">
        <w:rPr>
          <w:rFonts w:ascii="Times New Roman" w:hAnsi="Times New Roman" w:cs="Times New Roman"/>
          <w:b/>
          <w:sz w:val="22"/>
          <w:szCs w:val="22"/>
        </w:rPr>
        <w:t xml:space="preserve"> and used for energy purposes</w:t>
      </w:r>
    </w:p>
    <w:tbl>
      <w:tblPr>
        <w:tblStyle w:val="TableGrid"/>
        <w:tblW w:w="0" w:type="auto"/>
        <w:tblLook w:val="04A0" w:firstRow="1" w:lastRow="0" w:firstColumn="1" w:lastColumn="0" w:noHBand="0" w:noVBand="1"/>
      </w:tblPr>
      <w:tblGrid>
        <w:gridCol w:w="2277"/>
        <w:gridCol w:w="2371"/>
        <w:gridCol w:w="2461"/>
        <w:gridCol w:w="2133"/>
      </w:tblGrid>
      <w:tr w:rsidR="002C0440" w:rsidRPr="0097286C" w14:paraId="23944468" w14:textId="77777777" w:rsidTr="00CE790A">
        <w:tc>
          <w:tcPr>
            <w:tcW w:w="2277" w:type="dxa"/>
            <w:vMerge w:val="restart"/>
            <w:vAlign w:val="center"/>
          </w:tcPr>
          <w:p w14:paraId="6B758077"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Year</w:t>
            </w:r>
          </w:p>
        </w:tc>
        <w:tc>
          <w:tcPr>
            <w:tcW w:w="6965" w:type="dxa"/>
            <w:gridSpan w:val="3"/>
            <w:vAlign w:val="center"/>
          </w:tcPr>
          <w:p w14:paraId="15CE3A03"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Wood volume (</w:t>
            </w:r>
            <w:r>
              <w:rPr>
                <w:rFonts w:ascii="Times New Roman" w:hAnsi="Times New Roman" w:cs="Times New Roman"/>
                <w:sz w:val="22"/>
              </w:rPr>
              <w:t>M</w:t>
            </w:r>
            <w:r w:rsidRPr="0097286C">
              <w:rPr>
                <w:rFonts w:ascii="Times New Roman" w:hAnsi="Times New Roman" w:cs="Times New Roman"/>
                <w:sz w:val="22"/>
              </w:rPr>
              <w:t>m</w:t>
            </w:r>
            <w:r w:rsidRPr="0097286C">
              <w:rPr>
                <w:rFonts w:ascii="Times New Roman" w:hAnsi="Times New Roman" w:cs="Times New Roman"/>
                <w:sz w:val="22"/>
                <w:vertAlign w:val="superscript"/>
              </w:rPr>
              <w:t>3</w:t>
            </w:r>
            <w:r w:rsidRPr="0097286C">
              <w:rPr>
                <w:rFonts w:ascii="Times New Roman" w:hAnsi="Times New Roman" w:cs="Times New Roman"/>
                <w:sz w:val="22"/>
              </w:rPr>
              <w:t>)</w:t>
            </w:r>
          </w:p>
        </w:tc>
      </w:tr>
      <w:tr w:rsidR="002C0440" w:rsidRPr="0097286C" w14:paraId="19CA1A77" w14:textId="77777777" w:rsidTr="00CE790A">
        <w:tc>
          <w:tcPr>
            <w:tcW w:w="2277" w:type="dxa"/>
            <w:vMerge/>
            <w:vAlign w:val="center"/>
          </w:tcPr>
          <w:p w14:paraId="0A110FEB" w14:textId="77777777" w:rsidR="002C0440" w:rsidRPr="0097286C" w:rsidRDefault="002C0440" w:rsidP="00E4429E">
            <w:pPr>
              <w:spacing w:line="288" w:lineRule="auto"/>
              <w:jc w:val="center"/>
              <w:rPr>
                <w:rFonts w:ascii="Times New Roman" w:hAnsi="Times New Roman" w:cs="Times New Roman"/>
                <w:sz w:val="22"/>
              </w:rPr>
            </w:pPr>
          </w:p>
        </w:tc>
        <w:tc>
          <w:tcPr>
            <w:tcW w:w="2371" w:type="dxa"/>
            <w:vAlign w:val="center"/>
          </w:tcPr>
          <w:p w14:paraId="4B9C5E72"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Wood fuel</w:t>
            </w:r>
            <w:r w:rsidRPr="0097286C">
              <w:rPr>
                <w:rFonts w:ascii="Times New Roman" w:hAnsi="Times New Roman" w:cs="Times New Roman"/>
                <w:sz w:val="22"/>
                <w:vertAlign w:val="superscript"/>
              </w:rPr>
              <w:t>1</w:t>
            </w:r>
          </w:p>
        </w:tc>
        <w:tc>
          <w:tcPr>
            <w:tcW w:w="2461" w:type="dxa"/>
            <w:vAlign w:val="center"/>
          </w:tcPr>
          <w:p w14:paraId="48E01E78"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Other categories</w:t>
            </w:r>
            <w:r w:rsidRPr="0097286C">
              <w:rPr>
                <w:rFonts w:ascii="Times New Roman" w:hAnsi="Times New Roman" w:cs="Times New Roman"/>
                <w:sz w:val="22"/>
                <w:vertAlign w:val="superscript"/>
              </w:rPr>
              <w:t>2</w:t>
            </w:r>
          </w:p>
        </w:tc>
        <w:tc>
          <w:tcPr>
            <w:tcW w:w="2133" w:type="dxa"/>
          </w:tcPr>
          <w:p w14:paraId="58FDC060"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Total</w:t>
            </w:r>
          </w:p>
        </w:tc>
      </w:tr>
      <w:tr w:rsidR="002C0440" w:rsidRPr="0097286C" w14:paraId="7175E40F" w14:textId="77777777" w:rsidTr="00CE790A">
        <w:tc>
          <w:tcPr>
            <w:tcW w:w="2277" w:type="dxa"/>
          </w:tcPr>
          <w:p w14:paraId="7965F6CF"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1990</w:t>
            </w:r>
          </w:p>
        </w:tc>
        <w:tc>
          <w:tcPr>
            <w:tcW w:w="2371" w:type="dxa"/>
          </w:tcPr>
          <w:p w14:paraId="57BA4A26"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74</w:t>
            </w:r>
          </w:p>
        </w:tc>
        <w:tc>
          <w:tcPr>
            <w:tcW w:w="2461" w:type="dxa"/>
          </w:tcPr>
          <w:p w14:paraId="20BB83D3"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90</w:t>
            </w:r>
          </w:p>
        </w:tc>
        <w:tc>
          <w:tcPr>
            <w:tcW w:w="2133" w:type="dxa"/>
          </w:tcPr>
          <w:p w14:paraId="54BCFE55"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164</w:t>
            </w:r>
          </w:p>
        </w:tc>
      </w:tr>
      <w:tr w:rsidR="002C0440" w:rsidRPr="0097286C" w14:paraId="69CBC7FE" w14:textId="77777777" w:rsidTr="00CE790A">
        <w:tc>
          <w:tcPr>
            <w:tcW w:w="2277" w:type="dxa"/>
          </w:tcPr>
          <w:p w14:paraId="52BB03D7" w14:textId="77777777" w:rsidR="002C0440" w:rsidRPr="0097286C" w:rsidRDefault="002C0440" w:rsidP="00E4429E">
            <w:pPr>
              <w:spacing w:line="288" w:lineRule="auto"/>
              <w:jc w:val="center"/>
              <w:rPr>
                <w:rFonts w:ascii="Times New Roman" w:hAnsi="Times New Roman" w:cs="Times New Roman"/>
                <w:sz w:val="22"/>
              </w:rPr>
            </w:pPr>
            <w:r w:rsidRPr="0097286C">
              <w:rPr>
                <w:rFonts w:ascii="Times New Roman" w:hAnsi="Times New Roman" w:cs="Times New Roman"/>
                <w:sz w:val="22"/>
              </w:rPr>
              <w:t>2015</w:t>
            </w:r>
          </w:p>
        </w:tc>
        <w:tc>
          <w:tcPr>
            <w:tcW w:w="2371" w:type="dxa"/>
          </w:tcPr>
          <w:p w14:paraId="6B8F3AA0"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125</w:t>
            </w:r>
          </w:p>
        </w:tc>
        <w:tc>
          <w:tcPr>
            <w:tcW w:w="2461" w:type="dxa"/>
          </w:tcPr>
          <w:p w14:paraId="70C8FF10"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107</w:t>
            </w:r>
          </w:p>
        </w:tc>
        <w:tc>
          <w:tcPr>
            <w:tcW w:w="2133" w:type="dxa"/>
          </w:tcPr>
          <w:p w14:paraId="69EDFB3A" w14:textId="77777777" w:rsidR="002C0440" w:rsidRPr="0097286C" w:rsidRDefault="002C0440" w:rsidP="00E4429E">
            <w:pPr>
              <w:spacing w:line="288" w:lineRule="auto"/>
              <w:jc w:val="center"/>
              <w:rPr>
                <w:rFonts w:ascii="Times New Roman" w:hAnsi="Times New Roman" w:cs="Times New Roman"/>
                <w:sz w:val="22"/>
              </w:rPr>
            </w:pPr>
            <w:r>
              <w:rPr>
                <w:rFonts w:ascii="Times New Roman" w:hAnsi="Times New Roman" w:cs="Times New Roman"/>
                <w:sz w:val="22"/>
              </w:rPr>
              <w:t>232</w:t>
            </w:r>
          </w:p>
        </w:tc>
      </w:tr>
    </w:tbl>
    <w:p w14:paraId="49C45901" w14:textId="77777777" w:rsidR="002C0440" w:rsidRPr="0097286C" w:rsidRDefault="002C0440" w:rsidP="00E4429E">
      <w:pPr>
        <w:pStyle w:val="ListParagraph"/>
        <w:numPr>
          <w:ilvl w:val="0"/>
          <w:numId w:val="1"/>
        </w:numPr>
        <w:spacing w:line="288" w:lineRule="auto"/>
        <w:ind w:left="357" w:hanging="357"/>
        <w:contextualSpacing w:val="0"/>
        <w:rPr>
          <w:rFonts w:ascii="Times New Roman" w:hAnsi="Times New Roman" w:cs="Times New Roman"/>
          <w:sz w:val="18"/>
          <w:szCs w:val="18"/>
        </w:rPr>
      </w:pPr>
      <w:r w:rsidRPr="0097286C">
        <w:rPr>
          <w:rFonts w:ascii="Times New Roman" w:hAnsi="Times New Roman" w:cs="Times New Roman"/>
          <w:sz w:val="18"/>
          <w:szCs w:val="18"/>
        </w:rPr>
        <w:t>Wood production reported as “wood fuel” in FAO statistics for the EU28 plus bark (15%)</w:t>
      </w:r>
    </w:p>
    <w:p w14:paraId="0C974D43" w14:textId="77777777" w:rsidR="002C0440" w:rsidRPr="0097286C" w:rsidRDefault="002C0440" w:rsidP="00E4429E">
      <w:pPr>
        <w:pStyle w:val="ListParagraph"/>
        <w:numPr>
          <w:ilvl w:val="0"/>
          <w:numId w:val="1"/>
        </w:numPr>
        <w:spacing w:line="288" w:lineRule="auto"/>
        <w:ind w:left="357" w:hanging="357"/>
        <w:contextualSpacing w:val="0"/>
        <w:rPr>
          <w:rFonts w:ascii="Times New Roman" w:hAnsi="Times New Roman" w:cs="Times New Roman"/>
          <w:sz w:val="18"/>
          <w:szCs w:val="18"/>
        </w:rPr>
      </w:pPr>
      <w:r w:rsidRPr="0097286C">
        <w:rPr>
          <w:rFonts w:ascii="Times New Roman" w:hAnsi="Times New Roman" w:cs="Times New Roman"/>
          <w:sz w:val="18"/>
          <w:szCs w:val="18"/>
        </w:rPr>
        <w:t>Wood production in other FAO categories used for energy purposes, estimated as described above (including bark).</w:t>
      </w:r>
    </w:p>
    <w:p w14:paraId="237BCB46" w14:textId="77777777" w:rsidR="002C0440" w:rsidRPr="00A31BD7" w:rsidRDefault="002C0440" w:rsidP="00E4429E">
      <w:pPr>
        <w:spacing w:after="120" w:line="288" w:lineRule="auto"/>
        <w:rPr>
          <w:rFonts w:ascii="Times New Roman" w:hAnsi="Times New Roman" w:cs="Times New Roman"/>
        </w:rPr>
      </w:pPr>
    </w:p>
    <w:p w14:paraId="5F31FE4A" w14:textId="77777777" w:rsidR="002C0440" w:rsidRPr="0097286C" w:rsidRDefault="002C0440" w:rsidP="00E4429E">
      <w:pPr>
        <w:spacing w:after="120" w:line="288" w:lineRule="auto"/>
        <w:rPr>
          <w:rFonts w:ascii="Times New Roman" w:hAnsi="Times New Roman" w:cs="Times New Roman"/>
          <w:lang w:val="en-GB"/>
        </w:rPr>
      </w:pPr>
      <w:r w:rsidRPr="0097286C">
        <w:rPr>
          <w:rFonts w:ascii="Times New Roman" w:hAnsi="Times New Roman" w:cs="Times New Roman"/>
          <w:lang w:val="en-GB"/>
        </w:rPr>
        <w:t>An estimate of the GHG emissions mitigated by the utilisation of wood produced in the EU used for energy purposes in the years 1990 and 2015 was then derived.</w:t>
      </w:r>
    </w:p>
    <w:p w14:paraId="1BF55020" w14:textId="77777777" w:rsidR="002C0440" w:rsidRDefault="002C0440" w:rsidP="00E4429E">
      <w:pPr>
        <w:spacing w:after="120" w:line="288" w:lineRule="auto"/>
        <w:rPr>
          <w:rFonts w:ascii="Times New Roman" w:hAnsi="Times New Roman" w:cs="Times New Roman"/>
          <w:lang w:val="en-GB"/>
        </w:rPr>
      </w:pPr>
      <w:r w:rsidRPr="0097286C">
        <w:rPr>
          <w:rFonts w:ascii="Times New Roman" w:hAnsi="Times New Roman" w:cs="Times New Roman"/>
          <w:lang w:val="en-GB"/>
        </w:rPr>
        <w:t>First, for each year, the result</w:t>
      </w:r>
      <w:r>
        <w:rPr>
          <w:rFonts w:ascii="Times New Roman" w:hAnsi="Times New Roman" w:cs="Times New Roman"/>
          <w:lang w:val="en-GB"/>
        </w:rPr>
        <w:t xml:space="preserve"> for total wood volume in Supplementary Table 1</w:t>
      </w:r>
      <w:r w:rsidRPr="0097286C">
        <w:rPr>
          <w:rFonts w:ascii="Times New Roman" w:hAnsi="Times New Roman" w:cs="Times New Roman"/>
          <w:lang w:val="en-GB"/>
        </w:rPr>
        <w:t xml:space="preserve"> was converted to an estimate of wood mass in units of oven-dry tonnes (</w:t>
      </w:r>
      <w:proofErr w:type="spellStart"/>
      <w:r w:rsidRPr="0097286C">
        <w:rPr>
          <w:rFonts w:ascii="Times New Roman" w:hAnsi="Times New Roman" w:cs="Times New Roman"/>
          <w:lang w:val="en-GB"/>
        </w:rPr>
        <w:t>odt</w:t>
      </w:r>
      <w:proofErr w:type="spellEnd"/>
      <w:r w:rsidRPr="0097286C">
        <w:rPr>
          <w:rFonts w:ascii="Times New Roman" w:hAnsi="Times New Roman" w:cs="Times New Roman"/>
          <w:lang w:val="en-GB"/>
        </w:rPr>
        <w:t xml:space="preserve">). A conversion factor of 0.435 </w:t>
      </w:r>
      <w:proofErr w:type="spellStart"/>
      <w:r w:rsidRPr="0097286C">
        <w:rPr>
          <w:rFonts w:ascii="Times New Roman" w:hAnsi="Times New Roman" w:cs="Times New Roman"/>
          <w:lang w:val="en-GB"/>
        </w:rPr>
        <w:t>odt</w:t>
      </w:r>
      <w:proofErr w:type="spellEnd"/>
      <w:r w:rsidRPr="0097286C">
        <w:rPr>
          <w:rFonts w:ascii="Times New Roman" w:hAnsi="Times New Roman" w:cs="Times New Roman"/>
          <w:lang w:val="en-GB"/>
        </w:rPr>
        <w:t xml:space="preserve"> per m</w:t>
      </w:r>
      <w:r w:rsidRPr="0097286C">
        <w:rPr>
          <w:rFonts w:ascii="Times New Roman" w:hAnsi="Times New Roman" w:cs="Times New Roman"/>
          <w:vertAlign w:val="superscript"/>
          <w:lang w:val="en-GB"/>
        </w:rPr>
        <w:t>3</w:t>
      </w:r>
      <w:r w:rsidRPr="0097286C">
        <w:rPr>
          <w:rFonts w:ascii="Times New Roman" w:hAnsi="Times New Roman" w:cs="Times New Roman"/>
          <w:lang w:val="en-GB"/>
        </w:rPr>
        <w:t xml:space="preserve"> was conversion, based on assumptions about the wood density of coniferous and non-coniferous wood and the contributions made by these types of wood to total production.  This gave estimates of 73 and 101 </w:t>
      </w:r>
      <w:proofErr w:type="spellStart"/>
      <w:r w:rsidRPr="0097286C">
        <w:rPr>
          <w:rFonts w:ascii="Times New Roman" w:hAnsi="Times New Roman" w:cs="Times New Roman"/>
          <w:lang w:val="en-GB"/>
        </w:rPr>
        <w:t>Modt</w:t>
      </w:r>
      <w:proofErr w:type="spellEnd"/>
      <w:r w:rsidRPr="0097286C">
        <w:rPr>
          <w:rFonts w:ascii="Times New Roman" w:hAnsi="Times New Roman" w:cs="Times New Roman"/>
          <w:lang w:val="en-GB"/>
        </w:rPr>
        <w:t xml:space="preserve"> respectiv</w:t>
      </w:r>
      <w:r w:rsidR="006F75E4">
        <w:rPr>
          <w:rFonts w:ascii="Times New Roman" w:hAnsi="Times New Roman" w:cs="Times New Roman"/>
          <w:lang w:val="en-GB"/>
        </w:rPr>
        <w:t xml:space="preserve">ely for the years 1990 and 2015. </w:t>
      </w:r>
      <w:r w:rsidRPr="0097286C">
        <w:rPr>
          <w:rFonts w:ascii="Times New Roman" w:hAnsi="Times New Roman" w:cs="Times New Roman"/>
          <w:lang w:val="en-GB"/>
        </w:rPr>
        <w:t>These results were estimated by an assumed emissions displacement factor of 1.32 tCO</w:t>
      </w:r>
      <w:r w:rsidRPr="0097286C">
        <w:rPr>
          <w:rFonts w:ascii="Times New Roman" w:hAnsi="Times New Roman" w:cs="Times New Roman"/>
          <w:vertAlign w:val="subscript"/>
          <w:lang w:val="en-GB"/>
        </w:rPr>
        <w:t>2</w:t>
      </w:r>
      <w:r w:rsidRPr="0097286C">
        <w:rPr>
          <w:rFonts w:ascii="Times New Roman" w:hAnsi="Times New Roman" w:cs="Times New Roman"/>
          <w:lang w:val="en-GB"/>
        </w:rPr>
        <w:t>-equivalent odt</w:t>
      </w:r>
      <w:r w:rsidRPr="0097286C">
        <w:rPr>
          <w:rFonts w:ascii="Times New Roman" w:hAnsi="Times New Roman" w:cs="Times New Roman"/>
          <w:vertAlign w:val="superscript"/>
          <w:lang w:val="en-GB"/>
        </w:rPr>
        <w:t>-1</w:t>
      </w:r>
      <w:r w:rsidRPr="0097286C">
        <w:rPr>
          <w:rFonts w:ascii="Times New Roman" w:hAnsi="Times New Roman" w:cs="Times New Roman"/>
          <w:lang w:val="en-GB"/>
        </w:rPr>
        <w:t xml:space="preserve"> (or roughly 0.57 </w:t>
      </w:r>
      <w:r w:rsidR="007B3039" w:rsidRPr="0097286C">
        <w:rPr>
          <w:rFonts w:ascii="Times New Roman" w:hAnsi="Times New Roman" w:cs="Times New Roman"/>
          <w:lang w:val="en-GB"/>
        </w:rPr>
        <w:t>tCO</w:t>
      </w:r>
      <w:r w:rsidR="007B3039" w:rsidRPr="0097286C">
        <w:rPr>
          <w:rFonts w:ascii="Times New Roman" w:hAnsi="Times New Roman" w:cs="Times New Roman"/>
          <w:vertAlign w:val="subscript"/>
          <w:lang w:val="en-GB"/>
        </w:rPr>
        <w:t>2</w:t>
      </w:r>
      <w:r w:rsidR="007B3039" w:rsidRPr="0097286C">
        <w:rPr>
          <w:rFonts w:ascii="Times New Roman" w:hAnsi="Times New Roman" w:cs="Times New Roman"/>
          <w:lang w:val="en-GB"/>
        </w:rPr>
        <w:t xml:space="preserve">-equivalent </w:t>
      </w:r>
      <w:r w:rsidRPr="0097286C">
        <w:rPr>
          <w:rFonts w:ascii="Times New Roman" w:hAnsi="Times New Roman" w:cs="Times New Roman"/>
          <w:lang w:val="en-GB"/>
        </w:rPr>
        <w:t>m</w:t>
      </w:r>
      <w:r w:rsidRPr="0097286C">
        <w:rPr>
          <w:rFonts w:ascii="Times New Roman" w:hAnsi="Times New Roman" w:cs="Times New Roman"/>
          <w:vertAlign w:val="superscript"/>
          <w:lang w:val="en-GB"/>
        </w:rPr>
        <w:t>-3</w:t>
      </w:r>
      <w:r w:rsidRPr="0097286C">
        <w:rPr>
          <w:rFonts w:ascii="Times New Roman" w:hAnsi="Times New Roman" w:cs="Times New Roman"/>
          <w:lang w:val="en-GB"/>
        </w:rPr>
        <w:t>), giving results for GHG emissions mitigated in 1990 and 2015 of 94 and 133 MtCO</w:t>
      </w:r>
      <w:r w:rsidRPr="0097286C">
        <w:rPr>
          <w:rFonts w:ascii="Times New Roman" w:hAnsi="Times New Roman" w:cs="Times New Roman"/>
          <w:vertAlign w:val="subscript"/>
          <w:lang w:val="en-GB"/>
        </w:rPr>
        <w:t>2</w:t>
      </w:r>
      <w:r w:rsidRPr="0097286C">
        <w:rPr>
          <w:rFonts w:ascii="Times New Roman" w:hAnsi="Times New Roman" w:cs="Times New Roman"/>
          <w:lang w:val="en-GB"/>
        </w:rPr>
        <w:t>-equivalent, respectively. The assumed GHG emissions displacement factor was based on LCA data and results reported by Matthews et al.</w:t>
      </w:r>
      <w:r w:rsidR="00B72D91">
        <w:rPr>
          <w:rFonts w:ascii="Times New Roman" w:hAnsi="Times New Roman" w:cs="Times New Roman"/>
          <w:lang w:val="en-GB"/>
        </w:rPr>
        <w:fldChar w:fldCharType="begin" w:fldLock="1"/>
      </w:r>
      <w:r w:rsidR="00370E0D">
        <w:rPr>
          <w:rFonts w:ascii="Times New Roman" w:hAnsi="Times New Roman" w:cs="Times New Roman"/>
          <w:lang w:val="en-GB"/>
        </w:rPr>
        <w:instrText>ADDIN CSL_CITATION { "citationItems" : [ { "id" : "ITEM-1", "itemData" : { "author" : [ { "dropping-particle" : "", "family" : "Matthews", "given" : "Robert", "non-dropping-particle" : "", "parse-names" : false, "suffix" : "" }, { "dropping-particle" : "", "family" : "Mortimer", "given" : "Nigel", "non-dropping-particle" : "", "parse-names" : false, "suffix" : "" }, { "dropping-particle" : "", "family" : "Lesschen", "given" : "Jan Peter", "non-dropping-particle" : "", "parse-names" : false, "suffix" : "" }, { "dropping-particle" : "", "family" : "Lindroos", "given" : "Tomi J", "non-dropping-particle" : "", "parse-names" : false, "suffix" : "" }, { "dropping-particle" : "", "family" : "Sokka", "given" : "Laura", "non-dropping-particle" : "", "parse-names" : false, "suffix" : "" }, { "dropping-particle" : "", "family" : "Morris", "given" : "Allison", "non-dropping-particle" : "", "parse-names" : false, "suffix" : "" }, { "dropping-particle" : "", "family" : "Henshall", "given" : "Paul", "non-dropping-particle" : "", "parse-names" : false, "suffix" : "" }, { "dropping-particle" : "", "family" : "Hatto", "given" : "Charlotte", "non-dropping-particle" : "", "parse-names" : false, "suffix" : "" }, { "dropping-particle" : "", "family" : "Mwabonje", "given" : "Onesmus", "non-dropping-particle" : "", "parse-names" : false, "suffix" : "" }, { "dropping-particle" : "", "family" : "Rix", "given" : "Jeremy", "non-dropping-particle" : "", "parse-names" : false, "suffix" : "" }, { "dropping-particle" : "", "family" : "Mackie", "given" : "Ewan", "non-dropping-particle" : "", "parse-names" : false, "suffix" : "" }, { "dropping-particle" : "", "family" : "Sayce", "given" : "Marc", "non-dropping-particle" : "", "parse-names" : false, "suffix" : "" } ], "id" : "ITEM-1", "issued" : { "date-parts" : [ [ "2015" ] ] }, "number-of-pages" : "362", "title" : "Carbon impacts of biomass consumed in the EU: quantitative assessment. Final report, project: DG ENER/C1/427 Part A: Main Report", "type" : "report" }, "uris" : [ "http://www.mendeley.com/documents/?uuid=775377e4-5278-4eca-b045-afa354c94569" ] } ], "mendeley" : { "formattedCitation" : "&lt;sup&gt;17&lt;/sup&gt;", "plainTextFormattedCitation" : "17", "previouslyFormattedCitation" : "&lt;sup&gt;17&lt;/sup&gt;" }, "properties" : { "noteIndex" : 5 }, "schema" : "https://github.com/citation-style-language/schema/raw/master/csl-citation.json" }</w:instrText>
      </w:r>
      <w:r w:rsidR="00B72D91">
        <w:rPr>
          <w:rFonts w:ascii="Times New Roman" w:hAnsi="Times New Roman" w:cs="Times New Roman"/>
          <w:lang w:val="en-GB"/>
        </w:rPr>
        <w:fldChar w:fldCharType="separate"/>
      </w:r>
      <w:proofErr w:type="gramStart"/>
      <w:r w:rsidR="00370E0D" w:rsidRPr="00370E0D">
        <w:rPr>
          <w:rFonts w:ascii="Times New Roman" w:hAnsi="Times New Roman" w:cs="Times New Roman"/>
          <w:noProof/>
          <w:vertAlign w:val="superscript"/>
          <w:lang w:val="en-GB"/>
        </w:rPr>
        <w:t>17</w:t>
      </w:r>
      <w:r w:rsidR="00B72D91">
        <w:rPr>
          <w:rFonts w:ascii="Times New Roman" w:hAnsi="Times New Roman" w:cs="Times New Roman"/>
          <w:lang w:val="en-GB"/>
        </w:rPr>
        <w:fldChar w:fldCharType="end"/>
      </w:r>
      <w:r w:rsidRPr="0097286C">
        <w:rPr>
          <w:rFonts w:ascii="Times New Roman" w:hAnsi="Times New Roman" w:cs="Times New Roman"/>
          <w:lang w:val="en-GB"/>
        </w:rPr>
        <w:t>,</w:t>
      </w:r>
      <w:proofErr w:type="gramEnd"/>
      <w:r w:rsidRPr="0097286C">
        <w:rPr>
          <w:rFonts w:ascii="Times New Roman" w:hAnsi="Times New Roman" w:cs="Times New Roman"/>
          <w:lang w:val="en-GB"/>
        </w:rPr>
        <w:t xml:space="preserve"> and involved assuming a counterfactual energy source of oil. This leads to estimates of displaced GHG emissions that are greater than if a counterfactual of natural gas were to be assumed, but less than would be the case for an assumed counterfactual of coal.</w:t>
      </w:r>
    </w:p>
    <w:p w14:paraId="2D0F9D0A" w14:textId="77777777" w:rsidR="00E87F73" w:rsidRDefault="002C0440" w:rsidP="00E4429E">
      <w:pPr>
        <w:spacing w:after="120" w:line="288" w:lineRule="auto"/>
        <w:rPr>
          <w:rFonts w:ascii="Times New Roman" w:hAnsi="Times New Roman" w:cs="Times New Roman"/>
          <w:lang w:val="en-GB"/>
        </w:rPr>
      </w:pPr>
      <w:r>
        <w:rPr>
          <w:rFonts w:ascii="Times New Roman" w:hAnsi="Times New Roman" w:cs="Times New Roman"/>
        </w:rPr>
        <w:t xml:space="preserve">We then combined the numbers above for 2015 with the additional </w:t>
      </w:r>
      <w:r w:rsidR="00E82B1F">
        <w:rPr>
          <w:rFonts w:ascii="Times New Roman" w:hAnsi="Times New Roman" w:cs="Times New Roman"/>
        </w:rPr>
        <w:t xml:space="preserve">EU-level </w:t>
      </w:r>
      <w:r>
        <w:rPr>
          <w:rFonts w:ascii="Times New Roman" w:hAnsi="Times New Roman" w:cs="Times New Roman"/>
        </w:rPr>
        <w:t xml:space="preserve">harvest expected by 2030 under the continuation of historical forest management practices, i.e. </w:t>
      </w:r>
      <w:r w:rsidRPr="00C24E81">
        <w:rPr>
          <w:rFonts w:ascii="Times New Roman" w:hAnsi="Times New Roman" w:cs="Times New Roman"/>
        </w:rPr>
        <w:t xml:space="preserve">consistent with the “forest reference level” accounting as described in the EU legislation and </w:t>
      </w:r>
      <w:r w:rsidRPr="00C24E81">
        <w:rPr>
          <w:rFonts w:ascii="Times New Roman" w:hAnsi="Times New Roman" w:cs="Times New Roman"/>
          <w:lang w:val="en-GB"/>
        </w:rPr>
        <w:t>assuming no LULUCF debits</w:t>
      </w:r>
      <w:r w:rsidRPr="00C24E81">
        <w:rPr>
          <w:rFonts w:ascii="Times New Roman" w:hAnsi="Times New Roman" w:cs="Times New Roman"/>
        </w:rPr>
        <w:t>. This additional harvest was estimated from various sources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"Matthews", "given" : "Robert", "non-dropping-particle" : "", "parse-names" : false, "suffix" : "" }, { "dropping-particle" : "", "family" : "Mortimer", "given" : "Nigel", "non-dropping-particle" : "", "parse-names" : false, "suffix" : "" }, { "dropping-particle" : "", "family" : "Lesschen", "given" : "Jan Peter", "non-dropping-particle" : "", "parse-names" : false, "suffix" : "" }, { "dropping-particle" : "", "family" : "Lindroos", "given" : "Tomi J", "non-dropping-particle" : "", "parse-names" : false, "suffix" : "" }, { "dropping-particle" : "", "family" : "Sokka", "given" : "Laura", "non-dropping-particle" : "", "parse-names" : false, "suffix" : "" }, { "dropping-particle" : "", "family" : "Morris", "given" : "Allison", "non-dropping-particle" : "", "parse-names" : false, "suffix" : "" }, { "dropping-particle" : "", "family" : "Henshall", "given" : "Paul", "non-dropping-particle" : "", "parse-names" : false, "suffix" : "" }, { "dropping-particle" : "", "family" : "Hatto", "given" : "Charlotte", "non-dropping-particle" : "", "parse-names" : false, "suffix" : "" }, { "dropping-particle" : "", "family" : "Mwabonje", "given" : "Onesmus", "non-dropping-particle" : "", "parse-names" : false, "suffix" : "" }, { "dropping-particle" : "", "family" : "Rix", "given" : "Jeremy", "non-dropping-particle" : "", "parse-names" : false, "suffix" : "" }, { "dropping-particle" : "", "family" : "Mackie", "given" : "Ewan", "non-dropping-particle" : "", "parse-names" : false, "suffix" : "" }, { "dropping-particle" : "", "family" : "Sayce", "given" : "Marc", "non-dropping-particle" : "", "parse-names" : false, "suffix" : "" } ], "id" : "ITEM-1", "issued" : { "date-parts" : [ [ "2015" ] ] }, "number-of-pages" : "362", "title" : "Carbon impacts of biomass consumed in the EU: quantitative assessment. Final report, project: DG ENER/C1/427 Part A: Main Report", "type" : "report" }, "uris" : [ "http://www.mendeley.com/documents/?uuid=775377e4-5278-4eca-b045-afa354c94569" ] }, { "id" : "ITEM-2", "itemData" : { "DOI" : "10.1186/s13021-018-0096-2", "ISSN" : "1750-0680", "abstract" : "The credibility and effectiveness of country climate targets under the Paris Agreement requires that, in all greenhouse gas (GHG) sectors, the accounted mitigation outcomes reflect genuine deviations from the type and magnitude of activities generating emissions in the base year or baseline. This is challenging for the forestry sector, as the future net emissions can change irrespective of actual management activities, because of age-related stand dynamics resulting from past management and natural disturbances. The solution implemented under the Kyoto Protocol (2013\u20132020) was accounting mitigation as deviation from a projected (forward-looking) \u201cforest reference level\u201d, which considered the age-related dynamics but also allowed including the assumed future implementation of approved policies. This caused controversies, as unverifiable counterfactual scenarios with inflated future harvest could lead to credits where no change in management has actually occurred, or conversely, failing to reflect in the accounts a policy-driven increase in net emissions. Instead, here we describe an approach to set reference levels based on the projected continuation of documented historical forest management practice, i.e. reflecting age-related dynamics but not the future impact of policies. We illustrate a possible method to implement this approach at the level of the European Union (EU) using the Carbon Budget Model.", "author" : [ { "dropping-particle" : "", "family" : "Grassi", "given" : "Giacomo", "non-dropping-particle" : "", "parse-names" : false, "suffix" : "" }, { "dropping-particle" : "", "family" : "Pilli", "given" : "Roberto", "non-dropping-particle" : "", "parse-names" : false, "suffix" : "" }, { "dropping-particle" : "", "family" : "House", "given" : "Jo", "non-dropping-particle" : "", "parse-names" : false, "suffix" : "" }, { "dropping-particle" : "", "family" : "Federici", "given" : "Sandro", "non-dropping-particle" : "", "parse-names" : false, "suffix" : "" }, { "dropping-particle" : "", "family" : "Kurz", "given" : "Werner A", "non-dropping-particle" : "", "parse-names" : false, "suffix" : "" } ], "container-title" : "Carbon Balance and Management", "id" : "ITEM-2", "issue" : "1", "issued" : { "date-parts" : [ [ "2018", "12", "17" ] ] }, "page" : "8", "title" : "Science-based approach for credible accounting of mitigation in managed forests", "type" : "article-journal", "volume" : "13" }, "uris" : [ "http://www.mendeley.com/documents/?uuid=12d440d2-9ace-4a86-8299-634fb97d0fe1" ] }, { "id" : "ITEM-3", "itemData" : { "DOI" : "10.1186/s13021-018-0107-3", "ISSN" : "1750-0680", "abstract" : "In June 2018, the European Parliament and Council of the European Union adopted a legislative regulation for incorporating greenhouse gas emissions and removals from Land Use, Land Use Change and Forestry (EU-LULUCF) under its 2030 Climate and Energy Framework. The LULUCF regulation aim to incentivise EU Member States to decrease greenhouse gas emissions and increase removals in the LULUCF sector. The regulation, however, does not set a target for increasing the LULUCF carbon sink, but rather includes a \u2018no net debit\u2019 target for LULUCF (Forests and Agricultural soils). For Managed Forest Land (MFL) an accounting framework with capped credits for additional mitigation against a set forest reference level (FRL) was agreed for 2021\u20132030. The FRL gives the projected future carbon sink in the two compliance periods 2021\u20132025 and 2026\u20132030 under \u201ccontinuation of forest management practices as they were in the reference period 2000\u20132009\u201d. This FRL was disputed by some Member States as it was perceived to put a limit on their future wood harvesting from MFL. Here we simulated with the EFISCEN European forest model the \u201ccontinuation of forest management practices\u201d and determined the corresponding wood harvest for 26 EU countries under progressing age classes.", "author" : [ { "dropping-particle" : "", "family" : "Nabuurs", "given" : "Gert-Jan", "non-dropping-particle" : "", "parse-names" : false, "suffix" : "" }, { "dropping-particle" : "", "family" : "Arets", "given" : "Eric J M M", "non-dropping-particle" : "", "parse-names" : false, "suffix" : "" }, { "dropping-particle" : "", "family" : "Schelhaas", "given" : "Mart-Jan", "non-dropping-particle" : "", "parse-names" : false, "suffix" : "" } ], "container-title" : "Carbon Balance and Management", "id" : "ITEM-3", "issue" : "1", "issued" : { "date-parts" : [ [ "2018", "12", "16" ] ] }, "page" : "18", "title" : "Understanding the implications of the EU-LULUCF regulation for the wood supply from EU forests to the EU", "type" : "article-journal", "volume" : "13" }, "uris" : [ "http://www.mendeley.com/documents/?uuid=067d7c8d-854c-48a7-86cd-abca971a8bfa" ] } ], "mendeley" : { "formattedCitation" : "&lt;sup&gt;5,12,17&lt;/sup&gt;", "plainTextFormattedCitation" : "5,12,17", "previouslyFormattedCitation" : "&lt;sup&gt;5,12,17&lt;/sup&gt;"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5,12,17</w:t>
      </w:r>
      <w:r w:rsidR="00B72D91">
        <w:rPr>
          <w:rFonts w:ascii="Times New Roman" w:hAnsi="Times New Roman" w:cs="Times New Roman"/>
        </w:rPr>
        <w:fldChar w:fldCharType="end"/>
      </w:r>
      <w:r w:rsidRPr="00C24E81">
        <w:rPr>
          <w:rFonts w:ascii="Times New Roman" w:hAnsi="Times New Roman" w:cs="Times New Roman"/>
        </w:rPr>
        <w:t>, and ranges between about 40 and 70 additional Mm</w:t>
      </w:r>
      <w:r w:rsidRPr="00C24E81">
        <w:rPr>
          <w:rFonts w:ascii="Times New Roman" w:hAnsi="Times New Roman" w:cs="Times New Roman"/>
          <w:vertAlign w:val="superscript"/>
        </w:rPr>
        <w:t>3</w:t>
      </w:r>
      <w:r w:rsidRPr="00C24E81">
        <w:rPr>
          <w:rFonts w:ascii="Times New Roman" w:hAnsi="Times New Roman" w:cs="Times New Roman"/>
        </w:rPr>
        <w:t xml:space="preserve"> in 2030 relative to 2015. By considering the same share on energy vs. non-energy wood as documented historically</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"EU", "given" : "", "non-dropping-particle" : "", "parse-names" : false, "suffix" : "" } ], "id" : "ITEM-1", "issued" : { "date-parts" : [ [ "2018" ] ] }, "number-of-pages" : "25", "title" : "Regulation (EU) 2018/841 of the European Parliament and of the Council of 30 May 2018 on the inclusion of greenhouse gas emissions and removals from land use, land use change and forestry in the 2030 climate and energy framework, and amending Regulation (", "type" : "report" }, "uris" : [ "http://www.mendeley.com/documents/?uuid=729b82bd-f9b3-4781-9e31-49fcaefcd36c" ] } ], "mendeley" : { "formattedCitation" : "&lt;sup&gt;10&lt;/sup&gt;", "plainTextFormattedCitation" : "10", "previouslyFormattedCitation" : "&lt;sup&gt;10&lt;/sup&gt;" }, "properties" : { "noteIndex" : 5 }, "schema" : "https://github.com/citation-style-language/schema/raw/master/csl-citation.json" }</w:instrText>
      </w:r>
      <w:r w:rsidR="00B72D91">
        <w:rPr>
          <w:rFonts w:ascii="Times New Roman" w:hAnsi="Times New Roman" w:cs="Times New Roman"/>
        </w:rPr>
        <w:fldChar w:fldCharType="separate"/>
      </w:r>
      <w:r w:rsidR="009D195E" w:rsidRPr="009D195E">
        <w:rPr>
          <w:rFonts w:ascii="Times New Roman" w:hAnsi="Times New Roman" w:cs="Times New Roman"/>
          <w:noProof/>
          <w:vertAlign w:val="superscript"/>
        </w:rPr>
        <w:t>10</w:t>
      </w:r>
      <w:r w:rsidR="00B72D91">
        <w:rPr>
          <w:rFonts w:ascii="Times New Roman" w:hAnsi="Times New Roman" w:cs="Times New Roman"/>
        </w:rPr>
        <w:fldChar w:fldCharType="end"/>
      </w:r>
      <w:r w:rsidRPr="00C24E81">
        <w:rPr>
          <w:rFonts w:ascii="Times New Roman" w:hAnsi="Times New Roman" w:cs="Times New Roman"/>
        </w:rPr>
        <w:t xml:space="preserve"> and the conversion factors described above, the expected </w:t>
      </w:r>
      <w:r w:rsidR="00F45411">
        <w:rPr>
          <w:rFonts w:ascii="Times New Roman" w:hAnsi="Times New Roman" w:cs="Times New Roman"/>
        </w:rPr>
        <w:t xml:space="preserve">potential </w:t>
      </w:r>
      <w:r w:rsidRPr="00C24E81">
        <w:rPr>
          <w:rFonts w:ascii="Times New Roman" w:hAnsi="Times New Roman" w:cs="Times New Roman"/>
          <w:lang w:val="en-GB"/>
        </w:rPr>
        <w:t xml:space="preserve">GHG emissions savings associated with </w:t>
      </w:r>
      <w:r w:rsidRPr="00C24E81">
        <w:rPr>
          <w:rFonts w:ascii="Times New Roman" w:hAnsi="Times New Roman" w:cs="Times New Roman"/>
        </w:rPr>
        <w:t>forest-based bioenergy are estimate</w:t>
      </w:r>
      <w:r w:rsidR="00F45411">
        <w:rPr>
          <w:rFonts w:ascii="Times New Roman" w:hAnsi="Times New Roman" w:cs="Times New Roman"/>
        </w:rPr>
        <w:t>d</w:t>
      </w:r>
      <w:r w:rsidRPr="00C24E81">
        <w:rPr>
          <w:rFonts w:ascii="Times New Roman" w:hAnsi="Times New Roman" w:cs="Times New Roman"/>
        </w:rPr>
        <w:t xml:space="preserve"> around </w:t>
      </w:r>
      <w:r w:rsidRPr="00C24E81">
        <w:rPr>
          <w:rFonts w:ascii="Times New Roman" w:hAnsi="Times New Roman" w:cs="Times New Roman"/>
          <w:lang w:val="en-GB"/>
        </w:rPr>
        <w:t>153 MtCO</w:t>
      </w:r>
      <w:r w:rsidRPr="00C24E81">
        <w:rPr>
          <w:rFonts w:ascii="Times New Roman" w:hAnsi="Times New Roman" w:cs="Times New Roman"/>
          <w:vertAlign w:val="subscript"/>
          <w:lang w:val="en-GB"/>
        </w:rPr>
        <w:t xml:space="preserve">2 </w:t>
      </w:r>
      <w:r w:rsidRPr="00C24E81">
        <w:rPr>
          <w:rFonts w:ascii="Times New Roman" w:hAnsi="Times New Roman" w:cs="Times New Roman"/>
          <w:lang w:val="en-GB"/>
        </w:rPr>
        <w:t xml:space="preserve">in 2030. </w:t>
      </w:r>
    </w:p>
    <w:p w14:paraId="4B085210" w14:textId="77777777" w:rsidR="00E87F73" w:rsidRPr="00E87F73" w:rsidRDefault="00E87F73" w:rsidP="00E4429E">
      <w:pPr>
        <w:spacing w:after="120" w:line="288" w:lineRule="auto"/>
        <w:rPr>
          <w:rFonts w:ascii="Times New Roman" w:hAnsi="Times New Roman" w:cs="Times New Roman"/>
          <w:b/>
          <w:lang w:val="en-GB"/>
        </w:rPr>
      </w:pPr>
      <w:r>
        <w:rPr>
          <w:rFonts w:ascii="Times New Roman" w:hAnsi="Times New Roman" w:cs="Times New Roman"/>
        </w:rPr>
        <w:t xml:space="preserve">Therefore, relative to the </w:t>
      </w:r>
      <w:r w:rsidRPr="00A00F11">
        <w:rPr>
          <w:rFonts w:ascii="Times New Roman" w:hAnsi="Times New Roman" w:cs="Times New Roman"/>
          <w:color w:val="000000"/>
        </w:rPr>
        <w:t>EU’s climate target under the Paris Agreement</w:t>
      </w:r>
      <w:r w:rsidRPr="00A00F11" w:rsidDel="002B12E6">
        <w:rPr>
          <w:rFonts w:ascii="Times New Roman" w:hAnsi="Times New Roman" w:cs="Times New Roman"/>
        </w:rPr>
        <w:t xml:space="preserve"> </w:t>
      </w:r>
      <w:r>
        <w:rPr>
          <w:rFonts w:ascii="Times New Roman" w:hAnsi="Times New Roman" w:cs="Times New Roman"/>
        </w:rPr>
        <w:t>(reduction of</w:t>
      </w:r>
      <w:r w:rsidRPr="00A00F11">
        <w:rPr>
          <w:rFonts w:ascii="Times New Roman" w:hAnsi="Times New Roman" w:cs="Times New Roman"/>
          <w:color w:val="000000"/>
        </w:rPr>
        <w:t xml:space="preserve"> </w:t>
      </w:r>
      <w:r>
        <w:rPr>
          <w:rFonts w:ascii="Times New Roman" w:hAnsi="Times New Roman" w:cs="Times New Roman"/>
          <w:color w:val="000000"/>
        </w:rPr>
        <w:t xml:space="preserve">about </w:t>
      </w:r>
      <w:r w:rsidRPr="00A00F11">
        <w:rPr>
          <w:rFonts w:ascii="Times New Roman" w:hAnsi="Times New Roman" w:cs="Times New Roman"/>
          <w:color w:val="000000"/>
        </w:rPr>
        <w:t>2250 Mt</w:t>
      </w:r>
      <w:r w:rsidRPr="00A00F11">
        <w:rPr>
          <w:rFonts w:ascii="Times New Roman" w:hAnsi="Times New Roman" w:cs="Times New Roman"/>
        </w:rPr>
        <w:t xml:space="preserve"> CO</w:t>
      </w:r>
      <w:r w:rsidRPr="00A00F11">
        <w:rPr>
          <w:rFonts w:ascii="Times New Roman" w:hAnsi="Times New Roman" w:cs="Times New Roman"/>
          <w:vertAlign w:val="subscript"/>
        </w:rPr>
        <w:t>2</w:t>
      </w:r>
      <w:r w:rsidRPr="00A00F11">
        <w:rPr>
          <w:rFonts w:ascii="Times New Roman" w:hAnsi="Times New Roman" w:cs="Times New Roman"/>
        </w:rPr>
        <w:t>e</w:t>
      </w:r>
      <w:r>
        <w:rPr>
          <w:rFonts w:ascii="Times New Roman" w:hAnsi="Times New Roman" w:cs="Times New Roman"/>
          <w:color w:val="000000"/>
        </w:rPr>
        <w:t>/y,</w:t>
      </w:r>
      <w:r w:rsidRPr="00A00F11">
        <w:rPr>
          <w:rFonts w:ascii="Times New Roman" w:hAnsi="Times New Roman" w:cs="Times New Roman"/>
          <w:color w:val="000000"/>
        </w:rPr>
        <w:t xml:space="preserve"> </w:t>
      </w:r>
      <w:r w:rsidRPr="001D61A3">
        <w:rPr>
          <w:rFonts w:ascii="Times New Roman" w:hAnsi="Times New Roman" w:cs="Times New Roman"/>
        </w:rPr>
        <w:t>i.e. from about 5650 Mt CO</w:t>
      </w:r>
      <w:r w:rsidRPr="001D61A3">
        <w:rPr>
          <w:rFonts w:ascii="Times New Roman" w:hAnsi="Times New Roman" w:cs="Times New Roman"/>
          <w:vertAlign w:val="subscript"/>
        </w:rPr>
        <w:t>2</w:t>
      </w:r>
      <w:r w:rsidRPr="001D61A3">
        <w:rPr>
          <w:rFonts w:ascii="Times New Roman" w:hAnsi="Times New Roman" w:cs="Times New Roman"/>
        </w:rPr>
        <w:t>e/y in 1990 to about 3400 Mt CO</w:t>
      </w:r>
      <w:r w:rsidRPr="001D61A3">
        <w:rPr>
          <w:rFonts w:ascii="Times New Roman" w:hAnsi="Times New Roman" w:cs="Times New Roman"/>
          <w:vertAlign w:val="subscript"/>
        </w:rPr>
        <w:t>2</w:t>
      </w:r>
      <w:r w:rsidRPr="001D61A3">
        <w:rPr>
          <w:rFonts w:ascii="Times New Roman" w:hAnsi="Times New Roman" w:cs="Times New Roman"/>
        </w:rPr>
        <w:t>e</w:t>
      </w:r>
      <w:r>
        <w:rPr>
          <w:rFonts w:ascii="Times New Roman" w:hAnsi="Times New Roman" w:cs="Times New Roman"/>
        </w:rPr>
        <w:t>/y in 2030</w:t>
      </w:r>
      <w:r w:rsidRPr="00A00F11">
        <w:rPr>
          <w:rFonts w:ascii="Times New Roman" w:hAnsi="Times New Roman" w:cs="Times New Roman"/>
          <w:color w:val="000000"/>
        </w:rPr>
        <w:t>)</w:t>
      </w:r>
      <w:r>
        <w:rPr>
          <w:rFonts w:ascii="Times New Roman" w:hAnsi="Times New Roman" w:cs="Times New Roman"/>
          <w:color w:val="000000"/>
        </w:rPr>
        <w:t>,</w:t>
      </w:r>
      <w:r w:rsidRPr="00A00F11">
        <w:rPr>
          <w:rFonts w:ascii="Times New Roman" w:hAnsi="Times New Roman" w:cs="Times New Roman"/>
        </w:rPr>
        <w:t xml:space="preserve"> the </w:t>
      </w:r>
      <w:r w:rsidRPr="00A00F11">
        <w:rPr>
          <w:rFonts w:ascii="Times New Roman" w:hAnsi="Times New Roman" w:cs="Times New Roman"/>
        </w:rPr>
        <w:lastRenderedPageBreak/>
        <w:t xml:space="preserve">indirect contribution of EU forest-based bioenergy to the EU 2030 emission reduction target would realistically </w:t>
      </w:r>
      <w:r>
        <w:rPr>
          <w:rFonts w:ascii="Times New Roman" w:hAnsi="Times New Roman" w:cs="Times New Roman"/>
        </w:rPr>
        <w:t>add another</w:t>
      </w:r>
      <w:r w:rsidRPr="00A00F11">
        <w:rPr>
          <w:rFonts w:ascii="Times New Roman" w:hAnsi="Times New Roman" w:cs="Times New Roman"/>
        </w:rPr>
        <w:t xml:space="preserve"> 3% ((15</w:t>
      </w:r>
      <w:r>
        <w:rPr>
          <w:rFonts w:ascii="Times New Roman" w:hAnsi="Times New Roman" w:cs="Times New Roman"/>
        </w:rPr>
        <w:t>3</w:t>
      </w:r>
      <w:r w:rsidRPr="00A00F11">
        <w:rPr>
          <w:rFonts w:ascii="Times New Roman" w:hAnsi="Times New Roman" w:cs="Times New Roman"/>
        </w:rPr>
        <w:t>-9</w:t>
      </w:r>
      <w:r>
        <w:rPr>
          <w:rFonts w:ascii="Times New Roman" w:hAnsi="Times New Roman" w:cs="Times New Roman"/>
        </w:rPr>
        <w:t>4</w:t>
      </w:r>
      <w:r w:rsidRPr="00A00F11">
        <w:rPr>
          <w:rFonts w:ascii="Times New Roman" w:hAnsi="Times New Roman" w:cs="Times New Roman"/>
        </w:rPr>
        <w:t>)/2250).</w:t>
      </w:r>
    </w:p>
    <w:p w14:paraId="194109F4" w14:textId="77777777" w:rsidR="002C0440" w:rsidRPr="00971070" w:rsidRDefault="00F45411" w:rsidP="00E4429E">
      <w:pPr>
        <w:spacing w:after="120" w:line="288" w:lineRule="auto"/>
        <w:rPr>
          <w:rFonts w:ascii="Times New Roman" w:hAnsi="Times New Roman" w:cs="Times New Roman"/>
          <w:lang w:val="en-GB"/>
        </w:rPr>
      </w:pPr>
      <w:r>
        <w:rPr>
          <w:rFonts w:ascii="Times New Roman" w:hAnsi="Times New Roman" w:cs="Times New Roman"/>
          <w:lang w:val="en-GB"/>
        </w:rPr>
        <w:t>Note that, for the purpose of this comment, we do not discuss the specific GHG savings from various bioenergy pathways, extensively discussed elsewhere</w:t>
      </w:r>
      <w:r w:rsidR="00B72D91">
        <w:rPr>
          <w:rFonts w:ascii="Times New Roman" w:hAnsi="Times New Roman" w:cs="Times New Roman"/>
          <w:lang w:val="en-GB"/>
        </w:rPr>
        <w:fldChar w:fldCharType="begin" w:fldLock="1"/>
      </w:r>
      <w:r w:rsidR="00370E0D">
        <w:rPr>
          <w:rFonts w:ascii="Times New Roman" w:hAnsi="Times New Roman" w:cs="Times New Roman"/>
          <w:lang w:val="en-GB"/>
        </w:rPr>
        <w:instrText>ADDIN CSL_CITATION { "citationItems" : [ { "id" : "ITEM-1", "itemData" : { "author" : [ { "dropping-particle" : "", "family" : "Agostini", "given" : "A", "non-dropping-particle" : "", "parse-names" : false, "suffix" : "" }, { "dropping-particle" : "", "family" : "Giuntoli", "given" : "J", "non-dropping-particle" : "", "parse-names" : false, "suffix" : "" }, { "dropping-particle" : "", "family" : "Boulamanti", "given" : "Aikaterini", "non-dropping-particle" : "", "parse-names" : false, "suffix" : "" } ], "id" : "ITEM-1", "issued" : { "date-parts" : [ [ "2014" ] ] }, "number-of-pages" : "88", "publisher-place" : "Luxembourg: Publications Office of the European Union", "title" : "Carbon accounting of forest bioenergy. Conclusions and recommendations from a critical literature review", "type" : "report" }, "uris" : [ "http://www.mendeley.com/documents/?uuid=fb554026-f34a-4410-a0ea-fabc47f136c1" ] } ], "mendeley" : { "formattedCitation" : "&lt;sup&gt;18&lt;/sup&gt;", "plainTextFormattedCitation" : "18", "previouslyFormattedCitation" : "&lt;sup&gt;18&lt;/sup&gt;" }, "properties" : { "noteIndex" : 5 }, "schema" : "https://github.com/citation-style-language/schema/raw/master/csl-citation.json" }</w:instrText>
      </w:r>
      <w:r w:rsidR="00B72D91">
        <w:rPr>
          <w:rFonts w:ascii="Times New Roman" w:hAnsi="Times New Roman" w:cs="Times New Roman"/>
          <w:lang w:val="en-GB"/>
        </w:rPr>
        <w:fldChar w:fldCharType="separate"/>
      </w:r>
      <w:r w:rsidR="00370E0D" w:rsidRPr="00370E0D">
        <w:rPr>
          <w:rFonts w:ascii="Times New Roman" w:hAnsi="Times New Roman" w:cs="Times New Roman"/>
          <w:noProof/>
          <w:vertAlign w:val="superscript"/>
          <w:lang w:val="en-GB"/>
        </w:rPr>
        <w:t>18</w:t>
      </w:r>
      <w:r w:rsidR="00B72D91">
        <w:rPr>
          <w:rFonts w:ascii="Times New Roman" w:hAnsi="Times New Roman" w:cs="Times New Roman"/>
          <w:lang w:val="en-GB"/>
        </w:rPr>
        <w:fldChar w:fldCharType="end"/>
      </w:r>
      <w:r w:rsidR="00370E0D">
        <w:rPr>
          <w:rFonts w:ascii="Times New Roman" w:hAnsi="Times New Roman" w:cs="Times New Roman"/>
          <w:lang w:val="en-GB"/>
        </w:rPr>
        <w:t>.</w:t>
      </w:r>
      <w:r>
        <w:rPr>
          <w:rFonts w:ascii="Times New Roman" w:hAnsi="Times New Roman" w:cs="Times New Roman"/>
          <w:lang w:val="en-GB"/>
        </w:rPr>
        <w:t xml:space="preserve"> </w:t>
      </w:r>
    </w:p>
    <w:p w14:paraId="6F279CD2" w14:textId="77777777" w:rsidR="002C0440" w:rsidRDefault="002C0440" w:rsidP="00E4429E">
      <w:pPr>
        <w:spacing w:after="120" w:line="288" w:lineRule="auto"/>
        <w:rPr>
          <w:rFonts w:ascii="Times New Roman" w:hAnsi="Times New Roman" w:cs="Times New Roman"/>
        </w:rPr>
      </w:pPr>
    </w:p>
    <w:p w14:paraId="5DB8138E" w14:textId="77777777" w:rsidR="002C0440" w:rsidRPr="006A59A0" w:rsidRDefault="002C0440" w:rsidP="00E4429E">
      <w:pPr>
        <w:spacing w:after="120" w:line="288" w:lineRule="auto"/>
        <w:rPr>
          <w:rFonts w:ascii="Times New Roman" w:hAnsi="Times New Roman" w:cs="Times New Roman"/>
        </w:rPr>
      </w:pPr>
      <w:r w:rsidRPr="006A59A0">
        <w:rPr>
          <w:rFonts w:ascii="Times New Roman" w:hAnsi="Times New Roman" w:cs="Times New Roman"/>
        </w:rPr>
        <w:t xml:space="preserve">It should be </w:t>
      </w:r>
      <w:r>
        <w:rPr>
          <w:rFonts w:ascii="Times New Roman" w:hAnsi="Times New Roman" w:cs="Times New Roman"/>
        </w:rPr>
        <w:t xml:space="preserve">acknowledged </w:t>
      </w:r>
      <w:r w:rsidRPr="006A59A0">
        <w:rPr>
          <w:rFonts w:ascii="Times New Roman" w:hAnsi="Times New Roman" w:cs="Times New Roman"/>
        </w:rPr>
        <w:t xml:space="preserve">that large uncertainties exist on the </w:t>
      </w:r>
      <w:r w:rsidRPr="00C24E81">
        <w:rPr>
          <w:rFonts w:ascii="Times New Roman" w:hAnsi="Times New Roman" w:cs="Times New Roman"/>
        </w:rPr>
        <w:t xml:space="preserve">forest-based bioenergy </w:t>
      </w:r>
      <w:r w:rsidRPr="006A59A0">
        <w:rPr>
          <w:rFonts w:ascii="Times New Roman" w:hAnsi="Times New Roman" w:cs="Times New Roman"/>
        </w:rPr>
        <w:t xml:space="preserve">data for 1990, and that different approaches (including different </w:t>
      </w:r>
      <w:r>
        <w:rPr>
          <w:rFonts w:ascii="Times New Roman" w:hAnsi="Times New Roman" w:cs="Times New Roman"/>
        </w:rPr>
        <w:t xml:space="preserve">methods to </w:t>
      </w:r>
      <w:r w:rsidRPr="006A59A0">
        <w:rPr>
          <w:rFonts w:ascii="Times New Roman" w:hAnsi="Times New Roman" w:cs="Times New Roman"/>
        </w:rPr>
        <w:t>disaggregat</w:t>
      </w:r>
      <w:r>
        <w:rPr>
          <w:rFonts w:ascii="Times New Roman" w:hAnsi="Times New Roman" w:cs="Times New Roman"/>
        </w:rPr>
        <w:t>e</w:t>
      </w:r>
      <w:r w:rsidRPr="006A59A0">
        <w:rPr>
          <w:rFonts w:ascii="Times New Roman" w:hAnsi="Times New Roman" w:cs="Times New Roman"/>
        </w:rPr>
        <w:t xml:space="preserve"> available statistics) may lead to different estimates of the amount of wood used for energy purposes. </w:t>
      </w:r>
    </w:p>
    <w:p w14:paraId="79D324BF" w14:textId="77777777" w:rsidR="002C0440" w:rsidRPr="002859DA" w:rsidRDefault="002C0440" w:rsidP="00E4429E">
      <w:pPr>
        <w:spacing w:after="120" w:line="288" w:lineRule="auto"/>
        <w:rPr>
          <w:rFonts w:ascii="Times New Roman" w:hAnsi="Times New Roman" w:cs="Times New Roman"/>
        </w:rPr>
      </w:pPr>
      <w:r>
        <w:rPr>
          <w:rFonts w:ascii="Times New Roman" w:hAnsi="Times New Roman" w:cs="Times New Roman"/>
        </w:rPr>
        <w:t>As example of a different approach</w:t>
      </w:r>
      <w:r w:rsidRPr="002859DA">
        <w:rPr>
          <w:rFonts w:ascii="Times New Roman" w:hAnsi="Times New Roman" w:cs="Times New Roman"/>
        </w:rPr>
        <w:t xml:space="preserve">, </w:t>
      </w:r>
      <w:proofErr w:type="spellStart"/>
      <w:r w:rsidRPr="002859DA">
        <w:rPr>
          <w:rFonts w:ascii="Times New Roman" w:hAnsi="Times New Roman" w:cs="Times New Roman"/>
        </w:rPr>
        <w:t>Camia</w:t>
      </w:r>
      <w:proofErr w:type="spellEnd"/>
      <w:r w:rsidRPr="002859DA">
        <w:rPr>
          <w:rFonts w:ascii="Times New Roman" w:hAnsi="Times New Roman" w:cs="Times New Roman"/>
        </w:rPr>
        <w:t xml:space="preserve"> et al.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"Camia", "given" : "A.", "non-dropping-particle" : "", "parse-names" : false, "suffix" : "" }, { "dropping-particle" : "", "family" : "Robert", "given" : "N.", "non-dropping-particle" : "", "parse-names" : false, "suffix" : "" }, { "dropping-particle" : "", "family" : "Jonsson", "given" : "R.", "non-dropping-particle" : "", "parse-names" : false, "suffix" : "" }, { "dropping-particle" : "", "family" : "Pilli", "given" : "R.", "non-dropping-particle" : "", "parse-names" : false, "suffix" : "" }, { "dropping-particle" : "", "family" : "Garc\u00eda-Condado", "given" : "S.", "non-dropping-particle" : "", "parse-names" : false, "suffix" : "" }, { "dropping-particle" : "", "family" : "L\u00f3pez-Lozano", "given" : "R", "non-dropping-particle" : "", "parse-names" : false, "suffix" : "" }, { "dropping-particle" : "", "family" : "Velde", "given" : "M", "non-dropping-particle" : "van der", "parse-names" : false, "suffix" : "" }, { "dropping-particle" : "", "family" : "Ronzon", "given" : "T", "non-dropping-particle" : "", "parse-names" : false, "suffix" : "" }, { "dropping-particle" : "", "family" : "Gurr\u00eda", "given" : "P", "non-dropping-particle" : "", "parse-names" : false, "suffix" : "" }, { "dropping-particle" : "", "family" : "M\u2019Barek", "given" : "R", "non-dropping-particle" : "", "parse-names" : false, "suffix" : "" }, { "dropping-particle" : "", "family" : "Tamosiunas", "given" : "S", "non-dropping-particle" : "", "parse-names" : false, "suffix" : "" }, { "dropping-particle" : "", "family" : "Fiorese", "given" : "G", "non-dropping-particle" : "", "parse-names" : false, "suffix" : "" }, { "dropping-particle" : "", "family" : "Araujo", "given" : "R", "non-dropping-particle" : "", "parse-names" : false, "suffix" : "" }, { "dropping-particle" : "", "family" : "Hoepffner", "given" : "N", "non-dropping-particle" : "", "parse-names" : false, "suffix" : "" }, { "dropping-particle" : "", "family" : "Marelli", "given" : "L", "non-dropping-particle" : "", "parse-names" : false, "suffix" : "" }, { "dropping-particle" : "", "family" : "Giuntoli", "given" : "J", "non-dropping-particle" : "", "parse-names" : false, "suffix" : "" } ], "id" : "ITEM-1", "issued" : { "date-parts" : [ [ "2018" ] ] }, "number-of-pages" : "126", "publisher-place" : "Luxembourg: Publications Office of the European Union", "title" : "Biomass production, supply, uses and flows in the European Union. First results from an integrated assessment", "type" : "report" }, "uris" : [ "http://www.mendeley.com/documents/?uuid=e2a39974-8d06-41a1-926f-d91b3676c7d2" ] } ], "mendeley" : { "formattedCitation" : "&lt;sup&gt;19&lt;/sup&gt;", "plainTextFormattedCitation" : "19", "previouslyFormattedCitation" : "&lt;sup&gt;19&lt;/sup&gt;"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19</w:t>
      </w:r>
      <w:r w:rsidR="00B72D91">
        <w:rPr>
          <w:rFonts w:ascii="Times New Roman" w:hAnsi="Times New Roman" w:cs="Times New Roman"/>
        </w:rPr>
        <w:fldChar w:fldCharType="end"/>
      </w:r>
      <w:r w:rsidRPr="002859DA">
        <w:rPr>
          <w:rFonts w:ascii="Times New Roman" w:hAnsi="Times New Roman" w:cs="Times New Roman"/>
        </w:rPr>
        <w:t xml:space="preserve"> performed a comprehensive analysis of wood flows within the forest sector, covering non-energy as well as energy uses of harvested wood, trade in wood commodities and reconciliation of estimates with other available data sources on wood energy use within the EU. They estimated EU wood resource balance sheets and woody biomass flows using both forest-based sector statistics (from the FAOSTAT database described above) and energy-related statistics such as the UNECE/FAO Joint Wood Energy Enquiry (JWEE)</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"URL" : "www.unece.org/forests/jwee.html", "author" : [ { "dropping-particle" : "", "family" : "UNECE", "given" : "", "non-dropping-particle" : "", "parse-names" : false, "suffix" : "" }, { "dropping-particle" : "", "family" : "FAO", "given" : "", "non-dropping-particle" : "", "parse-names" : false, "suffix" : "" } ], "id" : "ITEM-1", "issued" : { "date-parts" : [ [ "0" ] ] }, "title" : "Joint Wood Energy Enquiry", "type" : "webpage" }, "uris" : [ "http://www.mendeley.com/documents/?uuid=80ba5b3c-9750-4b8c-a063-c1320b184728" ] } ], "mendeley" : { "formattedCitation" : "&lt;sup&gt;20&lt;/sup&gt;", "plainTextFormattedCitation" : "20", "previouslyFormattedCitation" : "&lt;sup&gt;20&lt;/sup&gt;"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20</w:t>
      </w:r>
      <w:r w:rsidR="00B72D91">
        <w:rPr>
          <w:rFonts w:ascii="Times New Roman" w:hAnsi="Times New Roman" w:cs="Times New Roman"/>
        </w:rPr>
        <w:fldChar w:fldCharType="end"/>
      </w:r>
      <w:r w:rsidRPr="002859DA">
        <w:rPr>
          <w:rFonts w:ascii="Times New Roman" w:hAnsi="Times New Roman" w:cs="Times New Roman"/>
        </w:rPr>
        <w:t xml:space="preserve"> and the EU Member States national renewable energy action plans (NREAPs) Progress Reports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"URL" : "https://ec.europa.eu/jrc/en/scientific-tool/nreap-data-portal", "author" : [ { "dropping-particle" : "", "family" : "EC", "given" : "", "non-dropping-particle" : "", "parse-names" : false, "suffix" : "" } ], "id" : "ITEM-1", "issued" : { "date-parts" : [ [ "0" ] ] }, "title" : "EU Science Hub: National renewable energy action plans and progress reports data portal", "type" : "webpage" }, "uris" : [ "http://www.mendeley.com/documents/?uuid=1b6c9b1f-ae79-4ab1-9293-50ef5eacd62d" ] } ], "mendeley" : { "formattedCitation" : "&lt;sup&gt;21&lt;/sup&gt;", "plainTextFormattedCitation" : "21", "previouslyFormattedCitation" : "&lt;sup&gt;21&lt;/sup&gt;"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21</w:t>
      </w:r>
      <w:r w:rsidR="00B72D91">
        <w:rPr>
          <w:rFonts w:ascii="Times New Roman" w:hAnsi="Times New Roman" w:cs="Times New Roman"/>
        </w:rPr>
        <w:fldChar w:fldCharType="end"/>
      </w:r>
      <w:r w:rsidRPr="002859DA">
        <w:rPr>
          <w:rFonts w:ascii="Times New Roman" w:hAnsi="Times New Roman" w:cs="Times New Roman"/>
        </w:rPr>
        <w:t>. For the year 2015, their findings show that energy statistics imply a significantly greater amount of forest-based bioenergy (more than 400 Mm</w:t>
      </w:r>
      <w:r w:rsidRPr="002859DA">
        <w:rPr>
          <w:rFonts w:ascii="Times New Roman" w:hAnsi="Times New Roman" w:cs="Times New Roman"/>
          <w:vertAlign w:val="superscript"/>
        </w:rPr>
        <w:t>3</w:t>
      </w:r>
      <w:r w:rsidRPr="002859DA">
        <w:rPr>
          <w:rFonts w:ascii="Times New Roman" w:hAnsi="Times New Roman" w:cs="Times New Roman"/>
        </w:rPr>
        <w:t>) compared to forest-based sector statistics</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"Camia", "given" : "A.", "non-dropping-particle" : "", "parse-names" : false, "suffix" : "" }, { "dropping-particle" : "", "family" : "Robert", "given" : "N.", "non-dropping-particle" : "", "parse-names" : false, "suffix" : "" }, { "dropping-particle" : "", "family" : "Jonsson", "given" : "R.", "non-dropping-particle" : "", "parse-names" : false, "suffix" : "" }, { "dropping-particle" : "", "family" : "Pilli", "given" : "R.", "non-dropping-particle" : "", "parse-names" : false, "suffix" : "" }, { "dropping-particle" : "", "family" : "Garc\u00eda-Condado", "given" : "S.", "non-dropping-particle" : "", "parse-names" : false, "suffix" : "" }, { "dropping-particle" : "", "family" : "L\u00f3pez-Lozano", "given" : "R", "non-dropping-particle" : "", "parse-names" : false, "suffix" : "" }, { "dropping-particle" : "", "family" : "Velde", "given" : "M", "non-dropping-particle" : "van der", "parse-names" : false, "suffix" : "" }, { "dropping-particle" : "", "family" : "Ronzon", "given" : "T", "non-dropping-particle" : "", "parse-names" : false, "suffix" : "" }, { "dropping-particle" : "", "family" : "Gurr\u00eda", "given" : "P", "non-dropping-particle" : "", "parse-names" : false, "suffix" : "" }, { "dropping-particle" : "", "family" : "M\u2019Barek", "given" : "R", "non-dropping-particle" : "", "parse-names" : false, "suffix" : "" }, { "dropping-particle" : "", "family" : "Tamosiunas", "given" : "S", "non-dropping-particle" : "", "parse-names" : false, "suffix" : "" }, { "dropping-particle" : "", "family" : "Fiorese", "given" : "G", "non-dropping-particle" : "", "parse-names" : false, "suffix" : "" }, { "dropping-particle" : "", "family" : "Araujo", "given" : "R", "non-dropping-particle" : "", "parse-names" : false, "suffix" : "" }, { "dropping-particle" : "", "family" : "Hoepffner", "given" : "N", "non-dropping-particle" : "", "parse-names" : false, "suffix" : "" }, { "dropping-particle" : "", "family" : "Marelli", "given" : "L", "non-dropping-particle" : "", "parse-names" : false, "suffix" : "" }, { "dropping-particle" : "", "family" : "Giuntoli", "given" : "J", "non-dropping-particle" : "", "parse-names" : false, "suffix" : "" } ], "id" : "ITEM-1", "issued" : { "date-parts" : [ [ "2018" ] ] }, "number-of-pages" : "126", "publisher-place" : "Luxembourg: Publications Office of the European Union", "title" : "Biomass production, supply, uses and flows in the European Union. First results from an integrated assessment", "type" : "report" }, "uris" : [ "http://www.mendeley.com/documents/?uuid=e2a39974-8d06-41a1-926f-d91b3676c7d2" ] } ], "mendeley" : { "formattedCitation" : "&lt;sup&gt;19&lt;/sup&gt;", "plainTextFormattedCitation" : "19", "previouslyFormattedCitation" : "&lt;sup&gt;19&lt;/sup&gt;"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19</w:t>
      </w:r>
      <w:r w:rsidR="00B72D91">
        <w:rPr>
          <w:rFonts w:ascii="Times New Roman" w:hAnsi="Times New Roman" w:cs="Times New Roman"/>
        </w:rPr>
        <w:fldChar w:fldCharType="end"/>
      </w:r>
      <w:r w:rsidRPr="002859DA">
        <w:rPr>
          <w:rFonts w:ascii="Times New Roman" w:hAnsi="Times New Roman" w:cs="Times New Roman"/>
        </w:rPr>
        <w:t>. This discrepancy between different statistics, equivalent to more than 100 Mm</w:t>
      </w:r>
      <w:r w:rsidRPr="002859DA">
        <w:rPr>
          <w:rFonts w:ascii="Times New Roman" w:hAnsi="Times New Roman" w:cs="Times New Roman"/>
          <w:vertAlign w:val="superscript"/>
        </w:rPr>
        <w:t>3</w:t>
      </w:r>
      <w:r w:rsidRPr="002859DA">
        <w:rPr>
          <w:rFonts w:ascii="Times New Roman" w:hAnsi="Times New Roman" w:cs="Times New Roman"/>
        </w:rPr>
        <w:t xml:space="preserve"> at EU level in 2015, is the amount of wood likely unaccounted from the source side, and which would be needed to explain the material and energy produced reported from the use side (see </w:t>
      </w:r>
      <w:proofErr w:type="spellStart"/>
      <w:r w:rsidRPr="002859DA">
        <w:rPr>
          <w:rFonts w:ascii="Times New Roman" w:hAnsi="Times New Roman" w:cs="Times New Roman"/>
        </w:rPr>
        <w:t>Camia</w:t>
      </w:r>
      <w:proofErr w:type="spellEnd"/>
      <w:r w:rsidRPr="002859DA">
        <w:rPr>
          <w:rFonts w:ascii="Times New Roman" w:hAnsi="Times New Roman" w:cs="Times New Roman"/>
        </w:rPr>
        <w:t xml:space="preserve"> et al.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"Camia", "given" : "A.", "non-dropping-particle" : "", "parse-names" : false, "suffix" : "" }, { "dropping-particle" : "", "family" : "Robert", "given" : "N.", "non-dropping-particle" : "", "parse-names" : false, "suffix" : "" }, { "dropping-particle" : "", "family" : "Jonsson", "given" : "R.", "non-dropping-particle" : "", "parse-names" : false, "suffix" : "" }, { "dropping-particle" : "", "family" : "Pilli", "given" : "R.", "non-dropping-particle" : "", "parse-names" : false, "suffix" : "" }, { "dropping-particle" : "", "family" : "Garc\u00eda-Condado", "given" : "S.", "non-dropping-particle" : "", "parse-names" : false, "suffix" : "" }, { "dropping-particle" : "", "family" : "L\u00f3pez-Lozano", "given" : "R", "non-dropping-particle" : "", "parse-names" : false, "suffix" : "" }, { "dropping-particle" : "", "family" : "Velde", "given" : "M", "non-dropping-particle" : "van der", "parse-names" : false, "suffix" : "" }, { "dropping-particle" : "", "family" : "Ronzon", "given" : "T", "non-dropping-particle" : "", "parse-names" : false, "suffix" : "" }, { "dropping-particle" : "", "family" : "Gurr\u00eda", "given" : "P", "non-dropping-particle" : "", "parse-names" : false, "suffix" : "" }, { "dropping-particle" : "", "family" : "M\u2019Barek", "given" : "R", "non-dropping-particle" : "", "parse-names" : false, "suffix" : "" }, { "dropping-particle" : "", "family" : "Tamosiunas", "given" : "S", "non-dropping-particle" : "", "parse-names" : false, "suffix" : "" }, { "dropping-particle" : "", "family" : "Fiorese", "given" : "G", "non-dropping-particle" : "", "parse-names" : false, "suffix" : "" }, { "dropping-particle" : "", "family" : "Araujo", "given" : "R", "non-dropping-particle" : "", "parse-names" : false, "suffix" : "" }, { "dropping-particle" : "", "family" : "Hoepffner", "given" : "N", "non-dropping-particle" : "", "parse-names" : false, "suffix" : "" }, { "dropping-particle" : "", "family" : "Marelli", "given" : "L", "non-dropping-particle" : "", "parse-names" : false, "suffix" : "" }, { "dropping-particle" : "", "family" : "Giuntoli", "given" : "J", "non-dropping-particle" : "", "parse-names" : false, "suffix" : "" } ], "id" : "ITEM-1", "issued" : { "date-parts" : [ [ "2018" ] ] }, "number-of-pages" : "126", "publisher-place" : "Luxembourg: Publications Office of the European Union", "title" : "Biomass production, supply, uses and flows in the European Union. First results from an integrated assessment", "type" : "report" }, "uris" : [ "http://www.mendeley.com/documents/?uuid=e2a39974-8d06-41a1-926f-d91b3676c7d2" ] } ], "mendeley" : { "formattedCitation" : "&lt;sup&gt;19&lt;/sup&gt;", "plainTextFormattedCitation" : "19", "previouslyFormattedCitation" : "&lt;sup&gt;19&lt;/sup&gt;" }, "properties" : { "noteIndex" : 5 }, "schema" : "https://github.com/citation-style-language/schema/raw/master/csl-citation.json" }</w:instrText>
      </w:r>
      <w:r w:rsidR="00B72D91">
        <w:rPr>
          <w:rFonts w:ascii="Times New Roman" w:hAnsi="Times New Roman" w:cs="Times New Roman"/>
        </w:rPr>
        <w:fldChar w:fldCharType="separate"/>
      </w:r>
      <w:proofErr w:type="gramStart"/>
      <w:r w:rsidR="00370E0D" w:rsidRPr="00370E0D">
        <w:rPr>
          <w:rFonts w:ascii="Times New Roman" w:hAnsi="Times New Roman" w:cs="Times New Roman"/>
          <w:noProof/>
          <w:vertAlign w:val="superscript"/>
        </w:rPr>
        <w:t>19</w:t>
      </w:r>
      <w:r w:rsidR="00B72D91">
        <w:rPr>
          <w:rFonts w:ascii="Times New Roman" w:hAnsi="Times New Roman" w:cs="Times New Roman"/>
        </w:rPr>
        <w:fldChar w:fldCharType="end"/>
      </w:r>
      <w:r w:rsidRPr="002859DA">
        <w:rPr>
          <w:rFonts w:ascii="Times New Roman" w:hAnsi="Times New Roman" w:cs="Times New Roman"/>
        </w:rPr>
        <w:t xml:space="preserve"> for details).</w:t>
      </w:r>
      <w:proofErr w:type="gramEnd"/>
      <w:r w:rsidRPr="002859DA">
        <w:rPr>
          <w:rFonts w:ascii="Times New Roman" w:hAnsi="Times New Roman" w:cs="Times New Roman"/>
        </w:rPr>
        <w:t xml:space="preserve"> Using data from </w:t>
      </w:r>
      <w:proofErr w:type="spellStart"/>
      <w:r w:rsidRPr="002859DA">
        <w:rPr>
          <w:rFonts w:ascii="Times New Roman" w:hAnsi="Times New Roman" w:cs="Times New Roman"/>
        </w:rPr>
        <w:t>Camia</w:t>
      </w:r>
      <w:proofErr w:type="spellEnd"/>
      <w:r w:rsidRPr="002859DA">
        <w:rPr>
          <w:rFonts w:ascii="Times New Roman" w:hAnsi="Times New Roman" w:cs="Times New Roman"/>
        </w:rPr>
        <w:t xml:space="preserve"> et al.</w:t>
      </w:r>
      <w:r w:rsidR="00B72D91">
        <w:rPr>
          <w:rFonts w:ascii="Times New Roman" w:hAnsi="Times New Roman" w:cs="Times New Roman"/>
        </w:rPr>
        <w:fldChar w:fldCharType="begin" w:fldLock="1"/>
      </w:r>
      <w:r w:rsidR="00370E0D">
        <w:rPr>
          <w:rFonts w:ascii="Times New Roman" w:hAnsi="Times New Roman" w:cs="Times New Roman"/>
        </w:rPr>
        <w:instrText>ADDIN CSL_CITATION { "citationItems" : [ { "id" : "ITEM-1", "itemData" : { "author" : [ { "dropping-particle" : "", "family" : "Camia", "given" : "A.", "non-dropping-particle" : "", "parse-names" : false, "suffix" : "" }, { "dropping-particle" : "", "family" : "Robert", "given" : "N.", "non-dropping-particle" : "", "parse-names" : false, "suffix" : "" }, { "dropping-particle" : "", "family" : "Jonsson", "given" : "R.", "non-dropping-particle" : "", "parse-names" : false, "suffix" : "" }, { "dropping-particle" : "", "family" : "Pilli", "given" : "R.", "non-dropping-particle" : "", "parse-names" : false, "suffix" : "" }, { "dropping-particle" : "", "family" : "Garc\u00eda-Condado", "given" : "S.", "non-dropping-particle" : "", "parse-names" : false, "suffix" : "" }, { "dropping-particle" : "", "family" : "L\u00f3pez-Lozano", "given" : "R", "non-dropping-particle" : "", "parse-names" : false, "suffix" : "" }, { "dropping-particle" : "", "family" : "Velde", "given" : "M", "non-dropping-particle" : "van der", "parse-names" : false, "suffix" : "" }, { "dropping-particle" : "", "family" : "Ronzon", "given" : "T", "non-dropping-particle" : "", "parse-names" : false, "suffix" : "" }, { "dropping-particle" : "", "family" : "Gurr\u00eda", "given" : "P", "non-dropping-particle" : "", "parse-names" : false, "suffix" : "" }, { "dropping-particle" : "", "family" : "M\u2019Barek", "given" : "R", "non-dropping-particle" : "", "parse-names" : false, "suffix" : "" }, { "dropping-particle" : "", "family" : "Tamosiunas", "given" : "S", "non-dropping-particle" : "", "parse-names" : false, "suffix" : "" }, { "dropping-particle" : "", "family" : "Fiorese", "given" : "G", "non-dropping-particle" : "", "parse-names" : false, "suffix" : "" }, { "dropping-particle" : "", "family" : "Araujo", "given" : "R", "non-dropping-particle" : "", "parse-names" : false, "suffix" : "" }, { "dropping-particle" : "", "family" : "Hoepffner", "given" : "N", "non-dropping-particle" : "", "parse-names" : false, "suffix" : "" }, { "dropping-particle" : "", "family" : "Marelli", "given" : "L", "non-dropping-particle" : "", "parse-names" : false, "suffix" : "" }, { "dropping-particle" : "", "family" : "Giuntoli", "given" : "J", "non-dropping-particle" : "", "parse-names" : false, "suffix" : "" } ], "id" : "ITEM-1", "issued" : { "date-parts" : [ [ "2018" ] ] }, "number-of-pages" : "126", "publisher-place" : "Luxembourg: Publications Office of the European Union", "title" : "Biomass production, supply, uses and flows in the European Union. First results from an integrated assessment", "type" : "report" }, "uris" : [ "http://www.mendeley.com/documents/?uuid=e2a39974-8d06-41a1-926f-d91b3676c7d2" ] } ], "mendeley" : { "formattedCitation" : "&lt;sup&gt;19&lt;/sup&gt;", "plainTextFormattedCitation" : "19", "previouslyFormattedCitation" : "&lt;sup&gt;19&lt;/sup&gt;" }, "properties" : { "noteIndex" : 5 }, "schema" : "https://github.com/citation-style-language/schema/raw/master/csl-citation.json" }</w:instrText>
      </w:r>
      <w:r w:rsidR="00B72D91">
        <w:rPr>
          <w:rFonts w:ascii="Times New Roman" w:hAnsi="Times New Roman" w:cs="Times New Roman"/>
        </w:rPr>
        <w:fldChar w:fldCharType="separate"/>
      </w:r>
      <w:r w:rsidR="00370E0D" w:rsidRPr="00370E0D">
        <w:rPr>
          <w:rFonts w:ascii="Times New Roman" w:hAnsi="Times New Roman" w:cs="Times New Roman"/>
          <w:noProof/>
          <w:vertAlign w:val="superscript"/>
        </w:rPr>
        <w:t>19</w:t>
      </w:r>
      <w:r w:rsidR="00B72D91">
        <w:rPr>
          <w:rFonts w:ascii="Times New Roman" w:hAnsi="Times New Roman" w:cs="Times New Roman"/>
        </w:rPr>
        <w:fldChar w:fldCharType="end"/>
      </w:r>
      <w:r w:rsidRPr="002859DA">
        <w:rPr>
          <w:rFonts w:ascii="Times New Roman" w:hAnsi="Times New Roman" w:cs="Times New Roman"/>
        </w:rPr>
        <w:t xml:space="preserve">, the contribution of EU </w:t>
      </w:r>
      <w:r>
        <w:rPr>
          <w:rFonts w:ascii="Times New Roman" w:hAnsi="Times New Roman" w:cs="Times New Roman"/>
        </w:rPr>
        <w:t>forest-based</w:t>
      </w:r>
      <w:r w:rsidRPr="002859DA">
        <w:rPr>
          <w:rFonts w:ascii="Times New Roman" w:hAnsi="Times New Roman" w:cs="Times New Roman"/>
        </w:rPr>
        <w:t xml:space="preserve"> bioenergy to the EU 2030 climate targets would slightly increase, reaching about 4% of the foreseen total EU GHG emission reduction. </w:t>
      </w:r>
    </w:p>
    <w:p w14:paraId="34359E63" w14:textId="77777777" w:rsidR="002C0440" w:rsidRPr="00C24E81" w:rsidRDefault="002C0440" w:rsidP="00E4429E">
      <w:pPr>
        <w:spacing w:after="120" w:line="288" w:lineRule="auto"/>
        <w:jc w:val="both"/>
        <w:rPr>
          <w:rFonts w:ascii="Times New Roman" w:hAnsi="Times New Roman" w:cs="Times New Roman"/>
          <w:szCs w:val="22"/>
        </w:rPr>
      </w:pPr>
      <w:r w:rsidRPr="00C24E81">
        <w:rPr>
          <w:rFonts w:ascii="Times New Roman" w:hAnsi="Times New Roman" w:cs="Times New Roman"/>
          <w:szCs w:val="22"/>
        </w:rPr>
        <w:t xml:space="preserve">Furthermore, it should be also noted that the </w:t>
      </w:r>
      <w:r w:rsidRPr="00C24E81">
        <w:rPr>
          <w:rFonts w:ascii="Times New Roman" w:hAnsi="Times New Roman" w:cs="Times New Roman" w:hint="eastAsia"/>
          <w:szCs w:val="22"/>
        </w:rPr>
        <w:t xml:space="preserve">recast </w:t>
      </w:r>
      <w:r w:rsidRPr="00C24E81">
        <w:rPr>
          <w:rFonts w:ascii="Times New Roman" w:hAnsi="Times New Roman" w:cs="Times New Roman"/>
          <w:szCs w:val="22"/>
        </w:rPr>
        <w:t>of the</w:t>
      </w:r>
      <w:r>
        <w:rPr>
          <w:rFonts w:ascii="Times New Roman" w:hAnsi="Times New Roman" w:cs="Times New Roman"/>
          <w:szCs w:val="22"/>
        </w:rPr>
        <w:t xml:space="preserve"> EU Renewable Energy Directive</w:t>
      </w:r>
      <w:r w:rsidR="00B72D91">
        <w:rPr>
          <w:rFonts w:ascii="Times New Roman" w:hAnsi="Times New Roman" w:cs="Times New Roman"/>
          <w:szCs w:val="22"/>
        </w:rPr>
        <w:fldChar w:fldCharType="begin" w:fldLock="1"/>
      </w:r>
      <w:r w:rsidR="00370E0D">
        <w:rPr>
          <w:rFonts w:ascii="Times New Roman" w:hAnsi="Times New Roman" w:cs="Times New Roman"/>
          <w:szCs w:val="22"/>
        </w:rPr>
        <w:instrText>ADDIN CSL_CITATION { "citationItems" : [ { "id" : "ITEM-1", "itemData" : { "URL" : "www.europarl.europa.eu/legislative-train/theme-resilient-energy-union-with-a-climate-change-policy/file-jd-renewable-energy-directive-for-2030-with-sustainable-biomass-and-biofuels", "author" : [ { "dropping-particle" : "", "family" : "EP", "given" : "", "non-dropping-particle" : "", "parse-names" : false, "suffix" : "" } ], "id" : "ITEM-1", "issued" : { "date-parts" : [ [ "0" ] ] }, "title" : "Legislative train schedule. Resilient Energy Union with a climate change policy. JD - Review of the Renewable Energy Directive 2009/28/EC to adapt it to the EU 2030 climate and energy targets", "type" : "webpage" }, "uris" : [ "http://www.mendeley.com/documents/?uuid=bbc6e333-86e9-444f-b48e-26fcae89dd93" ] } ], "mendeley" : { "formattedCitation" : "&lt;sup&gt;22&lt;/sup&gt;", "plainTextFormattedCitation" : "22", "previouslyFormattedCitation" : "&lt;sup&gt;22&lt;/sup&gt;" }, "properties" : { "noteIndex" : 5 }, "schema" : "https://github.com/citation-style-language/schema/raw/master/csl-citation.json" }</w:instrText>
      </w:r>
      <w:r w:rsidR="00B72D91">
        <w:rPr>
          <w:rFonts w:ascii="Times New Roman" w:hAnsi="Times New Roman" w:cs="Times New Roman"/>
          <w:szCs w:val="22"/>
        </w:rPr>
        <w:fldChar w:fldCharType="separate"/>
      </w:r>
      <w:r w:rsidR="00370E0D" w:rsidRPr="00370E0D">
        <w:rPr>
          <w:rFonts w:ascii="Times New Roman" w:hAnsi="Times New Roman" w:cs="Times New Roman"/>
          <w:noProof/>
          <w:szCs w:val="22"/>
          <w:vertAlign w:val="superscript"/>
        </w:rPr>
        <w:t>22</w:t>
      </w:r>
      <w:r w:rsidR="00B72D91">
        <w:rPr>
          <w:rFonts w:ascii="Times New Roman" w:hAnsi="Times New Roman" w:cs="Times New Roman"/>
          <w:szCs w:val="22"/>
        </w:rPr>
        <w:fldChar w:fldCharType="end"/>
      </w:r>
      <w:r>
        <w:rPr>
          <w:rFonts w:ascii="Times New Roman" w:hAnsi="Times New Roman" w:cs="Times New Roman"/>
          <w:szCs w:val="22"/>
        </w:rPr>
        <w:t xml:space="preserve"> </w:t>
      </w:r>
      <w:r w:rsidRPr="00C24E81">
        <w:rPr>
          <w:rFonts w:ascii="Times New Roman" w:hAnsi="Times New Roman" w:cs="Times New Roman"/>
          <w:szCs w:val="22"/>
        </w:rPr>
        <w:t>introduces new risk-based requirements for forest biomass in order ‘to minimise the risk of using unsustainable forest biomass production’ and alignment with LULUCF requirements, with the aim of ensuring proper carbon accounting.</w:t>
      </w:r>
    </w:p>
    <w:p w14:paraId="3C2D5747" w14:textId="512D8C81" w:rsidR="002C0440" w:rsidRDefault="002C0440" w:rsidP="00E4429E">
      <w:pPr>
        <w:spacing w:after="120" w:line="288" w:lineRule="auto"/>
        <w:rPr>
          <w:rFonts w:ascii="Times New Roman" w:hAnsi="Times New Roman" w:cs="Times New Roman"/>
        </w:rPr>
      </w:pPr>
      <w:r w:rsidRPr="002859DA">
        <w:rPr>
          <w:rFonts w:ascii="Times New Roman" w:hAnsi="Times New Roman" w:cs="Times New Roman"/>
        </w:rPr>
        <w:t xml:space="preserve">Despite the uncertainties illustrated above, we believe that the results provided here represent robust evidence to support the message that, in fact, the additional contribution of EU </w:t>
      </w:r>
      <w:r>
        <w:rPr>
          <w:rFonts w:ascii="Times New Roman" w:hAnsi="Times New Roman" w:cs="Times New Roman"/>
        </w:rPr>
        <w:t>forest-based</w:t>
      </w:r>
      <w:r w:rsidRPr="002859DA">
        <w:rPr>
          <w:rFonts w:ascii="Times New Roman" w:hAnsi="Times New Roman" w:cs="Times New Roman"/>
        </w:rPr>
        <w:t xml:space="preserve"> bioenergy to the EU 2030 climate targets should be expected to be relatively small, i.e. in the order of 3 to 4% of the foreseen total EU GHG emission reduction</w:t>
      </w:r>
      <w:r w:rsidR="00E87F73">
        <w:rPr>
          <w:rFonts w:ascii="Times New Roman" w:hAnsi="Times New Roman" w:cs="Times New Roman"/>
        </w:rPr>
        <w:t>.</w:t>
      </w:r>
    </w:p>
    <w:p w14:paraId="327A255F" w14:textId="77777777" w:rsidR="00E82B1F" w:rsidRDefault="00E82B1F" w:rsidP="00E4429E">
      <w:pPr>
        <w:spacing w:after="160" w:line="288" w:lineRule="auto"/>
        <w:rPr>
          <w:rFonts w:ascii="Times New Roman" w:hAnsi="Times New Roman" w:cs="Times New Roman"/>
        </w:rPr>
      </w:pPr>
      <w:r>
        <w:rPr>
          <w:rFonts w:ascii="Times New Roman" w:hAnsi="Times New Roman" w:cs="Times New Roman"/>
        </w:rPr>
        <w:br w:type="page"/>
      </w:r>
    </w:p>
    <w:p w14:paraId="12F87A8B" w14:textId="77777777" w:rsidR="00E82B1F" w:rsidRPr="0029527D" w:rsidRDefault="00E82B1F" w:rsidP="00E4429E">
      <w:pPr>
        <w:spacing w:line="288" w:lineRule="auto"/>
        <w:rPr>
          <w:rFonts w:ascii="Times New Roman" w:hAnsi="Times New Roman" w:cs="Times New Roman"/>
          <w:b/>
          <w:sz w:val="22"/>
        </w:rPr>
      </w:pPr>
      <w:r w:rsidRPr="0029527D">
        <w:rPr>
          <w:rFonts w:ascii="Times New Roman" w:hAnsi="Times New Roman" w:cs="Times New Roman"/>
          <w:b/>
          <w:sz w:val="22"/>
        </w:rPr>
        <w:lastRenderedPageBreak/>
        <w:t>References (</w:t>
      </w:r>
      <w:r w:rsidR="004D3925">
        <w:rPr>
          <w:rFonts w:ascii="Times New Roman" w:hAnsi="Times New Roman" w:cs="Times New Roman"/>
          <w:b/>
          <w:sz w:val="22"/>
        </w:rPr>
        <w:t>Additional</w:t>
      </w:r>
      <w:r w:rsidRPr="0029527D">
        <w:rPr>
          <w:rFonts w:ascii="Times New Roman" w:hAnsi="Times New Roman" w:cs="Times New Roman"/>
          <w:b/>
          <w:sz w:val="22"/>
        </w:rPr>
        <w:t xml:space="preserve"> Information)</w:t>
      </w:r>
    </w:p>
    <w:p w14:paraId="6181CF7B" w14:textId="77777777" w:rsidR="00E82B1F" w:rsidRPr="0029527D" w:rsidRDefault="00E82B1F" w:rsidP="00E4429E">
      <w:pPr>
        <w:spacing w:line="288" w:lineRule="auto"/>
        <w:rPr>
          <w:rFonts w:ascii="Times New Roman" w:hAnsi="Times New Roman" w:cs="Times New Roman"/>
          <w:b/>
          <w:sz w:val="22"/>
        </w:rPr>
      </w:pPr>
    </w:p>
    <w:p w14:paraId="4C01893C" w14:textId="77777777" w:rsidR="00E82B1F" w:rsidRPr="0029527D" w:rsidRDefault="00B72D91"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sz w:val="22"/>
        </w:rPr>
        <w:fldChar w:fldCharType="begin" w:fldLock="1"/>
      </w:r>
      <w:r w:rsidR="00E82B1F" w:rsidRPr="0029527D">
        <w:rPr>
          <w:rFonts w:ascii="Times New Roman" w:hAnsi="Times New Roman" w:cs="Times New Roman"/>
          <w:sz w:val="22"/>
        </w:rPr>
        <w:instrText xml:space="preserve">ADDIN Mendeley Bibliography CSL_BIBLIOGRAPHY </w:instrText>
      </w:r>
      <w:r w:rsidRPr="0029527D">
        <w:rPr>
          <w:rFonts w:ascii="Times New Roman" w:hAnsi="Times New Roman" w:cs="Times New Roman"/>
          <w:sz w:val="22"/>
        </w:rPr>
        <w:fldChar w:fldCharType="separate"/>
      </w:r>
      <w:r w:rsidR="00E82B1F" w:rsidRPr="0029527D">
        <w:rPr>
          <w:rFonts w:ascii="Times New Roman" w:hAnsi="Times New Roman" w:cs="Times New Roman"/>
          <w:noProof/>
          <w:sz w:val="22"/>
        </w:rPr>
        <w:t>1.</w:t>
      </w:r>
      <w:r w:rsidR="00E82B1F" w:rsidRPr="0029527D">
        <w:rPr>
          <w:rFonts w:ascii="Times New Roman" w:hAnsi="Times New Roman" w:cs="Times New Roman"/>
          <w:noProof/>
          <w:sz w:val="22"/>
        </w:rPr>
        <w:tab/>
        <w:t xml:space="preserve">UNFCCC (United Nations Framework Convention on Climate Change). INDCs as communicated by Parties. Available at: https://www4.unfccc.int/sites/submissions/indc/Submission Pages/submissions.aspx. </w:t>
      </w:r>
    </w:p>
    <w:p w14:paraId="71FA9DAF"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2.</w:t>
      </w:r>
      <w:r w:rsidRPr="0029527D">
        <w:rPr>
          <w:rFonts w:ascii="Times New Roman" w:hAnsi="Times New Roman" w:cs="Times New Roman"/>
          <w:noProof/>
          <w:sz w:val="22"/>
        </w:rPr>
        <w:tab/>
        <w:t xml:space="preserve">Grassi, G.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The key role of forests in meeting climate targets requires science for credible mitigation. </w:t>
      </w:r>
      <w:r w:rsidRPr="0029527D">
        <w:rPr>
          <w:rFonts w:ascii="Times New Roman" w:hAnsi="Times New Roman" w:cs="Times New Roman"/>
          <w:i/>
          <w:iCs/>
          <w:noProof/>
          <w:sz w:val="22"/>
        </w:rPr>
        <w:t>Nat. Clim. Chang.</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7</w:t>
      </w:r>
      <w:r w:rsidRPr="0029527D">
        <w:rPr>
          <w:rFonts w:ascii="Times New Roman" w:hAnsi="Times New Roman" w:cs="Times New Roman"/>
          <w:noProof/>
          <w:sz w:val="22"/>
        </w:rPr>
        <w:t>, 220–226 (2017).</w:t>
      </w:r>
    </w:p>
    <w:p w14:paraId="36802914"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3.</w:t>
      </w:r>
      <w:r w:rsidRPr="0029527D">
        <w:rPr>
          <w:rFonts w:ascii="Times New Roman" w:hAnsi="Times New Roman" w:cs="Times New Roman"/>
          <w:noProof/>
          <w:sz w:val="22"/>
        </w:rPr>
        <w:tab/>
        <w:t xml:space="preserve">Forsell, N.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Assessing the INDCs’ land use, land use change, and forest emission projections. </w:t>
      </w:r>
      <w:r w:rsidRPr="0029527D">
        <w:rPr>
          <w:rFonts w:ascii="Times New Roman" w:hAnsi="Times New Roman" w:cs="Times New Roman"/>
          <w:i/>
          <w:iCs/>
          <w:noProof/>
          <w:sz w:val="22"/>
        </w:rPr>
        <w:t>Carbon Balance Manag.</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11</w:t>
      </w:r>
      <w:r w:rsidRPr="0029527D">
        <w:rPr>
          <w:rFonts w:ascii="Times New Roman" w:hAnsi="Times New Roman" w:cs="Times New Roman"/>
          <w:noProof/>
          <w:sz w:val="22"/>
        </w:rPr>
        <w:t>, 26 (2016).</w:t>
      </w:r>
    </w:p>
    <w:p w14:paraId="6DB4AA52"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4.</w:t>
      </w:r>
      <w:r w:rsidRPr="0029527D">
        <w:rPr>
          <w:rFonts w:ascii="Times New Roman" w:hAnsi="Times New Roman" w:cs="Times New Roman"/>
          <w:noProof/>
          <w:sz w:val="22"/>
        </w:rPr>
        <w:tab/>
        <w:t xml:space="preserve">Grassi, G.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Reconciling global-model estimates and country reporting of anthropogenic forest CO2 sinks. </w:t>
      </w:r>
      <w:r w:rsidRPr="0029527D">
        <w:rPr>
          <w:rFonts w:ascii="Times New Roman" w:hAnsi="Times New Roman" w:cs="Times New Roman"/>
          <w:i/>
          <w:iCs/>
          <w:noProof/>
          <w:sz w:val="22"/>
        </w:rPr>
        <w:t>Nat. Clim. Chang.</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8</w:t>
      </w:r>
      <w:r w:rsidRPr="0029527D">
        <w:rPr>
          <w:rFonts w:ascii="Times New Roman" w:hAnsi="Times New Roman" w:cs="Times New Roman"/>
          <w:noProof/>
          <w:sz w:val="22"/>
        </w:rPr>
        <w:t>, 914–920 (2018).</w:t>
      </w:r>
    </w:p>
    <w:p w14:paraId="46F7059F"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5.</w:t>
      </w:r>
      <w:r w:rsidRPr="0029527D">
        <w:rPr>
          <w:rFonts w:ascii="Times New Roman" w:hAnsi="Times New Roman" w:cs="Times New Roman"/>
          <w:noProof/>
          <w:sz w:val="22"/>
        </w:rPr>
        <w:tab/>
        <w:t xml:space="preserve">Grassi, G., Pilli, R., House, J., Federici, S. &amp; Kurz, W. A. Science-based approach for credible accounting of mitigation in managed forests. </w:t>
      </w:r>
      <w:r w:rsidRPr="0029527D">
        <w:rPr>
          <w:rFonts w:ascii="Times New Roman" w:hAnsi="Times New Roman" w:cs="Times New Roman"/>
          <w:i/>
          <w:iCs/>
          <w:noProof/>
          <w:sz w:val="22"/>
        </w:rPr>
        <w:t>Carbon Balance Manag.</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13</w:t>
      </w:r>
      <w:r w:rsidRPr="0029527D">
        <w:rPr>
          <w:rFonts w:ascii="Times New Roman" w:hAnsi="Times New Roman" w:cs="Times New Roman"/>
          <w:noProof/>
          <w:sz w:val="22"/>
        </w:rPr>
        <w:t>, 8 (2018).</w:t>
      </w:r>
    </w:p>
    <w:p w14:paraId="0D9F8C17"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6.</w:t>
      </w:r>
      <w:r w:rsidRPr="0029527D">
        <w:rPr>
          <w:rFonts w:ascii="Times New Roman" w:hAnsi="Times New Roman" w:cs="Times New Roman"/>
          <w:noProof/>
          <w:sz w:val="22"/>
        </w:rPr>
        <w:tab/>
        <w:t xml:space="preserve">Böttcher, H., Kurz, W. A. &amp; Freibauer, A. Accounting of forest carbon sinks and sources under a future climate protocol—factoring out past disturbance and management effects on age–class structure. </w:t>
      </w:r>
      <w:r w:rsidRPr="0029527D">
        <w:rPr>
          <w:rFonts w:ascii="Times New Roman" w:hAnsi="Times New Roman" w:cs="Times New Roman"/>
          <w:i/>
          <w:iCs/>
          <w:noProof/>
          <w:sz w:val="22"/>
        </w:rPr>
        <w:t>Environ. Sci. Policy</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11</w:t>
      </w:r>
      <w:r w:rsidRPr="0029527D">
        <w:rPr>
          <w:rFonts w:ascii="Times New Roman" w:hAnsi="Times New Roman" w:cs="Times New Roman"/>
          <w:noProof/>
          <w:sz w:val="22"/>
        </w:rPr>
        <w:t>, 669–686 (2008).</w:t>
      </w:r>
    </w:p>
    <w:p w14:paraId="3CCE1457"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7.</w:t>
      </w:r>
      <w:r w:rsidRPr="0029527D">
        <w:rPr>
          <w:rFonts w:ascii="Times New Roman" w:hAnsi="Times New Roman" w:cs="Times New Roman"/>
          <w:noProof/>
          <w:sz w:val="22"/>
        </w:rPr>
        <w:tab/>
        <w:t xml:space="preserve">UNFCCC (United Nations Framework Convention on Climate Change). Land Use, Land-Use Change and Forestry (LULUCF). Available at: https://unfccc.int/topics/land-use/workstreams/land-use--land-use-change-and-forestry-lulucf. </w:t>
      </w:r>
    </w:p>
    <w:p w14:paraId="48EF1A1B"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8.</w:t>
      </w:r>
      <w:r w:rsidRPr="0029527D">
        <w:rPr>
          <w:rFonts w:ascii="Times New Roman" w:hAnsi="Times New Roman" w:cs="Times New Roman"/>
          <w:noProof/>
          <w:sz w:val="22"/>
        </w:rPr>
        <w:tab/>
        <w:t xml:space="preserve">Iversen, P., Lee, D. &amp; Rocha, M. </w:t>
      </w:r>
      <w:r w:rsidRPr="0029527D">
        <w:rPr>
          <w:rFonts w:ascii="Times New Roman" w:hAnsi="Times New Roman" w:cs="Times New Roman"/>
          <w:i/>
          <w:iCs/>
          <w:noProof/>
          <w:sz w:val="22"/>
        </w:rPr>
        <w:t>Understanding Land Use in the UNFCCC</w:t>
      </w:r>
      <w:r w:rsidRPr="0029527D">
        <w:rPr>
          <w:rFonts w:ascii="Times New Roman" w:hAnsi="Times New Roman" w:cs="Times New Roman"/>
          <w:noProof/>
          <w:sz w:val="22"/>
        </w:rPr>
        <w:t>. (2014).</w:t>
      </w:r>
      <w:r w:rsidRPr="0029527D">
        <w:rPr>
          <w:rFonts w:ascii="Times New Roman" w:hAnsi="Times New Roman" w:cs="Times New Roman"/>
          <w:color w:val="0000FF"/>
          <w:sz w:val="13"/>
          <w:szCs w:val="15"/>
        </w:rPr>
        <w:t xml:space="preserve"> </w:t>
      </w:r>
      <w:r w:rsidRPr="0029527D">
        <w:rPr>
          <w:rFonts w:ascii="Times New Roman" w:hAnsi="Times New Roman" w:cs="Times New Roman"/>
          <w:noProof/>
          <w:sz w:val="22"/>
        </w:rPr>
        <w:t>http://www.climateandlandusealliance .org/wp-conte nt/uploa ds/2015/08/Under stand ing_Land_Use_in_the_UNFCC C.pdf.</w:t>
      </w:r>
    </w:p>
    <w:p w14:paraId="17C9691C"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9.</w:t>
      </w:r>
      <w:r w:rsidRPr="0029527D">
        <w:rPr>
          <w:rFonts w:ascii="Times New Roman" w:hAnsi="Times New Roman" w:cs="Times New Roman"/>
          <w:noProof/>
          <w:sz w:val="22"/>
        </w:rPr>
        <w:tab/>
        <w:t xml:space="preserve">IPCC. </w:t>
      </w:r>
      <w:r w:rsidRPr="0029527D">
        <w:rPr>
          <w:rFonts w:ascii="Times New Roman" w:hAnsi="Times New Roman" w:cs="Times New Roman"/>
          <w:i/>
          <w:iCs/>
          <w:noProof/>
          <w:sz w:val="22"/>
        </w:rPr>
        <w:t>2006 IPCC Guidelines for National Greenhouse Gas Inventories</w:t>
      </w:r>
      <w:r w:rsidRPr="0029527D">
        <w:rPr>
          <w:rFonts w:ascii="Times New Roman" w:hAnsi="Times New Roman" w:cs="Times New Roman"/>
          <w:noProof/>
          <w:sz w:val="22"/>
        </w:rPr>
        <w:t>. (2006).</w:t>
      </w:r>
    </w:p>
    <w:p w14:paraId="24D20ED8"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10.</w:t>
      </w:r>
      <w:r w:rsidRPr="0029527D">
        <w:rPr>
          <w:rFonts w:ascii="Times New Roman" w:hAnsi="Times New Roman" w:cs="Times New Roman"/>
          <w:noProof/>
          <w:sz w:val="22"/>
        </w:rPr>
        <w:tab/>
        <w:t xml:space="preserve">EU (European Union). </w:t>
      </w:r>
      <w:r w:rsidRPr="0029527D">
        <w:rPr>
          <w:rFonts w:ascii="Times New Roman" w:hAnsi="Times New Roman" w:cs="Times New Roman"/>
          <w:i/>
          <w:iCs/>
          <w:noProof/>
          <w:sz w:val="22"/>
        </w:rPr>
        <w:t>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 (Text with EEA relevance)</w:t>
      </w:r>
      <w:r w:rsidRPr="0029527D">
        <w:rPr>
          <w:rFonts w:ascii="Times New Roman" w:hAnsi="Times New Roman" w:cs="Times New Roman"/>
          <w:noProof/>
          <w:sz w:val="22"/>
        </w:rPr>
        <w:t>. (2018).</w:t>
      </w:r>
    </w:p>
    <w:p w14:paraId="29904CBC"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11.</w:t>
      </w:r>
      <w:r w:rsidRPr="0029527D">
        <w:rPr>
          <w:rFonts w:ascii="Times New Roman" w:hAnsi="Times New Roman" w:cs="Times New Roman"/>
          <w:noProof/>
          <w:sz w:val="22"/>
        </w:rPr>
        <w:tab/>
        <w:t xml:space="preserve">Forsell, N.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w:t>
      </w:r>
      <w:r w:rsidRPr="0029527D">
        <w:rPr>
          <w:rFonts w:ascii="Times New Roman" w:hAnsi="Times New Roman" w:cs="Times New Roman"/>
          <w:i/>
          <w:iCs/>
          <w:noProof/>
          <w:sz w:val="22"/>
        </w:rPr>
        <w:t>Guidance on developing and reporting Forest Reference Levels in accordance with Regulation (EU) 2018/841</w:t>
      </w:r>
      <w:r w:rsidRPr="0029527D">
        <w:rPr>
          <w:rFonts w:ascii="Times New Roman" w:hAnsi="Times New Roman" w:cs="Times New Roman"/>
          <w:noProof/>
          <w:sz w:val="22"/>
        </w:rPr>
        <w:t>. (2018).</w:t>
      </w:r>
    </w:p>
    <w:p w14:paraId="1FDCA117"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12.</w:t>
      </w:r>
      <w:r w:rsidRPr="0029527D">
        <w:rPr>
          <w:rFonts w:ascii="Times New Roman" w:hAnsi="Times New Roman" w:cs="Times New Roman"/>
          <w:noProof/>
          <w:sz w:val="22"/>
        </w:rPr>
        <w:tab/>
        <w:t xml:space="preserve">Nabuurs, G.-J., Arets, E. J. M. M. &amp; Schelhaas, M.-J. Understanding the implications of the EU-LULUCF regulation for the wood supply from EU forests to the EU. </w:t>
      </w:r>
      <w:r w:rsidRPr="0029527D">
        <w:rPr>
          <w:rFonts w:ascii="Times New Roman" w:hAnsi="Times New Roman" w:cs="Times New Roman"/>
          <w:i/>
          <w:iCs/>
          <w:noProof/>
          <w:sz w:val="22"/>
        </w:rPr>
        <w:t>Carbon Balance Manag.</w:t>
      </w:r>
      <w:r w:rsidRPr="0029527D">
        <w:rPr>
          <w:rFonts w:ascii="Times New Roman" w:hAnsi="Times New Roman" w:cs="Times New Roman"/>
          <w:noProof/>
          <w:sz w:val="22"/>
        </w:rPr>
        <w:t xml:space="preserve"> </w:t>
      </w:r>
      <w:r w:rsidRPr="0029527D">
        <w:rPr>
          <w:rFonts w:ascii="Times New Roman" w:hAnsi="Times New Roman" w:cs="Times New Roman"/>
          <w:b/>
          <w:bCs/>
          <w:noProof/>
          <w:sz w:val="22"/>
        </w:rPr>
        <w:t>13</w:t>
      </w:r>
      <w:r w:rsidRPr="0029527D">
        <w:rPr>
          <w:rFonts w:ascii="Times New Roman" w:hAnsi="Times New Roman" w:cs="Times New Roman"/>
          <w:noProof/>
          <w:sz w:val="22"/>
        </w:rPr>
        <w:t>, 18 (2018).</w:t>
      </w:r>
    </w:p>
    <w:p w14:paraId="6E1CAC32"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13.</w:t>
      </w:r>
      <w:r w:rsidRPr="0029527D">
        <w:rPr>
          <w:rFonts w:ascii="Times New Roman" w:hAnsi="Times New Roman" w:cs="Times New Roman"/>
          <w:noProof/>
          <w:sz w:val="22"/>
        </w:rPr>
        <w:tab/>
        <w:t xml:space="preserve">EC (European Commission). </w:t>
      </w:r>
      <w:r w:rsidRPr="0029527D">
        <w:rPr>
          <w:rFonts w:ascii="Times New Roman" w:hAnsi="Times New Roman" w:cs="Times New Roman"/>
          <w:i/>
          <w:iCs/>
          <w:noProof/>
          <w:sz w:val="22"/>
        </w:rPr>
        <w:t>Commission Staff Working Document. Impact assessment accompanying the document Proposal for a Regulation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r w:rsidRPr="0029527D">
        <w:rPr>
          <w:rFonts w:ascii="Times New Roman" w:hAnsi="Times New Roman" w:cs="Times New Roman"/>
          <w:noProof/>
          <w:sz w:val="22"/>
        </w:rPr>
        <w:t>. (2016).</w:t>
      </w:r>
    </w:p>
    <w:p w14:paraId="5D06E6E2"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lastRenderedPageBreak/>
        <w:t>14.</w:t>
      </w:r>
      <w:r w:rsidRPr="0029527D">
        <w:rPr>
          <w:rFonts w:ascii="Times New Roman" w:hAnsi="Times New Roman" w:cs="Times New Roman"/>
          <w:noProof/>
          <w:sz w:val="22"/>
        </w:rPr>
        <w:tab/>
        <w:t xml:space="preserve">Rüter, S.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w:t>
      </w:r>
      <w:r w:rsidRPr="0029527D">
        <w:rPr>
          <w:rFonts w:ascii="Times New Roman" w:hAnsi="Times New Roman" w:cs="Times New Roman"/>
          <w:i/>
          <w:iCs/>
          <w:noProof/>
          <w:sz w:val="22"/>
        </w:rPr>
        <w:t>ClimWood2030, Climate benefits of material substitution by forest biomass and harvested wood products: Perspective 2030 - Final Report</w:t>
      </w:r>
      <w:r w:rsidRPr="0029527D">
        <w:rPr>
          <w:rFonts w:ascii="Times New Roman" w:hAnsi="Times New Roman" w:cs="Times New Roman"/>
          <w:noProof/>
          <w:sz w:val="22"/>
        </w:rPr>
        <w:t>. (2016).</w:t>
      </w:r>
    </w:p>
    <w:p w14:paraId="6CD45B84"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15.</w:t>
      </w:r>
      <w:r w:rsidRPr="0029527D">
        <w:rPr>
          <w:rFonts w:ascii="Times New Roman" w:hAnsi="Times New Roman" w:cs="Times New Roman"/>
          <w:noProof/>
          <w:sz w:val="22"/>
        </w:rPr>
        <w:tab/>
        <w:t xml:space="preserve">UNECE &amp; FAO. Joint Forest Sector Questionnaire. Available at: https://www.unece.org/forests/forestsfpmonlinedata/jfsq.html. </w:t>
      </w:r>
    </w:p>
    <w:p w14:paraId="29C7DAFA"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16.</w:t>
      </w:r>
      <w:r w:rsidRPr="0029527D">
        <w:rPr>
          <w:rFonts w:ascii="Times New Roman" w:hAnsi="Times New Roman" w:cs="Times New Roman"/>
          <w:noProof/>
          <w:sz w:val="22"/>
        </w:rPr>
        <w:tab/>
        <w:t xml:space="preserve">FAO. FAOSTAT: Forestry Production and Trade. Available at: www.fao.org/faostat/en/#data/FO. </w:t>
      </w:r>
    </w:p>
    <w:p w14:paraId="732884C1"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17.</w:t>
      </w:r>
      <w:r w:rsidRPr="0029527D">
        <w:rPr>
          <w:rFonts w:ascii="Times New Roman" w:hAnsi="Times New Roman" w:cs="Times New Roman"/>
          <w:noProof/>
          <w:sz w:val="22"/>
        </w:rPr>
        <w:tab/>
        <w:t xml:space="preserve">Matthews, R.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w:t>
      </w:r>
      <w:r w:rsidRPr="0029527D">
        <w:rPr>
          <w:rFonts w:ascii="Times New Roman" w:hAnsi="Times New Roman" w:cs="Times New Roman"/>
          <w:i/>
          <w:iCs/>
          <w:noProof/>
          <w:sz w:val="22"/>
        </w:rPr>
        <w:t>Carbon impacts of biomass consumed in the EU: quantitative assessment. Final report, project: DG ENER/C1/427 Part A: Main Report</w:t>
      </w:r>
      <w:r w:rsidRPr="0029527D">
        <w:rPr>
          <w:rFonts w:ascii="Times New Roman" w:hAnsi="Times New Roman" w:cs="Times New Roman"/>
          <w:noProof/>
          <w:sz w:val="22"/>
        </w:rPr>
        <w:t>. (2015).</w:t>
      </w:r>
    </w:p>
    <w:p w14:paraId="7479DB71"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18.</w:t>
      </w:r>
      <w:r w:rsidRPr="0029527D">
        <w:rPr>
          <w:rFonts w:ascii="Times New Roman" w:hAnsi="Times New Roman" w:cs="Times New Roman"/>
          <w:noProof/>
          <w:sz w:val="22"/>
        </w:rPr>
        <w:tab/>
        <w:t xml:space="preserve">Agostini, A., Giuntoli, J. &amp; Boulamanti, A. </w:t>
      </w:r>
      <w:r w:rsidRPr="0029527D">
        <w:rPr>
          <w:rFonts w:ascii="Times New Roman" w:hAnsi="Times New Roman" w:cs="Times New Roman"/>
          <w:i/>
          <w:iCs/>
          <w:noProof/>
          <w:sz w:val="22"/>
        </w:rPr>
        <w:t>Carbon accounting of forest bioenergy. Conclusions and recommendations from a critical literature review</w:t>
      </w:r>
      <w:r w:rsidRPr="0029527D">
        <w:rPr>
          <w:rFonts w:ascii="Times New Roman" w:hAnsi="Times New Roman" w:cs="Times New Roman"/>
          <w:noProof/>
          <w:sz w:val="22"/>
        </w:rPr>
        <w:t>. (2014).</w:t>
      </w:r>
    </w:p>
    <w:p w14:paraId="01E47DA8"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19.</w:t>
      </w:r>
      <w:r w:rsidRPr="0029527D">
        <w:rPr>
          <w:rFonts w:ascii="Times New Roman" w:hAnsi="Times New Roman" w:cs="Times New Roman"/>
          <w:noProof/>
          <w:sz w:val="22"/>
        </w:rPr>
        <w:tab/>
        <w:t xml:space="preserve">Camia, A. </w:t>
      </w:r>
      <w:r w:rsidRPr="0029527D">
        <w:rPr>
          <w:rFonts w:ascii="Times New Roman" w:hAnsi="Times New Roman" w:cs="Times New Roman"/>
          <w:i/>
          <w:iCs/>
          <w:noProof/>
          <w:sz w:val="22"/>
        </w:rPr>
        <w:t>et al.</w:t>
      </w:r>
      <w:r w:rsidRPr="0029527D">
        <w:rPr>
          <w:rFonts w:ascii="Times New Roman" w:hAnsi="Times New Roman" w:cs="Times New Roman"/>
          <w:noProof/>
          <w:sz w:val="22"/>
        </w:rPr>
        <w:t xml:space="preserve"> </w:t>
      </w:r>
      <w:r w:rsidRPr="0029527D">
        <w:rPr>
          <w:rFonts w:ascii="Times New Roman" w:hAnsi="Times New Roman" w:cs="Times New Roman"/>
          <w:i/>
          <w:iCs/>
          <w:noProof/>
          <w:sz w:val="22"/>
        </w:rPr>
        <w:t>Biomass production, supply, uses and flows in the European Union. First results from an integrated assessment</w:t>
      </w:r>
      <w:r w:rsidRPr="0029527D">
        <w:rPr>
          <w:rFonts w:ascii="Times New Roman" w:hAnsi="Times New Roman" w:cs="Times New Roman"/>
          <w:noProof/>
          <w:sz w:val="22"/>
        </w:rPr>
        <w:t>. (2018).</w:t>
      </w:r>
    </w:p>
    <w:p w14:paraId="35B55665"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20.</w:t>
      </w:r>
      <w:r w:rsidRPr="0029527D">
        <w:rPr>
          <w:rFonts w:ascii="Times New Roman" w:hAnsi="Times New Roman" w:cs="Times New Roman"/>
          <w:noProof/>
          <w:sz w:val="22"/>
        </w:rPr>
        <w:tab/>
        <w:t xml:space="preserve">UNECE &amp; FAO. Joint Wood Energy Enquiry. Available at: www.unece.org/forests/jwee.html. </w:t>
      </w:r>
    </w:p>
    <w:p w14:paraId="08C03BA9"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21.</w:t>
      </w:r>
      <w:r w:rsidRPr="0029527D">
        <w:rPr>
          <w:rFonts w:ascii="Times New Roman" w:hAnsi="Times New Roman" w:cs="Times New Roman"/>
          <w:noProof/>
          <w:sz w:val="22"/>
        </w:rPr>
        <w:tab/>
        <w:t xml:space="preserve">EC (European Commission). EU Science Hub: National renewable energy action plans and progress reports data portal. Available at: https://ec.europa.eu/jrc/en/scientific-tool/nreap-data-portal. </w:t>
      </w:r>
    </w:p>
    <w:p w14:paraId="51BD7A24" w14:textId="77777777" w:rsidR="00E82B1F" w:rsidRPr="0029527D" w:rsidRDefault="00E82B1F" w:rsidP="00E4429E">
      <w:pPr>
        <w:widowControl w:val="0"/>
        <w:autoSpaceDE w:val="0"/>
        <w:autoSpaceDN w:val="0"/>
        <w:adjustRightInd w:val="0"/>
        <w:spacing w:after="120" w:line="288" w:lineRule="auto"/>
        <w:ind w:left="640" w:hanging="640"/>
        <w:rPr>
          <w:rFonts w:ascii="Times New Roman" w:hAnsi="Times New Roman" w:cs="Times New Roman"/>
          <w:noProof/>
          <w:sz w:val="22"/>
        </w:rPr>
      </w:pPr>
      <w:r w:rsidRPr="0029527D">
        <w:rPr>
          <w:rFonts w:ascii="Times New Roman" w:hAnsi="Times New Roman" w:cs="Times New Roman"/>
          <w:noProof/>
          <w:sz w:val="22"/>
        </w:rPr>
        <w:t>22.</w:t>
      </w:r>
      <w:r w:rsidRPr="0029527D">
        <w:rPr>
          <w:rFonts w:ascii="Times New Roman" w:hAnsi="Times New Roman" w:cs="Times New Roman"/>
          <w:noProof/>
          <w:sz w:val="22"/>
        </w:rPr>
        <w:tab/>
        <w:t xml:space="preserve">EP (European Parliament). Legislative train schedule. Resilient Energy Union with a climate change policy. JD - Review of the Renewable Energy Directive 2009/28/EC to adapt it to the EU 2030 climate and energy targets. Available at: www.europarl.europa.eu/legislative-train/theme-resilient-energy-union-with-a-climate-change-policy/file-jd-renewable-energy-directive-for-2030-with-sustainable-biomass-and-biofuels. </w:t>
      </w:r>
    </w:p>
    <w:p w14:paraId="6D03964F" w14:textId="77777777" w:rsidR="00370E0D" w:rsidRDefault="00B72D91" w:rsidP="00E4429E">
      <w:pPr>
        <w:spacing w:after="120" w:line="288" w:lineRule="auto"/>
        <w:rPr>
          <w:rFonts w:ascii="Times New Roman" w:hAnsi="Times New Roman" w:cs="Times New Roman"/>
        </w:rPr>
      </w:pPr>
      <w:r w:rsidRPr="0029527D">
        <w:rPr>
          <w:rFonts w:ascii="Times New Roman" w:hAnsi="Times New Roman" w:cs="Times New Roman"/>
          <w:sz w:val="22"/>
        </w:rPr>
        <w:fldChar w:fldCharType="end"/>
      </w:r>
    </w:p>
    <w:sectPr w:rsidR="00370E0D" w:rsidSect="00082A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B243B" w14:textId="77777777" w:rsidR="00B07FB3" w:rsidRDefault="00B07FB3" w:rsidP="002C0440">
      <w:r>
        <w:separator/>
      </w:r>
    </w:p>
  </w:endnote>
  <w:endnote w:type="continuationSeparator" w:id="0">
    <w:p w14:paraId="2AA8BE09" w14:textId="77777777" w:rsidR="00B07FB3" w:rsidRDefault="00B07FB3" w:rsidP="002C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Segoe UI">
    <w:altName w:val="Calibri"/>
    <w:panose1 w:val="020B0502040204020203"/>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A4FBB" w14:textId="77777777" w:rsidR="00B07FB3" w:rsidRDefault="00B07FB3" w:rsidP="002C0440">
      <w:r>
        <w:separator/>
      </w:r>
    </w:p>
  </w:footnote>
  <w:footnote w:type="continuationSeparator" w:id="0">
    <w:p w14:paraId="23A3F688" w14:textId="77777777" w:rsidR="00B07FB3" w:rsidRDefault="00B07FB3" w:rsidP="002C0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69AB"/>
    <w:multiLevelType w:val="hybridMultilevel"/>
    <w:tmpl w:val="5230651E"/>
    <w:lvl w:ilvl="0" w:tplc="0409000F">
      <w:start w:val="1"/>
      <w:numFmt w:val="decimal"/>
      <w:lvlText w:val="%1."/>
      <w:lvlJc w:val="left"/>
      <w:pPr>
        <w:ind w:left="720" w:hanging="360"/>
      </w:pPr>
    </w:lvl>
    <w:lvl w:ilvl="1" w:tplc="B0C647C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414B5"/>
    <w:multiLevelType w:val="hybridMultilevel"/>
    <w:tmpl w:val="2DF80E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40"/>
    <w:rsid w:val="0004369E"/>
    <w:rsid w:val="00054EFC"/>
    <w:rsid w:val="000623FC"/>
    <w:rsid w:val="00082A98"/>
    <w:rsid w:val="00135C1A"/>
    <w:rsid w:val="001B1C59"/>
    <w:rsid w:val="0028150E"/>
    <w:rsid w:val="0029527D"/>
    <w:rsid w:val="002A6B0E"/>
    <w:rsid w:val="002C0440"/>
    <w:rsid w:val="003424D6"/>
    <w:rsid w:val="00370E0D"/>
    <w:rsid w:val="00372B06"/>
    <w:rsid w:val="00380751"/>
    <w:rsid w:val="00385358"/>
    <w:rsid w:val="004D3925"/>
    <w:rsid w:val="004D6BAD"/>
    <w:rsid w:val="004E5EDF"/>
    <w:rsid w:val="005061B3"/>
    <w:rsid w:val="00540531"/>
    <w:rsid w:val="00546705"/>
    <w:rsid w:val="005A3868"/>
    <w:rsid w:val="005B3E4C"/>
    <w:rsid w:val="005E309A"/>
    <w:rsid w:val="006F75E4"/>
    <w:rsid w:val="00717F26"/>
    <w:rsid w:val="00760259"/>
    <w:rsid w:val="007B3039"/>
    <w:rsid w:val="00935F66"/>
    <w:rsid w:val="0095304D"/>
    <w:rsid w:val="00975D4B"/>
    <w:rsid w:val="0099465D"/>
    <w:rsid w:val="009D195E"/>
    <w:rsid w:val="00A739CC"/>
    <w:rsid w:val="00A9173D"/>
    <w:rsid w:val="00B07FB3"/>
    <w:rsid w:val="00B72D91"/>
    <w:rsid w:val="00B97490"/>
    <w:rsid w:val="00BE2C21"/>
    <w:rsid w:val="00C138A4"/>
    <w:rsid w:val="00C148C8"/>
    <w:rsid w:val="00C1794B"/>
    <w:rsid w:val="00CC098B"/>
    <w:rsid w:val="00CD6CEF"/>
    <w:rsid w:val="00CE790A"/>
    <w:rsid w:val="00D40D85"/>
    <w:rsid w:val="00D620A6"/>
    <w:rsid w:val="00D9111A"/>
    <w:rsid w:val="00DC0CF4"/>
    <w:rsid w:val="00DF2B9F"/>
    <w:rsid w:val="00DF4C81"/>
    <w:rsid w:val="00E4429E"/>
    <w:rsid w:val="00E82B1F"/>
    <w:rsid w:val="00E87F73"/>
    <w:rsid w:val="00EF1B81"/>
    <w:rsid w:val="00F23807"/>
    <w:rsid w:val="00F45411"/>
    <w:rsid w:val="00F84750"/>
    <w:rsid w:val="00FA1A6E"/>
    <w:rsid w:val="00FD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0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40"/>
    <w:pPr>
      <w:ind w:left="720"/>
      <w:contextualSpacing/>
    </w:pPr>
  </w:style>
  <w:style w:type="character" w:styleId="CommentReference">
    <w:name w:val="annotation reference"/>
    <w:basedOn w:val="DefaultParagraphFont"/>
    <w:uiPriority w:val="99"/>
    <w:semiHidden/>
    <w:unhideWhenUsed/>
    <w:rsid w:val="002C0440"/>
    <w:rPr>
      <w:sz w:val="18"/>
      <w:szCs w:val="18"/>
    </w:rPr>
  </w:style>
  <w:style w:type="paragraph" w:styleId="CommentText">
    <w:name w:val="annotation text"/>
    <w:basedOn w:val="Normal"/>
    <w:link w:val="CommentTextChar"/>
    <w:uiPriority w:val="99"/>
    <w:unhideWhenUsed/>
    <w:rsid w:val="002C0440"/>
  </w:style>
  <w:style w:type="character" w:customStyle="1" w:styleId="CommentTextChar">
    <w:name w:val="Comment Text Char"/>
    <w:basedOn w:val="DefaultParagraphFont"/>
    <w:link w:val="CommentText"/>
    <w:uiPriority w:val="99"/>
    <w:rsid w:val="002C0440"/>
    <w:rPr>
      <w:rFonts w:eastAsiaTheme="minorEastAsia"/>
      <w:sz w:val="24"/>
      <w:szCs w:val="24"/>
    </w:rPr>
  </w:style>
  <w:style w:type="character" w:styleId="Hyperlink">
    <w:name w:val="Hyperlink"/>
    <w:basedOn w:val="DefaultParagraphFont"/>
    <w:uiPriority w:val="99"/>
    <w:unhideWhenUsed/>
    <w:rsid w:val="002C0440"/>
    <w:rPr>
      <w:color w:val="0000FF"/>
      <w:u w:val="single"/>
    </w:rPr>
  </w:style>
  <w:style w:type="table" w:styleId="TableGrid">
    <w:name w:val="Table Grid"/>
    <w:basedOn w:val="TableNormal"/>
    <w:uiPriority w:val="59"/>
    <w:rsid w:val="002C044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C0440"/>
    <w:rPr>
      <w:sz w:val="20"/>
      <w:szCs w:val="20"/>
    </w:rPr>
  </w:style>
  <w:style w:type="character" w:customStyle="1" w:styleId="FootnoteTextChar">
    <w:name w:val="Footnote Text Char"/>
    <w:basedOn w:val="DefaultParagraphFont"/>
    <w:link w:val="FootnoteText"/>
    <w:uiPriority w:val="99"/>
    <w:rsid w:val="002C0440"/>
    <w:rPr>
      <w:rFonts w:eastAsiaTheme="minorEastAsia"/>
      <w:sz w:val="20"/>
      <w:szCs w:val="20"/>
    </w:rPr>
  </w:style>
  <w:style w:type="character" w:styleId="FootnoteReference">
    <w:name w:val="footnote reference"/>
    <w:aliases w:val="Footnote Reference Superscript,Footnote Reference_EP-LCA,(Footnote Reference),number,SUPERS,stylish,Footnote symbol,Times 10 Point,Exposant 3 Point,Footnote reference number,Odwołanie przypisu,note TESI,Ref,de nota al pie,Footnote#"/>
    <w:uiPriority w:val="99"/>
    <w:unhideWhenUsed/>
    <w:qFormat/>
    <w:rsid w:val="002C0440"/>
    <w:rPr>
      <w:vertAlign w:val="superscript"/>
      <w:lang w:val="en-GB"/>
    </w:rPr>
  </w:style>
  <w:style w:type="paragraph" w:styleId="BalloonText">
    <w:name w:val="Balloon Text"/>
    <w:basedOn w:val="Normal"/>
    <w:link w:val="BalloonTextChar"/>
    <w:uiPriority w:val="99"/>
    <w:semiHidden/>
    <w:unhideWhenUsed/>
    <w:rsid w:val="002C0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4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540531"/>
    <w:rPr>
      <w:color w:val="954F72" w:themeColor="followedHyperlink"/>
      <w:u w:val="single"/>
    </w:rPr>
  </w:style>
  <w:style w:type="character" w:styleId="EndnoteReference">
    <w:name w:val="endnote reference"/>
    <w:basedOn w:val="DefaultParagraphFont"/>
    <w:uiPriority w:val="99"/>
    <w:semiHidden/>
    <w:unhideWhenUsed/>
    <w:rsid w:val="00DC0CF4"/>
    <w:rPr>
      <w:vertAlign w:val="superscript"/>
    </w:rPr>
  </w:style>
  <w:style w:type="paragraph" w:styleId="CommentSubject">
    <w:name w:val="annotation subject"/>
    <w:basedOn w:val="CommentText"/>
    <w:next w:val="CommentText"/>
    <w:link w:val="CommentSubjectChar"/>
    <w:uiPriority w:val="99"/>
    <w:semiHidden/>
    <w:unhideWhenUsed/>
    <w:rsid w:val="00CC098B"/>
    <w:rPr>
      <w:b/>
      <w:bCs/>
      <w:sz w:val="20"/>
      <w:szCs w:val="20"/>
    </w:rPr>
  </w:style>
  <w:style w:type="character" w:customStyle="1" w:styleId="CommentSubjectChar">
    <w:name w:val="Comment Subject Char"/>
    <w:basedOn w:val="CommentTextChar"/>
    <w:link w:val="CommentSubject"/>
    <w:uiPriority w:val="99"/>
    <w:semiHidden/>
    <w:rsid w:val="00CC098B"/>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4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40"/>
    <w:pPr>
      <w:ind w:left="720"/>
      <w:contextualSpacing/>
    </w:pPr>
  </w:style>
  <w:style w:type="character" w:styleId="CommentReference">
    <w:name w:val="annotation reference"/>
    <w:basedOn w:val="DefaultParagraphFont"/>
    <w:uiPriority w:val="99"/>
    <w:semiHidden/>
    <w:unhideWhenUsed/>
    <w:rsid w:val="002C0440"/>
    <w:rPr>
      <w:sz w:val="18"/>
      <w:szCs w:val="18"/>
    </w:rPr>
  </w:style>
  <w:style w:type="paragraph" w:styleId="CommentText">
    <w:name w:val="annotation text"/>
    <w:basedOn w:val="Normal"/>
    <w:link w:val="CommentTextChar"/>
    <w:uiPriority w:val="99"/>
    <w:unhideWhenUsed/>
    <w:rsid w:val="002C0440"/>
  </w:style>
  <w:style w:type="character" w:customStyle="1" w:styleId="CommentTextChar">
    <w:name w:val="Comment Text Char"/>
    <w:basedOn w:val="DefaultParagraphFont"/>
    <w:link w:val="CommentText"/>
    <w:uiPriority w:val="99"/>
    <w:rsid w:val="002C0440"/>
    <w:rPr>
      <w:rFonts w:eastAsiaTheme="minorEastAsia"/>
      <w:sz w:val="24"/>
      <w:szCs w:val="24"/>
    </w:rPr>
  </w:style>
  <w:style w:type="character" w:styleId="Hyperlink">
    <w:name w:val="Hyperlink"/>
    <w:basedOn w:val="DefaultParagraphFont"/>
    <w:uiPriority w:val="99"/>
    <w:unhideWhenUsed/>
    <w:rsid w:val="002C0440"/>
    <w:rPr>
      <w:color w:val="0000FF"/>
      <w:u w:val="single"/>
    </w:rPr>
  </w:style>
  <w:style w:type="table" w:styleId="TableGrid">
    <w:name w:val="Table Grid"/>
    <w:basedOn w:val="TableNormal"/>
    <w:uiPriority w:val="59"/>
    <w:rsid w:val="002C044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2C0440"/>
    <w:rPr>
      <w:sz w:val="20"/>
      <w:szCs w:val="20"/>
    </w:rPr>
  </w:style>
  <w:style w:type="character" w:customStyle="1" w:styleId="FootnoteTextChar">
    <w:name w:val="Footnote Text Char"/>
    <w:basedOn w:val="DefaultParagraphFont"/>
    <w:link w:val="FootnoteText"/>
    <w:uiPriority w:val="99"/>
    <w:rsid w:val="002C0440"/>
    <w:rPr>
      <w:rFonts w:eastAsiaTheme="minorEastAsia"/>
      <w:sz w:val="20"/>
      <w:szCs w:val="20"/>
    </w:rPr>
  </w:style>
  <w:style w:type="character" w:styleId="FootnoteReference">
    <w:name w:val="footnote reference"/>
    <w:aliases w:val="Footnote Reference Superscript,Footnote Reference_EP-LCA,(Footnote Reference),number,SUPERS,stylish,Footnote symbol,Times 10 Point,Exposant 3 Point,Footnote reference number,Odwołanie przypisu,note TESI,Ref,de nota al pie,Footnote#"/>
    <w:uiPriority w:val="99"/>
    <w:unhideWhenUsed/>
    <w:qFormat/>
    <w:rsid w:val="002C0440"/>
    <w:rPr>
      <w:vertAlign w:val="superscript"/>
      <w:lang w:val="en-GB"/>
    </w:rPr>
  </w:style>
  <w:style w:type="paragraph" w:styleId="BalloonText">
    <w:name w:val="Balloon Text"/>
    <w:basedOn w:val="Normal"/>
    <w:link w:val="BalloonTextChar"/>
    <w:uiPriority w:val="99"/>
    <w:semiHidden/>
    <w:unhideWhenUsed/>
    <w:rsid w:val="002C0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40"/>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540531"/>
    <w:rPr>
      <w:color w:val="954F72" w:themeColor="followedHyperlink"/>
      <w:u w:val="single"/>
    </w:rPr>
  </w:style>
  <w:style w:type="character" w:styleId="EndnoteReference">
    <w:name w:val="endnote reference"/>
    <w:basedOn w:val="DefaultParagraphFont"/>
    <w:uiPriority w:val="99"/>
    <w:semiHidden/>
    <w:unhideWhenUsed/>
    <w:rsid w:val="00DC0CF4"/>
    <w:rPr>
      <w:vertAlign w:val="superscript"/>
    </w:rPr>
  </w:style>
  <w:style w:type="paragraph" w:styleId="CommentSubject">
    <w:name w:val="annotation subject"/>
    <w:basedOn w:val="CommentText"/>
    <w:next w:val="CommentText"/>
    <w:link w:val="CommentSubjectChar"/>
    <w:uiPriority w:val="99"/>
    <w:semiHidden/>
    <w:unhideWhenUsed/>
    <w:rsid w:val="00CC098B"/>
    <w:rPr>
      <w:b/>
      <w:bCs/>
      <w:sz w:val="20"/>
      <w:szCs w:val="20"/>
    </w:rPr>
  </w:style>
  <w:style w:type="character" w:customStyle="1" w:styleId="CommentSubjectChar">
    <w:name w:val="Comment Subject Char"/>
    <w:basedOn w:val="CommentTextChar"/>
    <w:link w:val="CommentSubject"/>
    <w:uiPriority w:val="99"/>
    <w:semiHidden/>
    <w:rsid w:val="00CC098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7418">
      <w:bodyDiv w:val="1"/>
      <w:marLeft w:val="0"/>
      <w:marRight w:val="0"/>
      <w:marTop w:val="0"/>
      <w:marBottom w:val="0"/>
      <w:divBdr>
        <w:top w:val="none" w:sz="0" w:space="0" w:color="auto"/>
        <w:left w:val="none" w:sz="0" w:space="0" w:color="auto"/>
        <w:bottom w:val="none" w:sz="0" w:space="0" w:color="auto"/>
        <w:right w:val="none" w:sz="0" w:space="0" w:color="auto"/>
      </w:divBdr>
    </w:div>
    <w:div w:id="73138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halie.de-noblet@lsce.ipsl.fr" TargetMode="External"/><Relationship Id="rId5" Type="http://schemas.openxmlformats.org/officeDocument/2006/relationships/settings" Target="settings.xml"/><Relationship Id="rId10" Type="http://schemas.openxmlformats.org/officeDocument/2006/relationships/hyperlink" Target="mailto:Jo.House@bristol.ac.uk" TargetMode="External"/><Relationship Id="rId4" Type="http://schemas.microsoft.com/office/2007/relationships/stylesWithEffects" Target="stylesWithEffects.xml"/><Relationship Id="rId9" Type="http://schemas.openxmlformats.org/officeDocument/2006/relationships/hyperlink" Target="mailto:sandro.federic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3357B-ED53-4BFE-94E6-7F7D8AEF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14848</Words>
  <Characters>84635</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IES - JRC</Company>
  <LinksUpToDate>false</LinksUpToDate>
  <CharactersWithSpaces>99285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0000431</cp:lastModifiedBy>
  <cp:revision>5</cp:revision>
  <dcterms:created xsi:type="dcterms:W3CDTF">2019-06-03T09:25:00Z</dcterms:created>
  <dcterms:modified xsi:type="dcterms:W3CDTF">2019-06-07T04:21:00Z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http://www.zotero.org/styles/ambio</vt:lpwstr>
  </property>
  <property fmtid="{D5CDD505-2E9C-101B-9397-08002B2CF9AE}" pid="3" name="Mendeley Recent Style Name 0_1">
    <vt:lpwstr>AMBIO</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http://www.zotero.org/styles/land-use-policy</vt:lpwstr>
  </property>
  <property fmtid="{D5CDD505-2E9C-101B-9397-08002B2CF9AE}" pid="11" name="Mendeley Recent Style Name 4_1">
    <vt:lpwstr>Land Use Policy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https://csl.mendeley.com/styles/477520801/nature-1</vt:lpwstr>
  </property>
  <property fmtid="{D5CDD505-2E9C-101B-9397-08002B2CF9AE}" pid="17" name="Mendeley Recent Style Name 7_1">
    <vt:lpwstr>Nature - Matteo Vizzarri, PhD</vt:lpwstr>
  </property>
  <property fmtid="{D5CDD505-2E9C-101B-9397-08002B2CF9AE}" pid="18" name="Mendeley Document_1">
    <vt:lpwstr>True</vt:lpwstr>
  </property>
  <property fmtid="{D5CDD505-2E9C-101B-9397-08002B2CF9AE}" pid="19" name="Mendeley Unique User Id_1">
    <vt:lpwstr>c27de14f-1a7f-3773-9976-38edc4b40755</vt:lpwstr>
  </property>
  <property fmtid="{D5CDD505-2E9C-101B-9397-08002B2CF9AE}" pid="20" name="Mendeley Citation Style_1">
    <vt:lpwstr>http://www.zotero.org/styles/nature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ies>
</file>