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F2" w:rsidRPr="00A46B51" w:rsidRDefault="00B806D2" w:rsidP="00EC4DF2">
      <w:pPr>
        <w:pStyle w:val="KopCalibri12"/>
      </w:pPr>
      <w:r>
        <w:t>Additional file 7</w:t>
      </w:r>
      <w:bookmarkStart w:id="0" w:name="_GoBack"/>
      <w:bookmarkEnd w:id="0"/>
      <w:r w:rsidR="00EC4DF2">
        <w:t>.</w:t>
      </w:r>
      <w:r w:rsidR="00EC4DF2" w:rsidRPr="00A46B51">
        <w:t xml:space="preserve"> Statistical analyses</w:t>
      </w:r>
    </w:p>
    <w:p w:rsidR="00EC4DF2" w:rsidRDefault="00EC4DF2" w:rsidP="00EC4DF2">
      <w:pPr>
        <w:pStyle w:val="NoSpacing"/>
        <w:rPr>
          <w:rFonts w:asciiTheme="minorHAnsi" w:hAnsiTheme="minorHAnsi"/>
        </w:rPr>
      </w:pPr>
    </w:p>
    <w:p w:rsidR="00EC4DF2" w:rsidRPr="00A46B51" w:rsidRDefault="00EC4DF2" w:rsidP="00EC4DF2">
      <w:pPr>
        <w:pStyle w:val="KopCalibri11"/>
      </w:pPr>
      <w:r w:rsidRPr="00A46B51">
        <w:t>Meta-analysis</w:t>
      </w:r>
    </w:p>
    <w:p w:rsidR="00EC4DF2" w:rsidRDefault="00EC4DF2" w:rsidP="00EC4DF2">
      <w:pPr>
        <w:pStyle w:val="NoSpacing"/>
        <w:rPr>
          <w:rFonts w:asciiTheme="minorHAnsi" w:hAnsiTheme="minorHAnsi"/>
        </w:rPr>
      </w:pPr>
      <w:r>
        <w:rPr>
          <w:rFonts w:asciiTheme="minorHAnsi" w:hAnsiTheme="minorHAnsi"/>
        </w:rPr>
        <w:t>The logit c-statistic</w:t>
      </w:r>
      <w:r w:rsidRPr="00D47C77">
        <w:rPr>
          <w:rFonts w:asciiTheme="minorHAnsi" w:hAnsiTheme="minorHAnsi"/>
        </w:rPr>
        <w:t xml:space="preserve"> </w:t>
      </w:r>
      <w:r>
        <w:rPr>
          <w:rFonts w:asciiTheme="minorHAnsi" w:hAnsiTheme="minorHAnsi"/>
        </w:rPr>
        <w:t xml:space="preserve">and log OE ratio were pooled using random-effects meta-analyses </w:t>
      </w:r>
      <w:r w:rsidRPr="00D47C77">
        <w:rPr>
          <w:rFonts w:asciiTheme="minorHAnsi" w:hAnsiTheme="minorHAnsi"/>
        </w:rPr>
        <w:t>accounting for the presence of between-study heterogeneity</w:t>
      </w:r>
      <w:r>
        <w:rPr>
          <w:rFonts w:asciiTheme="minorHAnsi" w:hAnsiTheme="minorHAnsi"/>
        </w:rPr>
        <w:t xml:space="preserve">, weighted by the inverse of the variance. The </w:t>
      </w:r>
      <w:r w:rsidRPr="00A76241">
        <w:rPr>
          <w:rFonts w:asciiTheme="minorHAnsi" w:hAnsiTheme="minorHAnsi"/>
        </w:rPr>
        <w:t xml:space="preserve">Hartung-Knapp-Sidik-Jonkman (HKSJ) </w:t>
      </w:r>
      <w:r>
        <w:rPr>
          <w:rFonts w:asciiTheme="minorHAnsi" w:hAnsiTheme="minorHAnsi"/>
        </w:rPr>
        <w:t xml:space="preserve">method was used </w:t>
      </w:r>
      <w:r w:rsidRPr="00A76241">
        <w:rPr>
          <w:rFonts w:asciiTheme="minorHAnsi" w:hAnsiTheme="minorHAnsi"/>
        </w:rPr>
        <w:t>when calculating 95% confidence intervals</w:t>
      </w:r>
      <w:r>
        <w:rPr>
          <w:rFonts w:asciiTheme="minorHAnsi" w:hAnsiTheme="minorHAnsi"/>
        </w:rPr>
        <w:t xml:space="preserve"> </w:t>
      </w:r>
      <w:r>
        <w:rPr>
          <w:rFonts w:asciiTheme="minorHAnsi" w:hAnsiTheme="minorHAnsi"/>
        </w:rPr>
        <w:fldChar w:fldCharType="begin">
          <w:fldData xml:space="preserve">PEVuZE5vdGU+PENpdGU+PEF1dGhvcj5JbnRIb3V0PC9BdXRob3I+PFllYXI+MjAxNDwvWWVhcj48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PEVuZE5vdGU+PENpdGU+PEF1dGhvcj5JbnRIb3V0PC9BdXRob3I+PFllYXI+MjAxNDwvWWVhcj48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The 95% prediction interval was calculated using the equation described by Debray et al </w:t>
      </w:r>
      <w:r>
        <w:rPr>
          <w:rFonts w:asciiTheme="minorHAnsi" w:hAnsiTheme="minorHAnsi"/>
        </w:rPr>
        <w:fldChar w:fldCharType="begin"/>
      </w:r>
      <w:r>
        <w:rPr>
          <w:rFonts w:asciiTheme="minorHAnsi" w:hAnsiTheme="minorHAnsi"/>
        </w:rPr>
        <w:instrText xml:space="preserve"> ADDIN EN.CITE &lt;EndNote&gt;&lt;Cite&gt;&lt;Author&gt;Debray&lt;/Author&gt;&lt;Year&gt;2017&lt;/Year&gt;&lt;RecNum&gt;137&lt;/RecNum&gt;&lt;DisplayText&gt;[2]&lt;/DisplayText&gt;&lt;record&gt;&lt;rec-number&gt;137&lt;/rec-number&gt;&lt;foreign-keys&gt;&lt;key app="EN" db-id="0pdxraswws92dqe0pvqptreqfwpd0e0xxzxv" timestamp="1484208341"&gt;137&lt;/key&gt;&lt;/foreign-keys&gt;&lt;ref-type name="Journal Article"&gt;17&lt;/ref-type&gt;&lt;contributors&gt;&lt;authors&gt;&lt;author&gt;Debray, T. P.&lt;/author&gt;&lt;author&gt;Damen, J. A.&lt;/author&gt;&lt;author&gt;Snell, K. I.&lt;/author&gt;&lt;author&gt;Ensor, J.&lt;/author&gt;&lt;author&gt;Hooft, L.&lt;/author&gt;&lt;author&gt;Reitsma, J. B.&lt;/author&gt;&lt;author&gt;Riley, R. D.&lt;/author&gt;&lt;author&gt;Moons, K. G.&lt;/author&gt;&lt;/authors&gt;&lt;/contributors&gt;&lt;auth-address&gt;Cochrane Netherlands, University Medical Center Utrecht, PO Box 85500 Str 6.131, 3508 GA Utrecht, Netherlands T.Debray@umcutrecht.nl.&amp;#xD;Julius Center for Health Sciences and Primary Care, University Medical Center Utrecht, PO Box 85500 Str 6.131, 3508 GA Utrecht, Netherlands.&amp;#xD;Cochrane Netherlands, University Medical Center Utrecht, PO Box 85500 Str 6.131, 3508 GA Utrecht, Netherlands.&amp;#xD;Research Institute for Primary Care and Health Sciences, Keele University, Staffordshire, UK.&lt;/auth-address&gt;&lt;titles&gt;&lt;title&gt;A guide to systematic review and meta-analysis of prediction model performance&lt;/title&gt;&lt;secondary-title&gt;Bmj&lt;/secondary-title&gt;&lt;alt-title&gt;BMJ (Clinical research ed.)&lt;/alt-title&gt;&lt;/titles&gt;&lt;periodical&gt;&lt;full-title&gt;BMJ (Clinical Research Ed.)&lt;/full-title&gt;&lt;abbr-1&gt;BMJ&lt;/abbr-1&gt;&lt;abbr-2&gt;BMJ&lt;/abbr-2&gt;&lt;/periodical&gt;&lt;alt-periodical&gt;&lt;full-title&gt;BMJ (Clinical Research Ed.)&lt;/full-title&gt;&lt;abbr-1&gt;BMJ&lt;/abbr-1&gt;&lt;abbr-2&gt;BMJ&lt;/abbr-2&gt;&lt;/alt-periodical&gt;&lt;pages&gt;i6460&lt;/pages&gt;&lt;volume&gt;356&lt;/volume&gt;&lt;edition&gt;2017/01/07&lt;/edition&gt;&lt;dates&gt;&lt;year&gt;2017&lt;/year&gt;&lt;pub-dates&gt;&lt;date&gt;Jan 05&lt;/date&gt;&lt;/pub-dates&gt;&lt;/dates&gt;&lt;isbn&gt;0959-535x&lt;/isbn&gt;&lt;accession-num&gt;28057641&lt;/accession-num&gt;&lt;urls&gt;&lt;/urls&gt;&lt;electronic-resource-num&gt;10.1136/bmj.i6460&lt;/electronic-resource-num&gt;&lt;remote-database-provider&gt;NLM&lt;/remote-database-provider&gt;&lt;language&gt;eng&lt;/language&gt;&lt;/record&gt;&lt;/Cite&gt;&lt;/EndNote&gt;</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w:t>
      </w:r>
    </w:p>
    <w:p w:rsidR="00EC4DF2" w:rsidRDefault="00EC4DF2" w:rsidP="00EC4DF2">
      <w:pPr>
        <w:pStyle w:val="NoSpacing"/>
        <w:rPr>
          <w:rFonts w:asciiTheme="minorHAnsi" w:hAnsiTheme="minorHAnsi"/>
        </w:rPr>
      </w:pPr>
    </w:p>
    <w:p w:rsidR="00EC4DF2" w:rsidRPr="00A46B51" w:rsidRDefault="00EC4DF2" w:rsidP="00EC4DF2">
      <w:pPr>
        <w:pStyle w:val="KopCalibri11"/>
      </w:pPr>
      <w:r w:rsidRPr="00A46B51">
        <w:t>Calibration slope</w:t>
      </w:r>
    </w:p>
    <w:p w:rsidR="00EC4DF2" w:rsidRDefault="00EC4DF2" w:rsidP="00EC4DF2">
      <w:pPr>
        <w:pStyle w:val="NoSpacing"/>
        <w:rPr>
          <w:rFonts w:asciiTheme="minorHAnsi" w:hAnsiTheme="minorHAnsi"/>
        </w:rPr>
      </w:pPr>
      <w:r>
        <w:rPr>
          <w:rFonts w:asciiTheme="minorHAnsi" w:hAnsiTheme="minorHAnsi"/>
        </w:rPr>
        <w:t>The calibration slope can be calculated as follows:</w:t>
      </w:r>
    </w:p>
    <w:p w:rsidR="00EC4DF2" w:rsidRDefault="00EC4DF2" w:rsidP="00EC4DF2">
      <w:pPr>
        <w:pStyle w:val="NoSpacing"/>
        <w:rPr>
          <w:rFonts w:asciiTheme="minorHAnsi" w:hAnsiTheme="minorHAnsi"/>
        </w:rPr>
      </w:pPr>
    </w:p>
    <w:p w:rsidR="00EC4DF2" w:rsidRPr="007A0308" w:rsidRDefault="00B806D2" w:rsidP="00EC4DF2">
      <w:pPr>
        <w:pStyle w:val="NoSpacing"/>
        <w:rPr>
          <w:rFonts w:asciiTheme="minorHAnsi" w:eastAsiaTheme="minorEastAsia" w:hAnsiTheme="minorHAnsi"/>
        </w:rPr>
      </w:pPr>
      <m:oMathPara>
        <m:oMath>
          <m:sSub>
            <m:sSubPr>
              <m:ctrlPr>
                <w:rPr>
                  <w:rFonts w:ascii="Cambria Math" w:hAnsi="Cambria Math"/>
                  <w:i/>
                </w:rPr>
              </m:ctrlPr>
            </m:sSubPr>
            <m:e>
              <m:r>
                <w:rPr>
                  <w:rFonts w:ascii="Cambria Math" w:hAnsi="Cambria Math"/>
                </w:rPr>
                <m:t>O</m:t>
              </m:r>
            </m:e>
            <m:sub>
              <m:r>
                <w:rPr>
                  <w:rFonts w:ascii="Cambria Math" w:hAnsi="Cambria Math"/>
                </w:rPr>
                <m:t>ij</m:t>
              </m:r>
            </m:sub>
          </m:sSub>
          <m:r>
            <w:rPr>
              <w:rFonts w:ascii="Cambria Math" w:hAnsi="Cambria Math"/>
            </w:rPr>
            <m:t xml:space="preserve"> ~ Binom</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ij</m:t>
                  </m:r>
                </m:sub>
              </m:sSub>
            </m:e>
          </m:d>
        </m:oMath>
      </m:oMathPara>
    </w:p>
    <w:p w:rsidR="00EC4DF2" w:rsidRPr="007A0308" w:rsidRDefault="00EC4DF2" w:rsidP="00EC4DF2">
      <w:pPr>
        <w:pStyle w:val="NoSpacing"/>
        <w:rPr>
          <w:rFonts w:asciiTheme="minorHAnsi" w:eastAsiaTheme="minorEastAsia" w:hAnsiTheme="minorHAnsi"/>
        </w:rPr>
      </w:pPr>
      <m:oMathPara>
        <m:oMath>
          <m:r>
            <w:rPr>
              <w:rFonts w:ascii="Cambria Math" w:hAnsi="Cambria Math"/>
            </w:rPr>
            <m:t>logit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ij</m:t>
                  </m:r>
                </m:sub>
              </m:sSub>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logit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E,ij</m:t>
                  </m:r>
                </m:sub>
              </m:sSub>
            </m:e>
          </m:d>
        </m:oMath>
      </m:oMathPara>
    </w:p>
    <w:p w:rsidR="00EC4DF2" w:rsidRPr="008664D6" w:rsidRDefault="00B806D2" w:rsidP="00EC4DF2">
      <w:pPr>
        <w:pStyle w:val="NoSpacing"/>
        <w:rPr>
          <w:rFonts w:asciiTheme="minorHAnsi" w:eastAsiaTheme="minorEastAsia" w:hAnsiTheme="minorHAnsi"/>
        </w:rPr>
      </w:pPr>
      <m:oMathPara>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 ~ N</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cal.slope</m:t>
                  </m:r>
                </m:sub>
              </m:sSub>
              <m:r>
                <w:rPr>
                  <w:rFonts w:ascii="Cambria Math" w:hAnsi="Cambria Math"/>
                </w:rPr>
                <m:t>,</m:t>
              </m:r>
              <m:sSubSup>
                <m:sSubSupPr>
                  <m:ctrlPr>
                    <w:rPr>
                      <w:rFonts w:ascii="Cambria Math" w:hAnsi="Cambria Math"/>
                      <w:i/>
                    </w:rPr>
                  </m:ctrlPr>
                </m:sSubSupPr>
                <m:e>
                  <m:r>
                    <w:rPr>
                      <w:rFonts w:ascii="Cambria Math" w:hAnsi="Cambria Math"/>
                    </w:rPr>
                    <m:t>τ</m:t>
                  </m:r>
                </m:e>
                <m:sub>
                  <m:r>
                    <w:rPr>
                      <w:rFonts w:ascii="Cambria Math" w:hAnsi="Cambria Math"/>
                    </w:rPr>
                    <m:t>cal.slope</m:t>
                  </m:r>
                </m:sub>
                <m:sup>
                  <m:r>
                    <w:rPr>
                      <w:rFonts w:ascii="Cambria Math" w:hAnsi="Cambria Math"/>
                    </w:rPr>
                    <m:t>2</m:t>
                  </m:r>
                </m:sup>
              </m:sSubSup>
            </m:e>
          </m:d>
        </m:oMath>
      </m:oMathPara>
    </w:p>
    <w:p w:rsidR="00EC4DF2" w:rsidRDefault="00EC4DF2" w:rsidP="00EC4DF2">
      <w:pPr>
        <w:pStyle w:val="NoSpacing"/>
        <w:rPr>
          <w:rFonts w:asciiTheme="minorHAnsi" w:hAnsiTheme="minorHAnsi"/>
        </w:rPr>
      </w:pPr>
    </w:p>
    <w:p w:rsidR="00EC4DF2" w:rsidRDefault="00EC4DF2" w:rsidP="00EC4DF2">
      <w:pPr>
        <w:pStyle w:val="NoSpacing"/>
        <w:rPr>
          <w:rFonts w:asciiTheme="minorHAnsi" w:hAnsiTheme="minorHAnsi"/>
        </w:rPr>
      </w:pPr>
      <w:r>
        <w:rPr>
          <w:rFonts w:asciiTheme="minorHAnsi" w:hAnsiTheme="minorHAnsi"/>
        </w:rPr>
        <w:t xml:space="preserve">Where </w:t>
      </w:r>
      <m:oMath>
        <m:sSub>
          <m:sSubPr>
            <m:ctrlPr>
              <w:rPr>
                <w:rFonts w:ascii="Cambria Math" w:hAnsi="Cambria Math"/>
                <w:i/>
              </w:rPr>
            </m:ctrlPr>
          </m:sSubPr>
          <m:e>
            <m:r>
              <w:rPr>
                <w:rFonts w:ascii="Cambria Math" w:hAnsi="Cambria Math"/>
              </w:rPr>
              <m:t>O</m:t>
            </m:r>
          </m:e>
          <m:sub>
            <m:r>
              <w:rPr>
                <w:rFonts w:ascii="Cambria Math" w:hAnsi="Cambria Math"/>
              </w:rPr>
              <m:t>ij</m:t>
            </m:r>
          </m:sub>
        </m:sSub>
      </m:oMath>
      <w:r>
        <w:rPr>
          <w:rFonts w:asciiTheme="minorHAnsi" w:eastAsiaTheme="minorEastAsia" w:hAnsiTheme="minorHAnsi"/>
        </w:rPr>
        <w:t xml:space="preserve"> is the number of observed events in subgroup </w:t>
      </w:r>
      <m:oMath>
        <m:r>
          <w:rPr>
            <w:rFonts w:ascii="Cambria Math" w:eastAsiaTheme="minorEastAsia" w:hAnsi="Cambria Math"/>
          </w:rPr>
          <m:t>j</m:t>
        </m:r>
      </m:oMath>
      <w:r>
        <w:rPr>
          <w:rFonts w:asciiTheme="minorHAnsi" w:eastAsiaTheme="minorEastAsia" w:hAnsiTheme="minorHAnsi"/>
        </w:rPr>
        <w:t xml:space="preserve"> of study </w:t>
      </w:r>
      <m:oMath>
        <m:r>
          <w:rPr>
            <w:rFonts w:ascii="Cambria Math" w:eastAsiaTheme="minorEastAsia" w:hAnsi="Cambria Math"/>
          </w:rPr>
          <m:t>i</m:t>
        </m:r>
      </m:oMath>
      <w:r>
        <w:rPr>
          <w:rFonts w:asciiTheme="minorHAnsi" w:eastAsiaTheme="minorEastAsia" w:hAnsiTheme="minorHAnsi"/>
        </w:rPr>
        <w:t xml:space="preserve">, modeled using a binomial distribution with event probability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ij</m:t>
            </m:r>
          </m:sub>
        </m:sSub>
      </m:oMath>
      <w:r>
        <w:rPr>
          <w:rFonts w:asciiTheme="minorHAnsi" w:eastAsiaTheme="minorEastAsia" w:hAnsiTheme="minorHAnsi"/>
        </w:rPr>
        <w:t xml:space="preserve">. The calibration slope is given by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μ</m:t>
                </m:r>
              </m:e>
            </m:acc>
          </m:e>
          <m:sub>
            <m:r>
              <w:rPr>
                <w:rFonts w:ascii="Cambria Math" w:eastAsiaTheme="minorEastAsia" w:hAnsi="Cambria Math"/>
              </w:rPr>
              <m:t>cal.slope</m:t>
            </m:r>
          </m:sub>
        </m:sSub>
      </m:oMath>
      <w:r>
        <w:rPr>
          <w:rFonts w:asciiTheme="minorHAnsi" w:eastAsiaTheme="minorEastAsia" w:hAnsiTheme="minorHAnsi"/>
        </w:rPr>
        <w:t>.</w:t>
      </w:r>
    </w:p>
    <w:p w:rsidR="00EC4DF2" w:rsidRDefault="00EC4DF2" w:rsidP="00EC4DF2">
      <w:pPr>
        <w:pStyle w:val="NoSpacing"/>
        <w:rPr>
          <w:rFonts w:asciiTheme="minorHAnsi" w:hAnsiTheme="minorHAnsi"/>
        </w:rPr>
      </w:pPr>
    </w:p>
    <w:p w:rsidR="00EC4DF2" w:rsidRPr="00A46B51" w:rsidRDefault="00EC4DF2" w:rsidP="00EC4DF2">
      <w:pPr>
        <w:pStyle w:val="KopCalibri11"/>
      </w:pPr>
      <w:r w:rsidRPr="00A46B51">
        <w:t>Meta-regression</w:t>
      </w:r>
    </w:p>
    <w:p w:rsidR="00EC4DF2" w:rsidRDefault="00EC4DF2" w:rsidP="00EC4DF2">
      <w:pPr>
        <w:pStyle w:val="NoSpacing"/>
        <w:rPr>
          <w:rFonts w:asciiTheme="minorHAnsi" w:hAnsiTheme="minorHAnsi"/>
        </w:rPr>
      </w:pPr>
      <w:r>
        <w:rPr>
          <w:rFonts w:asciiTheme="minorHAnsi" w:hAnsiTheme="minorHAnsi"/>
        </w:rPr>
        <w:t xml:space="preserve">To investigate if the performance of the six models was influenced by differences in, for example, study populations, we fitted meta-regression models with a single covariate. The following categorical covariates were considered: </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age range of included participants: comparable (if both the upper and lower limit were within 5 years of the age range in the development population), narrower (if the lower limit was more than 5 years higher and/or the upper limit was more than 5 years lower), younger (if the lower limit was more than 5 years lower), older (if the upper limit was more than 5 years higher) or not reported (NR),</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 xml:space="preserve">in- or exclusion of participants with diabetes at baseline, </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 xml:space="preserve">in- or exclusion of participants with CHD or CVD at baseline, </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 xml:space="preserve">continent, </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 xml:space="preserve">prediction horizon: &lt;10 year, 10 year, &gt;10 year or NR, </w:t>
      </w:r>
    </w:p>
    <w:p w:rsidR="00EC4DF2" w:rsidRDefault="00EC4DF2" w:rsidP="00EC4DF2">
      <w:pPr>
        <w:pStyle w:val="NoSpacing"/>
        <w:numPr>
          <w:ilvl w:val="0"/>
          <w:numId w:val="1"/>
        </w:numPr>
        <w:ind w:left="284" w:hanging="218"/>
        <w:rPr>
          <w:rFonts w:asciiTheme="minorHAnsi" w:hAnsiTheme="minorHAnsi"/>
        </w:rPr>
      </w:pPr>
      <w:r>
        <w:rPr>
          <w:rFonts w:asciiTheme="minorHAnsi" w:hAnsiTheme="minorHAnsi"/>
        </w:rPr>
        <w:t xml:space="preserve">type of model used: for Wilson LDL or total cholesterol, for PCE white and others, or African American. </w:t>
      </w:r>
    </w:p>
    <w:p w:rsidR="00EC4DF2" w:rsidRDefault="00EC4DF2" w:rsidP="00EC4DF2">
      <w:pPr>
        <w:pStyle w:val="NoSpacing"/>
        <w:rPr>
          <w:rFonts w:asciiTheme="minorHAnsi" w:hAnsiTheme="minorHAnsi"/>
        </w:rPr>
      </w:pPr>
      <w:r>
        <w:rPr>
          <w:rFonts w:asciiTheme="minorHAnsi" w:hAnsiTheme="minorHAnsi"/>
        </w:rPr>
        <w:t>The following continuous covariates were included: mean and standard deviation of age, systolic blood pressure, HDL and total cholesterol, year in which the recruitment of participants for the study started, and the prediction horizon.</w:t>
      </w:r>
    </w:p>
    <w:p w:rsidR="00EC4DF2" w:rsidRDefault="00EC4DF2" w:rsidP="00EC4DF2">
      <w:pPr>
        <w:pStyle w:val="NoSpacing"/>
        <w:rPr>
          <w:rFonts w:asciiTheme="minorHAnsi" w:hAnsiTheme="minorHAnsi"/>
        </w:rPr>
      </w:pPr>
    </w:p>
    <w:p w:rsidR="00EC4DF2" w:rsidRPr="00A46B51" w:rsidRDefault="00EC4DF2" w:rsidP="00EC4DF2">
      <w:pPr>
        <w:pStyle w:val="KopCalibri11"/>
      </w:pPr>
      <w:r w:rsidRPr="00A46B51">
        <w:t>Sensitivity analyses</w:t>
      </w:r>
    </w:p>
    <w:p w:rsidR="00CD21E9" w:rsidRDefault="00EC4DF2" w:rsidP="00EC4DF2">
      <w:pPr>
        <w:rPr>
          <w:rFonts w:asciiTheme="minorHAnsi" w:hAnsiTheme="minorHAnsi"/>
        </w:rPr>
      </w:pPr>
      <w:r>
        <w:rPr>
          <w:rFonts w:asciiTheme="minorHAnsi" w:hAnsiTheme="minorHAnsi"/>
        </w:rPr>
        <w:t xml:space="preserve">We performed several sensitivity </w:t>
      </w:r>
      <w:r w:rsidRPr="00EB4FCE">
        <w:rPr>
          <w:rFonts w:asciiTheme="minorHAnsi" w:hAnsiTheme="minorHAnsi"/>
        </w:rPr>
        <w:t xml:space="preserve">analyses. </w:t>
      </w:r>
      <w:r>
        <w:rPr>
          <w:rFonts w:asciiTheme="minorHAnsi" w:hAnsiTheme="minorHAnsi"/>
          <w:lang w:val="en-GB"/>
        </w:rPr>
        <w:t xml:space="preserve">Firstly, we excluded all external validations with high risk of bias for at least one domain. Secondly, since almost all validations scored high risk of bias for either the domain sample size and participant flow or analysis, we performed a second analysis in which we only excluded external validations with high risk of bias for any of the three domains: participant selection, predictors, or outcome. </w:t>
      </w:r>
      <w:r>
        <w:rPr>
          <w:rFonts w:asciiTheme="minorHAnsi" w:hAnsiTheme="minorHAnsi"/>
        </w:rPr>
        <w:t xml:space="preserve">Thirdly, we used the number of events rather than the inverse of the variance as weighting factor in the meta-analysis, as suggested by Pennells et al. to increase statistical power </w:t>
      </w:r>
      <w:r>
        <w:rPr>
          <w:rFonts w:asciiTheme="minorHAnsi" w:hAnsiTheme="minorHAnsi"/>
        </w:rPr>
        <w:fldChar w:fldCharType="begin">
          <w:fldData xml:space="preserve">PEVuZE5vdGU+PENpdGU+PEF1dGhvcj5QZW5uZWxsczwvQXV0aG9yPjxZZWFyPjIwMTQ8L1llYXI+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PEVuZE5vdGU+PENpdGU+PEF1dGhvcj5QZW5uZWxsczwvQXV0aG9yPjxZZWFyPjIwMTQ8L1llYXI+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Fourthly, we fitted a bivariate model with both the c-statistic and the 10-year total OE ratio as outcomes </w:t>
      </w:r>
      <w:r>
        <w:rPr>
          <w:rFonts w:asciiTheme="minorHAnsi" w:hAnsiTheme="minorHAnsi"/>
        </w:rPr>
        <w:fldChar w:fldCharType="begin">
          <w:fldData xml:space="preserve">PEVuZE5vdGU+PENpdGU+PEF1dGhvcj5TbmVsbDwvQXV0aG9yPjxZZWFyPjIwMTU8L1llYXI+PFJl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PEVuZE5vdGU+PENpdGU+PEF1dGhvcj5TbmVsbDwvQXV0aG9yPjxZZWFyPjIwMTU8L1llYXI+PFJl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w:t>
      </w:r>
      <w:r>
        <w:t xml:space="preserve"> </w:t>
      </w:r>
      <w:r w:rsidRPr="00CE57CE">
        <w:rPr>
          <w:rFonts w:asciiTheme="minorHAnsi" w:hAnsiTheme="minorHAnsi"/>
        </w:rPr>
        <w:t xml:space="preserve">Fifthly, we repeated the analyses </w:t>
      </w:r>
      <w:r>
        <w:rPr>
          <w:rFonts w:asciiTheme="minorHAnsi" w:hAnsiTheme="minorHAnsi"/>
        </w:rPr>
        <w:t>with the original OE ratio with</w:t>
      </w:r>
      <w:r w:rsidRPr="00CE57CE">
        <w:rPr>
          <w:rFonts w:asciiTheme="minorHAnsi" w:hAnsiTheme="minorHAnsi"/>
        </w:rPr>
        <w:t xml:space="preserve">out extrapolating </w:t>
      </w:r>
      <w:r>
        <w:rPr>
          <w:rFonts w:asciiTheme="minorHAnsi" w:hAnsiTheme="minorHAnsi"/>
        </w:rPr>
        <w:t>it</w:t>
      </w:r>
      <w:r w:rsidRPr="00CE57CE">
        <w:rPr>
          <w:rFonts w:asciiTheme="minorHAnsi" w:hAnsiTheme="minorHAnsi"/>
        </w:rPr>
        <w:t xml:space="preserve"> to 10 years.</w:t>
      </w:r>
    </w:p>
    <w:p w:rsidR="00EC4DF2" w:rsidRDefault="00EC4DF2" w:rsidP="00EC4DF2">
      <w:pPr>
        <w:rPr>
          <w:rFonts w:asciiTheme="minorHAnsi" w:hAnsiTheme="minorHAnsi"/>
        </w:rPr>
      </w:pPr>
    </w:p>
    <w:p w:rsidR="00EC4DF2" w:rsidRDefault="00EC4DF2" w:rsidP="00EC4DF2">
      <w:pPr>
        <w:rPr>
          <w:rFonts w:asciiTheme="minorHAnsi" w:hAnsiTheme="minorHAnsi"/>
          <w:b/>
        </w:rPr>
      </w:pPr>
      <w:r>
        <w:rPr>
          <w:rFonts w:asciiTheme="minorHAnsi" w:hAnsiTheme="minorHAnsi"/>
          <w:b/>
        </w:rPr>
        <w:t>References</w:t>
      </w:r>
    </w:p>
    <w:p w:rsidR="00EC4DF2" w:rsidRPr="00EC4DF2" w:rsidRDefault="00EC4DF2" w:rsidP="00EC4DF2">
      <w:pPr>
        <w:pStyle w:val="EndNoteBibliography"/>
        <w:spacing w:after="0"/>
        <w:rPr>
          <w:rFonts w:asciiTheme="minorHAnsi" w:hAnsiTheme="minorHAnsi"/>
        </w:rPr>
      </w:pPr>
      <w:r w:rsidRPr="00EC4DF2">
        <w:rPr>
          <w:rFonts w:asciiTheme="minorHAnsi" w:hAnsiTheme="minorHAnsi"/>
        </w:rPr>
        <w:fldChar w:fldCharType="begin"/>
      </w:r>
      <w:r w:rsidRPr="00EC4DF2">
        <w:rPr>
          <w:rFonts w:asciiTheme="minorHAnsi" w:hAnsiTheme="minorHAnsi"/>
        </w:rPr>
        <w:instrText xml:space="preserve"> ADDIN EN.REFLIST </w:instrText>
      </w:r>
      <w:r w:rsidRPr="00EC4DF2">
        <w:rPr>
          <w:rFonts w:asciiTheme="minorHAnsi" w:hAnsiTheme="minorHAnsi"/>
        </w:rPr>
        <w:fldChar w:fldCharType="separate"/>
      </w:r>
      <w:r w:rsidRPr="00EC4DF2">
        <w:rPr>
          <w:rFonts w:asciiTheme="minorHAnsi" w:hAnsiTheme="minorHAnsi"/>
        </w:rPr>
        <w:t>1.</w:t>
      </w:r>
      <w:r w:rsidRPr="00EC4DF2">
        <w:rPr>
          <w:rFonts w:asciiTheme="minorHAnsi" w:hAnsiTheme="minorHAnsi"/>
        </w:rPr>
        <w:tab/>
        <w:t>IntHout J, Ioannidis JP, Borm GF. The Hartung-Knapp-Sidik-Jonkman method for random effects meta-analysis is straightforward and considerably outperforms the standard DerSimonian-Laird method. BMC Med Res Methodol. 2014;14:25. Epub 2014/02/20. doi: 10.1186/1471-2288-14-25. PubMed PMID: 24548571; PubMed Central PMCID: PMCPmc4015721.</w:t>
      </w:r>
    </w:p>
    <w:p w:rsidR="00EC4DF2" w:rsidRPr="00EC4DF2" w:rsidRDefault="00EC4DF2" w:rsidP="00EC4DF2">
      <w:pPr>
        <w:pStyle w:val="EndNoteBibliography"/>
        <w:spacing w:after="0"/>
        <w:rPr>
          <w:rFonts w:asciiTheme="minorHAnsi" w:hAnsiTheme="minorHAnsi"/>
        </w:rPr>
      </w:pPr>
      <w:r w:rsidRPr="00640E24">
        <w:rPr>
          <w:rFonts w:asciiTheme="minorHAnsi" w:hAnsiTheme="minorHAnsi"/>
          <w:lang w:val="nl-NL"/>
        </w:rPr>
        <w:t>2.</w:t>
      </w:r>
      <w:r w:rsidRPr="00640E24">
        <w:rPr>
          <w:rFonts w:asciiTheme="minorHAnsi" w:hAnsiTheme="minorHAnsi"/>
          <w:lang w:val="nl-NL"/>
        </w:rPr>
        <w:tab/>
        <w:t xml:space="preserve">Debray TP, Damen JA, Snell KI, Ensor J, Hooft L, Reitsma JB, et al. </w:t>
      </w:r>
      <w:r w:rsidRPr="00EC4DF2">
        <w:rPr>
          <w:rFonts w:asciiTheme="minorHAnsi" w:hAnsiTheme="minorHAnsi"/>
        </w:rPr>
        <w:t>A guide to systematic review and meta-analysis of prediction model performance. BMJ. 2017;356:i6460. Epub 2017/01/07. doi: 10.1136/bmj.i6460. PubMed PMID: 28057641.</w:t>
      </w:r>
    </w:p>
    <w:p w:rsidR="00EC4DF2" w:rsidRPr="00EC4DF2" w:rsidRDefault="00EC4DF2" w:rsidP="00EC4DF2">
      <w:pPr>
        <w:pStyle w:val="EndNoteBibliography"/>
        <w:spacing w:after="0"/>
        <w:rPr>
          <w:rFonts w:asciiTheme="minorHAnsi" w:hAnsiTheme="minorHAnsi"/>
        </w:rPr>
      </w:pPr>
      <w:r w:rsidRPr="00EC4DF2">
        <w:rPr>
          <w:rFonts w:asciiTheme="minorHAnsi" w:hAnsiTheme="minorHAnsi"/>
        </w:rPr>
        <w:t>3.</w:t>
      </w:r>
      <w:r w:rsidRPr="00EC4DF2">
        <w:rPr>
          <w:rFonts w:asciiTheme="minorHAnsi" w:hAnsiTheme="minorHAnsi"/>
        </w:rPr>
        <w:tab/>
        <w:t>Pennells L, Kaptoge S, White IR, Thompson SG, Wood AM. Assessing risk prediction models using individual participant data from multiple studies. Am J Epidemiol. 2014;179(5):621-32. Epub 2013/12/25. doi: 10.1093/aje/kwt298. PubMed PMID: 24366051; PubMed Central PMCID: PMCPmc3927974.</w:t>
      </w:r>
    </w:p>
    <w:p w:rsidR="00EC4DF2" w:rsidRPr="00EC4DF2" w:rsidRDefault="00EC4DF2" w:rsidP="00EC4DF2">
      <w:pPr>
        <w:pStyle w:val="EndNoteBibliography"/>
        <w:rPr>
          <w:rFonts w:asciiTheme="minorHAnsi" w:hAnsiTheme="minorHAnsi"/>
        </w:rPr>
      </w:pPr>
      <w:r w:rsidRPr="00640E24">
        <w:rPr>
          <w:rFonts w:asciiTheme="minorHAnsi" w:hAnsiTheme="minorHAnsi"/>
          <w:lang w:val="nl-NL"/>
        </w:rPr>
        <w:t>4.</w:t>
      </w:r>
      <w:r w:rsidRPr="00640E24">
        <w:rPr>
          <w:rFonts w:asciiTheme="minorHAnsi" w:hAnsiTheme="minorHAnsi"/>
          <w:lang w:val="nl-NL"/>
        </w:rPr>
        <w:tab/>
        <w:t xml:space="preserve">Snell KI, Hua H, Debray TP, Ensor J, Look MP, Moons KG, et al. </w:t>
      </w:r>
      <w:r w:rsidRPr="00EC4DF2">
        <w:rPr>
          <w:rFonts w:asciiTheme="minorHAnsi" w:hAnsiTheme="minorHAnsi"/>
        </w:rPr>
        <w:t>Multivariate meta-analysis of individual participant data helped externally validate the performance and implementation of a prediction model. J Clin Epidemiol. 2015. Epub 2015/07/05. doi: 10.1016/j.jclinepi.2015.05.009. PubMed PMID: 26142114.</w:t>
      </w:r>
    </w:p>
    <w:p w:rsidR="00EC4DF2" w:rsidRPr="00EC4DF2" w:rsidRDefault="00EC4DF2" w:rsidP="00EC4DF2">
      <w:r w:rsidRPr="00EC4DF2">
        <w:rPr>
          <w:rFonts w:asciiTheme="minorHAnsi" w:hAnsiTheme="minorHAnsi"/>
        </w:rPr>
        <w:fldChar w:fldCharType="end"/>
      </w:r>
    </w:p>
    <w:sectPr w:rsidR="00EC4DF2" w:rsidRPr="00EC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40FAB"/>
    <w:multiLevelType w:val="hybridMultilevel"/>
    <w:tmpl w:val="A7527D3C"/>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xraswws92dqe0pvqptreqfwpd0e0xxzxv&quot;&gt;References&lt;record-ids&gt;&lt;item&gt;91&lt;/item&gt;&lt;item&gt;125&lt;/item&gt;&lt;item&gt;126&lt;/item&gt;&lt;item&gt;137&lt;/item&gt;&lt;/record-ids&gt;&lt;/item&gt;&lt;/Libraries&gt;"/>
  </w:docVars>
  <w:rsids>
    <w:rsidRoot w:val="00EC4DF2"/>
    <w:rsid w:val="00081717"/>
    <w:rsid w:val="00504034"/>
    <w:rsid w:val="00640E24"/>
    <w:rsid w:val="0070141E"/>
    <w:rsid w:val="007C34B3"/>
    <w:rsid w:val="008E461D"/>
    <w:rsid w:val="00B01F61"/>
    <w:rsid w:val="00B806D2"/>
    <w:rsid w:val="00CD21E9"/>
    <w:rsid w:val="00E93607"/>
    <w:rsid w:val="00EC4DF2"/>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EC4DF2"/>
  </w:style>
  <w:style w:type="paragraph" w:customStyle="1" w:styleId="KopCalibri12">
    <w:name w:val="Kop Calibri 12"/>
    <w:basedOn w:val="NoSpacing"/>
    <w:qFormat/>
    <w:rsid w:val="00EC4DF2"/>
    <w:rPr>
      <w:rFonts w:asciiTheme="minorHAnsi" w:hAnsiTheme="minorHAnsi"/>
      <w:b/>
      <w:sz w:val="24"/>
    </w:rPr>
  </w:style>
  <w:style w:type="paragraph" w:customStyle="1" w:styleId="KopCalibri11">
    <w:name w:val="Kop Calibri 11"/>
    <w:basedOn w:val="NoSpacing"/>
    <w:qFormat/>
    <w:rsid w:val="00EC4DF2"/>
    <w:rPr>
      <w:rFonts w:asciiTheme="minorHAnsi" w:hAnsiTheme="minorHAnsi"/>
      <w:b/>
    </w:rPr>
  </w:style>
  <w:style w:type="paragraph" w:styleId="BalloonText">
    <w:name w:val="Balloon Text"/>
    <w:basedOn w:val="Normal"/>
    <w:link w:val="BalloonTextChar"/>
    <w:uiPriority w:val="99"/>
    <w:semiHidden/>
    <w:unhideWhenUsed/>
    <w:rsid w:val="00EC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F2"/>
    <w:rPr>
      <w:rFonts w:ascii="Tahoma" w:hAnsi="Tahoma" w:cs="Tahoma"/>
      <w:sz w:val="16"/>
      <w:szCs w:val="16"/>
    </w:rPr>
  </w:style>
  <w:style w:type="paragraph" w:customStyle="1" w:styleId="EndNoteBibliographyTitle">
    <w:name w:val="EndNote Bibliography Title"/>
    <w:basedOn w:val="Normal"/>
    <w:link w:val="EndNoteBibliographyTitleChar"/>
    <w:rsid w:val="00EC4DF2"/>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EC4DF2"/>
    <w:rPr>
      <w:rFonts w:cs="Segoe UI"/>
      <w:noProof/>
    </w:rPr>
  </w:style>
  <w:style w:type="paragraph" w:customStyle="1" w:styleId="EndNoteBibliography">
    <w:name w:val="EndNote Bibliography"/>
    <w:basedOn w:val="Normal"/>
    <w:link w:val="EndNoteBibliographyChar"/>
    <w:rsid w:val="00EC4DF2"/>
    <w:pPr>
      <w:spacing w:line="240" w:lineRule="auto"/>
    </w:pPr>
    <w:rPr>
      <w:rFonts w:cs="Segoe UI"/>
      <w:noProof/>
    </w:rPr>
  </w:style>
  <w:style w:type="character" w:customStyle="1" w:styleId="EndNoteBibliographyChar">
    <w:name w:val="EndNote Bibliography Char"/>
    <w:basedOn w:val="DefaultParagraphFont"/>
    <w:link w:val="EndNoteBibliography"/>
    <w:rsid w:val="00EC4DF2"/>
    <w:rPr>
      <w:rFonts w:cs="Segoe U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JD">
    <w:name w:val="Header1_JD"/>
    <w:basedOn w:val="NoSpacing"/>
    <w:qFormat/>
    <w:rsid w:val="00504034"/>
    <w:rPr>
      <w:rFonts w:asciiTheme="minorHAnsi" w:hAnsiTheme="minorHAnsi"/>
      <w:b/>
      <w:sz w:val="28"/>
      <w:lang w:val="en-GB"/>
    </w:rPr>
  </w:style>
  <w:style w:type="paragraph" w:styleId="NoSpacing">
    <w:name w:val="No Spacing"/>
    <w:link w:val="NoSpacingChar"/>
    <w:uiPriority w:val="1"/>
    <w:qFormat/>
    <w:rsid w:val="00504034"/>
    <w:pPr>
      <w:spacing w:after="0" w:line="240" w:lineRule="auto"/>
    </w:pPr>
  </w:style>
  <w:style w:type="character" w:customStyle="1" w:styleId="NoSpacingChar">
    <w:name w:val="No Spacing Char"/>
    <w:basedOn w:val="DefaultParagraphFont"/>
    <w:link w:val="NoSpacing"/>
    <w:uiPriority w:val="1"/>
    <w:qFormat/>
    <w:rsid w:val="00EC4DF2"/>
  </w:style>
  <w:style w:type="paragraph" w:customStyle="1" w:styleId="KopCalibri12">
    <w:name w:val="Kop Calibri 12"/>
    <w:basedOn w:val="NoSpacing"/>
    <w:qFormat/>
    <w:rsid w:val="00EC4DF2"/>
    <w:rPr>
      <w:rFonts w:asciiTheme="minorHAnsi" w:hAnsiTheme="minorHAnsi"/>
      <w:b/>
      <w:sz w:val="24"/>
    </w:rPr>
  </w:style>
  <w:style w:type="paragraph" w:customStyle="1" w:styleId="KopCalibri11">
    <w:name w:val="Kop Calibri 11"/>
    <w:basedOn w:val="NoSpacing"/>
    <w:qFormat/>
    <w:rsid w:val="00EC4DF2"/>
    <w:rPr>
      <w:rFonts w:asciiTheme="minorHAnsi" w:hAnsiTheme="minorHAnsi"/>
      <w:b/>
    </w:rPr>
  </w:style>
  <w:style w:type="paragraph" w:styleId="BalloonText">
    <w:name w:val="Balloon Text"/>
    <w:basedOn w:val="Normal"/>
    <w:link w:val="BalloonTextChar"/>
    <w:uiPriority w:val="99"/>
    <w:semiHidden/>
    <w:unhideWhenUsed/>
    <w:rsid w:val="00EC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F2"/>
    <w:rPr>
      <w:rFonts w:ascii="Tahoma" w:hAnsi="Tahoma" w:cs="Tahoma"/>
      <w:sz w:val="16"/>
      <w:szCs w:val="16"/>
    </w:rPr>
  </w:style>
  <w:style w:type="paragraph" w:customStyle="1" w:styleId="EndNoteBibliographyTitle">
    <w:name w:val="EndNote Bibliography Title"/>
    <w:basedOn w:val="Normal"/>
    <w:link w:val="EndNoteBibliographyTitleChar"/>
    <w:rsid w:val="00EC4DF2"/>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EC4DF2"/>
    <w:rPr>
      <w:rFonts w:cs="Segoe UI"/>
      <w:noProof/>
    </w:rPr>
  </w:style>
  <w:style w:type="paragraph" w:customStyle="1" w:styleId="EndNoteBibliography">
    <w:name w:val="EndNote Bibliography"/>
    <w:basedOn w:val="Normal"/>
    <w:link w:val="EndNoteBibliographyChar"/>
    <w:rsid w:val="00EC4DF2"/>
    <w:pPr>
      <w:spacing w:line="240" w:lineRule="auto"/>
    </w:pPr>
    <w:rPr>
      <w:rFonts w:cs="Segoe UI"/>
      <w:noProof/>
    </w:rPr>
  </w:style>
  <w:style w:type="character" w:customStyle="1" w:styleId="EndNoteBibliographyChar">
    <w:name w:val="EndNote Bibliography Char"/>
    <w:basedOn w:val="DefaultParagraphFont"/>
    <w:link w:val="EndNoteBibliography"/>
    <w:rsid w:val="00EC4DF2"/>
    <w:rPr>
      <w:rFonts w:cs="Segoe U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9CAE4BE9</Template>
  <TotalTime>2</TotalTime>
  <Pages>2</Pages>
  <Words>956</Words>
  <Characters>5262</Characters>
  <Application>Microsoft Office Word</Application>
  <DocSecurity>0</DocSecurity>
  <Lines>43</Lines>
  <Paragraphs>12</Paragraphs>
  <ScaleCrop>false</ScaleCrop>
  <Company>UMC Utrecht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Damen, J.A.A.</dc:creator>
  <cp:lastModifiedBy>Damen, J.A.A.</cp:lastModifiedBy>
  <cp:revision>3</cp:revision>
  <dcterms:created xsi:type="dcterms:W3CDTF">2018-03-20T11:20:00Z</dcterms:created>
  <dcterms:modified xsi:type="dcterms:W3CDTF">2019-01-28T14:15:00Z</dcterms:modified>
</cp:coreProperties>
</file>