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34" w:rsidRDefault="005A320A" w:rsidP="00BD4D34">
      <w:pPr>
        <w:pStyle w:val="KopCalibri12"/>
      </w:pPr>
      <w:r>
        <w:rPr>
          <w:lang w:val="en-GB"/>
        </w:rPr>
        <w:t>Additional file 1</w:t>
      </w:r>
      <w:bookmarkStart w:id="0" w:name="_GoBack"/>
      <w:bookmarkEnd w:id="0"/>
      <w:r w:rsidR="00BD4D34">
        <w:rPr>
          <w:lang w:val="en-GB"/>
        </w:rPr>
        <w:t xml:space="preserve">. </w:t>
      </w:r>
      <w:r w:rsidR="00BD4D34" w:rsidRPr="00A46B51">
        <w:t>Review question</w:t>
      </w:r>
      <w:r w:rsidR="00BD4D34">
        <w:t xml:space="preserve"> and </w:t>
      </w:r>
      <w:r w:rsidR="00A20AF4">
        <w:t>description of</w:t>
      </w:r>
      <w:r w:rsidR="00BD4D34">
        <w:t xml:space="preserve"> prediction models.</w:t>
      </w:r>
    </w:p>
    <w:p w:rsidR="00BD4D34" w:rsidRDefault="00BD4D34" w:rsidP="00BD4D34">
      <w:pPr>
        <w:pStyle w:val="KopCalibri12"/>
      </w:pPr>
    </w:p>
    <w:p w:rsidR="00BD4D34" w:rsidRPr="00A46B51" w:rsidRDefault="00BD4D34" w:rsidP="00BD4D34">
      <w:pPr>
        <w:pStyle w:val="KopCalibri12"/>
      </w:pPr>
      <w:r w:rsidRPr="00A46B51">
        <w:t>Review question and PICOTS components</w:t>
      </w:r>
    </w:p>
    <w:p w:rsidR="00BD4D34" w:rsidRPr="0011698E" w:rsidRDefault="00BD4D34" w:rsidP="00BD4D34">
      <w:pPr>
        <w:pStyle w:val="NoSpacing"/>
        <w:rPr>
          <w:rFonts w:asciiTheme="minorHAnsi" w:hAnsiTheme="minorHAnsi"/>
          <w:b/>
        </w:rPr>
      </w:pPr>
    </w:p>
    <w:p w:rsidR="00BD4D34" w:rsidRDefault="00BD4D34" w:rsidP="00BD4D34">
      <w:pPr>
        <w:pStyle w:val="NoSpacing"/>
        <w:spacing w:line="360" w:lineRule="auto"/>
        <w:rPr>
          <w:rFonts w:asciiTheme="minorHAnsi" w:hAnsiTheme="minorHAnsi"/>
          <w:u w:val="single"/>
          <w:lang w:val="en-GB"/>
        </w:rPr>
      </w:pPr>
      <w:r w:rsidRPr="00E12CAA">
        <w:rPr>
          <w:rFonts w:asciiTheme="minorHAnsi" w:hAnsiTheme="minorHAnsi"/>
          <w:noProof/>
          <w:lang w:val="nl-NL" w:eastAsia="nl-NL"/>
        </w:rPr>
        <mc:AlternateContent>
          <mc:Choice Requires="wps">
            <w:drawing>
              <wp:inline distT="0" distB="0" distL="0" distR="0" wp14:anchorId="66E4CAFE" wp14:editId="724C5C2F">
                <wp:extent cx="5709037" cy="2924175"/>
                <wp:effectExtent l="0" t="0" r="2540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037" cy="2924175"/>
                        </a:xfrm>
                        <a:prstGeom prst="rect">
                          <a:avLst/>
                        </a:prstGeom>
                        <a:solidFill>
                          <a:srgbClr val="FFFFFF"/>
                        </a:solidFill>
                        <a:ln w="9525">
                          <a:solidFill>
                            <a:srgbClr val="000000"/>
                          </a:solidFill>
                          <a:miter lim="800000"/>
                          <a:headEnd/>
                          <a:tailEnd/>
                        </a:ln>
                      </wps:spPr>
                      <wps:txbx>
                        <w:txbxContent>
                          <w:p w:rsidR="00BD4D34" w:rsidRDefault="00BD4D34" w:rsidP="00BD4D34">
                            <w:pPr>
                              <w:pStyle w:val="NoSpacing"/>
                              <w:spacing w:line="360" w:lineRule="auto"/>
                              <w:rPr>
                                <w:rFonts w:ascii="Calibri" w:hAnsi="Calibri"/>
                                <w:lang w:val="en-GB"/>
                              </w:rPr>
                            </w:pPr>
                            <w:r>
                              <w:rPr>
                                <w:rFonts w:ascii="Calibri" w:hAnsi="Calibri"/>
                                <w:lang w:val="en-GB"/>
                              </w:rPr>
                              <w:t>Review question: “What is the predictive performance of the Framingham Wilson, ATP III and PCE models in men and women separately for predicting 10-year risk of coronary heart disease (CHD) or cardiovascular disease (CVD) in the general population?”</w:t>
                            </w:r>
                          </w:p>
                          <w:p w:rsidR="00BD4D34" w:rsidRPr="00CC7628" w:rsidRDefault="00BD4D34" w:rsidP="00BD4D34">
                            <w:pPr>
                              <w:pStyle w:val="NoSpacing"/>
                              <w:spacing w:line="360" w:lineRule="auto"/>
                              <w:rPr>
                                <w:rFonts w:asciiTheme="minorHAnsi" w:hAnsiTheme="minorHAnsi"/>
                                <w:lang w:val="en-GB"/>
                              </w:rPr>
                            </w:pPr>
                            <w:r w:rsidRPr="00601225">
                              <w:rPr>
                                <w:rFonts w:asciiTheme="minorHAnsi" w:hAnsiTheme="minorHAnsi"/>
                                <w:i/>
                                <w:lang w:val="en-GB"/>
                              </w:rPr>
                              <w:t>Patients</w:t>
                            </w:r>
                            <w:r>
                              <w:rPr>
                                <w:rFonts w:asciiTheme="minorHAnsi" w:hAnsiTheme="minorHAnsi"/>
                                <w:lang w:val="en-GB"/>
                              </w:rPr>
                              <w:t xml:space="preserve"> - General population, divided by gender. Include population based and primary care cohorts; exclude cohorts in which specific patient populations were excluded</w:t>
                            </w:r>
                          </w:p>
                          <w:p w:rsidR="00BD4D34" w:rsidRPr="00CC7628" w:rsidRDefault="00BD4D34" w:rsidP="00BD4D34">
                            <w:pPr>
                              <w:pStyle w:val="NoSpacing"/>
                              <w:spacing w:line="360" w:lineRule="auto"/>
                              <w:rPr>
                                <w:rFonts w:asciiTheme="minorHAnsi" w:hAnsiTheme="minorHAnsi"/>
                                <w:lang w:val="en-GB"/>
                              </w:rPr>
                            </w:pPr>
                            <w:r w:rsidRPr="00601225">
                              <w:rPr>
                                <w:rFonts w:asciiTheme="minorHAnsi" w:hAnsiTheme="minorHAnsi"/>
                                <w:i/>
                                <w:lang w:val="en-GB"/>
                              </w:rPr>
                              <w:t>Intervention and Comparators</w:t>
                            </w:r>
                            <w:r>
                              <w:rPr>
                                <w:rFonts w:asciiTheme="minorHAnsi" w:hAnsiTheme="minorHAnsi"/>
                                <w:lang w:val="en-GB"/>
                              </w:rPr>
                              <w:t xml:space="preserve"> -</w:t>
                            </w:r>
                            <w:r w:rsidRPr="00CC7628">
                              <w:rPr>
                                <w:rFonts w:asciiTheme="minorHAnsi" w:hAnsiTheme="minorHAnsi"/>
                                <w:lang w:val="en-GB"/>
                              </w:rPr>
                              <w:t xml:space="preserve"> </w:t>
                            </w:r>
                            <w:r>
                              <w:rPr>
                                <w:rFonts w:asciiTheme="minorHAnsi" w:hAnsiTheme="minorHAnsi"/>
                                <w:lang w:val="en-GB"/>
                              </w:rPr>
                              <w:t xml:space="preserve">Framingham </w:t>
                            </w:r>
                            <w:r w:rsidRPr="00CC7628">
                              <w:rPr>
                                <w:rFonts w:asciiTheme="minorHAnsi" w:hAnsiTheme="minorHAnsi"/>
                                <w:lang w:val="en-GB"/>
                              </w:rPr>
                              <w:t>Wilson</w:t>
                            </w:r>
                            <w:r>
                              <w:rPr>
                                <w:rFonts w:asciiTheme="minorHAnsi" w:hAnsiTheme="minorHAnsi"/>
                                <w:lang w:val="en-GB"/>
                              </w:rPr>
                              <w:t xml:space="preserve"> 1998</w:t>
                            </w:r>
                            <w:r w:rsidRPr="00CC7628">
                              <w:rPr>
                                <w:rFonts w:asciiTheme="minorHAnsi" w:hAnsiTheme="minorHAnsi"/>
                                <w:lang w:val="en-GB"/>
                              </w:rPr>
                              <w:t xml:space="preserve">, </w:t>
                            </w:r>
                            <w:r>
                              <w:rPr>
                                <w:rFonts w:asciiTheme="minorHAnsi" w:hAnsiTheme="minorHAnsi"/>
                                <w:lang w:val="en-GB"/>
                              </w:rPr>
                              <w:t xml:space="preserve">Framingham </w:t>
                            </w:r>
                            <w:r w:rsidRPr="00CC7628">
                              <w:rPr>
                                <w:rFonts w:asciiTheme="minorHAnsi" w:hAnsiTheme="minorHAnsi"/>
                                <w:lang w:val="en-GB"/>
                              </w:rPr>
                              <w:t>ATP</w:t>
                            </w:r>
                            <w:r>
                              <w:rPr>
                                <w:rFonts w:asciiTheme="minorHAnsi" w:hAnsiTheme="minorHAnsi"/>
                                <w:lang w:val="en-GB"/>
                              </w:rPr>
                              <w:t xml:space="preserve"> </w:t>
                            </w:r>
                            <w:r w:rsidRPr="00CC7628">
                              <w:rPr>
                                <w:rFonts w:asciiTheme="minorHAnsi" w:hAnsiTheme="minorHAnsi"/>
                                <w:lang w:val="en-GB"/>
                              </w:rPr>
                              <w:t>III</w:t>
                            </w:r>
                            <w:r>
                              <w:rPr>
                                <w:rFonts w:asciiTheme="minorHAnsi" w:hAnsiTheme="minorHAnsi"/>
                                <w:lang w:val="en-GB"/>
                              </w:rPr>
                              <w:t xml:space="preserve"> 2003</w:t>
                            </w:r>
                            <w:r w:rsidRPr="00CC7628">
                              <w:rPr>
                                <w:rFonts w:asciiTheme="minorHAnsi" w:hAnsiTheme="minorHAnsi"/>
                                <w:lang w:val="en-GB"/>
                              </w:rPr>
                              <w:t>, PCE</w:t>
                            </w:r>
                            <w:r>
                              <w:rPr>
                                <w:rFonts w:asciiTheme="minorHAnsi" w:hAnsiTheme="minorHAnsi"/>
                                <w:lang w:val="en-GB"/>
                              </w:rPr>
                              <w:t xml:space="preserve"> 2013, for men and women separately</w:t>
                            </w:r>
                          </w:p>
                          <w:p w:rsidR="00BD4D34" w:rsidRPr="00CC7628" w:rsidRDefault="00BD4D34" w:rsidP="00BD4D34">
                            <w:pPr>
                              <w:pStyle w:val="NoSpacing"/>
                              <w:spacing w:line="360" w:lineRule="auto"/>
                              <w:rPr>
                                <w:rFonts w:asciiTheme="minorHAnsi" w:hAnsiTheme="minorHAnsi"/>
                                <w:lang w:val="en-GB"/>
                              </w:rPr>
                            </w:pPr>
                            <w:r w:rsidRPr="00601225">
                              <w:rPr>
                                <w:rFonts w:asciiTheme="minorHAnsi" w:hAnsiTheme="minorHAnsi"/>
                                <w:i/>
                                <w:lang w:val="en-GB"/>
                              </w:rPr>
                              <w:t>Outcome</w:t>
                            </w:r>
                            <w:r>
                              <w:rPr>
                                <w:rFonts w:asciiTheme="minorHAnsi" w:hAnsiTheme="minorHAnsi"/>
                                <w:lang w:val="en-GB"/>
                              </w:rPr>
                              <w:t xml:space="preserve"> -</w:t>
                            </w:r>
                            <w:r w:rsidRPr="00CC7628">
                              <w:rPr>
                                <w:rFonts w:asciiTheme="minorHAnsi" w:hAnsiTheme="minorHAnsi"/>
                                <w:lang w:val="en-GB"/>
                              </w:rPr>
                              <w:t xml:space="preserve"> Outcome for which </w:t>
                            </w:r>
                            <w:r>
                              <w:rPr>
                                <w:rFonts w:asciiTheme="minorHAnsi" w:hAnsiTheme="minorHAnsi"/>
                                <w:lang w:val="en-GB"/>
                              </w:rPr>
                              <w:t xml:space="preserve">the original </w:t>
                            </w:r>
                            <w:r w:rsidRPr="00CC7628">
                              <w:rPr>
                                <w:rFonts w:asciiTheme="minorHAnsi" w:hAnsiTheme="minorHAnsi"/>
                                <w:lang w:val="en-GB"/>
                              </w:rPr>
                              <w:t>model</w:t>
                            </w:r>
                            <w:r>
                              <w:rPr>
                                <w:rFonts w:asciiTheme="minorHAnsi" w:hAnsiTheme="minorHAnsi"/>
                                <w:lang w:val="en-GB"/>
                              </w:rPr>
                              <w:t xml:space="preserve">s were </w:t>
                            </w:r>
                            <w:r w:rsidRPr="00CC7628">
                              <w:rPr>
                                <w:rFonts w:asciiTheme="minorHAnsi" w:hAnsiTheme="minorHAnsi"/>
                                <w:lang w:val="en-GB"/>
                              </w:rPr>
                              <w:t>developed (fatal or nonfatal CHD for ATP III and Wilson, fatal or nonfatal CVD for PCE)</w:t>
                            </w:r>
                          </w:p>
                          <w:p w:rsidR="00BD4D34" w:rsidRPr="00CC7628" w:rsidRDefault="00BD4D34" w:rsidP="00BD4D34">
                            <w:pPr>
                              <w:pStyle w:val="NoSpacing"/>
                              <w:spacing w:line="360" w:lineRule="auto"/>
                              <w:rPr>
                                <w:rFonts w:asciiTheme="minorHAnsi" w:hAnsiTheme="minorHAnsi"/>
                                <w:lang w:val="en-GB"/>
                              </w:rPr>
                            </w:pPr>
                            <w:r w:rsidRPr="00601225">
                              <w:rPr>
                                <w:rFonts w:asciiTheme="minorHAnsi" w:hAnsiTheme="minorHAnsi"/>
                                <w:i/>
                                <w:lang w:val="en-GB"/>
                              </w:rPr>
                              <w:t>Timing</w:t>
                            </w:r>
                            <w:r>
                              <w:rPr>
                                <w:rFonts w:asciiTheme="minorHAnsi" w:hAnsiTheme="minorHAnsi"/>
                                <w:i/>
                                <w:lang w:val="en-GB"/>
                              </w:rPr>
                              <w:t>/prediction horizon</w:t>
                            </w:r>
                            <w:r>
                              <w:rPr>
                                <w:rFonts w:asciiTheme="minorHAnsi" w:hAnsiTheme="minorHAnsi"/>
                                <w:lang w:val="en-GB"/>
                              </w:rPr>
                              <w:t xml:space="preserve"> - 10 years</w:t>
                            </w:r>
                          </w:p>
                          <w:p w:rsidR="00BD4D34" w:rsidRDefault="00BD4D34" w:rsidP="00BD4D34">
                            <w:pPr>
                              <w:pStyle w:val="NoSpacing"/>
                              <w:spacing w:line="360" w:lineRule="auto"/>
                              <w:rPr>
                                <w:rFonts w:asciiTheme="minorHAnsi" w:hAnsiTheme="minorHAnsi"/>
                                <w:lang w:val="en-GB"/>
                              </w:rPr>
                            </w:pPr>
                            <w:r w:rsidRPr="00601225">
                              <w:rPr>
                                <w:rFonts w:asciiTheme="minorHAnsi" w:hAnsiTheme="minorHAnsi"/>
                                <w:i/>
                                <w:lang w:val="en-GB"/>
                              </w:rPr>
                              <w:t>Setting</w:t>
                            </w:r>
                            <w:r>
                              <w:rPr>
                                <w:rFonts w:asciiTheme="minorHAnsi" w:hAnsiTheme="minorHAnsi"/>
                                <w:lang w:val="en-GB"/>
                              </w:rPr>
                              <w:t xml:space="preserve"> -</w:t>
                            </w:r>
                            <w:r w:rsidRPr="00CC7628">
                              <w:rPr>
                                <w:rFonts w:asciiTheme="minorHAnsi" w:hAnsiTheme="minorHAnsi"/>
                                <w:lang w:val="en-GB"/>
                              </w:rPr>
                              <w:t xml:space="preserve"> </w:t>
                            </w:r>
                            <w:r>
                              <w:rPr>
                                <w:rFonts w:asciiTheme="minorHAnsi" w:hAnsiTheme="minorHAnsi"/>
                                <w:lang w:val="en-GB"/>
                              </w:rPr>
                              <w:t>P</w:t>
                            </w:r>
                            <w:r w:rsidRPr="00CC7628">
                              <w:rPr>
                                <w:rFonts w:asciiTheme="minorHAnsi" w:hAnsiTheme="minorHAnsi"/>
                                <w:lang w:val="en-GB"/>
                              </w:rPr>
                              <w:t>rimary care</w:t>
                            </w:r>
                            <w:r>
                              <w:rPr>
                                <w:rFonts w:asciiTheme="minorHAnsi" w:hAnsiTheme="minorHAnsi"/>
                                <w:lang w:val="en-GB"/>
                              </w:rPr>
                              <w:t xml:space="preserve"> and public health</w:t>
                            </w:r>
                          </w:p>
                          <w:p w:rsidR="00BD4D34" w:rsidRDefault="00BD4D34" w:rsidP="00BD4D34"/>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9.55pt;height:2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">
                <v:textbox>
                  <w:txbxContent>
                    <w:p w:rsidR="00BD4D34" w:rsidRDefault="00BD4D34" w:rsidP="00BD4D34">
                      <w:pPr>
                        <w:pStyle w:val="Geenafstand"/>
                        <w:spacing w:line="360" w:lineRule="auto"/>
                        <w:rPr>
                          <w:rFonts w:ascii="Calibri" w:hAnsi="Calibri"/>
                          <w:lang w:val="en-GB"/>
                        </w:rPr>
                      </w:pPr>
                      <w:r>
                        <w:rPr>
                          <w:rFonts w:ascii="Calibri" w:hAnsi="Calibri"/>
                          <w:lang w:val="en-GB"/>
                        </w:rPr>
                        <w:t>Review question: “What is the predictive performance of the Framingham Wilson, ATP III and PCE models in men and women separately for predicting 10-year risk of coronary heart disease (CHD) or cardiovascular disease (CVD) in the general population?”</w:t>
                      </w:r>
                    </w:p>
                    <w:p w:rsidR="00BD4D34" w:rsidRPr="00CC7628" w:rsidRDefault="00BD4D34" w:rsidP="00BD4D34">
                      <w:pPr>
                        <w:pStyle w:val="Geenafstand"/>
                        <w:spacing w:line="360" w:lineRule="auto"/>
                        <w:rPr>
                          <w:rFonts w:asciiTheme="minorHAnsi" w:hAnsiTheme="minorHAnsi"/>
                          <w:lang w:val="en-GB"/>
                        </w:rPr>
                      </w:pPr>
                      <w:r w:rsidRPr="00601225">
                        <w:rPr>
                          <w:rFonts w:asciiTheme="minorHAnsi" w:hAnsiTheme="minorHAnsi"/>
                          <w:i/>
                          <w:lang w:val="en-GB"/>
                        </w:rPr>
                        <w:t>Patients</w:t>
                      </w:r>
                      <w:r>
                        <w:rPr>
                          <w:rFonts w:asciiTheme="minorHAnsi" w:hAnsiTheme="minorHAnsi"/>
                          <w:lang w:val="en-GB"/>
                        </w:rPr>
                        <w:t xml:space="preserve"> - General population, divided by gender. Include population based and primary care cohorts; exclude cohorts in which specific patient populations were excluded</w:t>
                      </w:r>
                    </w:p>
                    <w:p w:rsidR="00BD4D34" w:rsidRPr="00CC7628" w:rsidRDefault="00BD4D34" w:rsidP="00BD4D34">
                      <w:pPr>
                        <w:pStyle w:val="Geenafstand"/>
                        <w:spacing w:line="360" w:lineRule="auto"/>
                        <w:rPr>
                          <w:rFonts w:asciiTheme="minorHAnsi" w:hAnsiTheme="minorHAnsi"/>
                          <w:lang w:val="en-GB"/>
                        </w:rPr>
                      </w:pPr>
                      <w:r w:rsidRPr="00601225">
                        <w:rPr>
                          <w:rFonts w:asciiTheme="minorHAnsi" w:hAnsiTheme="minorHAnsi"/>
                          <w:i/>
                          <w:lang w:val="en-GB"/>
                        </w:rPr>
                        <w:t>Intervention and Comparators</w:t>
                      </w:r>
                      <w:r>
                        <w:rPr>
                          <w:rFonts w:asciiTheme="minorHAnsi" w:hAnsiTheme="minorHAnsi"/>
                          <w:lang w:val="en-GB"/>
                        </w:rPr>
                        <w:t xml:space="preserve"> -</w:t>
                      </w:r>
                      <w:r w:rsidRPr="00CC7628">
                        <w:rPr>
                          <w:rFonts w:asciiTheme="minorHAnsi" w:hAnsiTheme="minorHAnsi"/>
                          <w:lang w:val="en-GB"/>
                        </w:rPr>
                        <w:t xml:space="preserve"> </w:t>
                      </w:r>
                      <w:r>
                        <w:rPr>
                          <w:rFonts w:asciiTheme="minorHAnsi" w:hAnsiTheme="minorHAnsi"/>
                          <w:lang w:val="en-GB"/>
                        </w:rPr>
                        <w:t xml:space="preserve">Framingham </w:t>
                      </w:r>
                      <w:r w:rsidRPr="00CC7628">
                        <w:rPr>
                          <w:rFonts w:asciiTheme="minorHAnsi" w:hAnsiTheme="minorHAnsi"/>
                          <w:lang w:val="en-GB"/>
                        </w:rPr>
                        <w:t>Wilson</w:t>
                      </w:r>
                      <w:r>
                        <w:rPr>
                          <w:rFonts w:asciiTheme="minorHAnsi" w:hAnsiTheme="minorHAnsi"/>
                          <w:lang w:val="en-GB"/>
                        </w:rPr>
                        <w:t xml:space="preserve"> 1998</w:t>
                      </w:r>
                      <w:r w:rsidRPr="00CC7628">
                        <w:rPr>
                          <w:rFonts w:asciiTheme="minorHAnsi" w:hAnsiTheme="minorHAnsi"/>
                          <w:lang w:val="en-GB"/>
                        </w:rPr>
                        <w:t xml:space="preserve">, </w:t>
                      </w:r>
                      <w:r>
                        <w:rPr>
                          <w:rFonts w:asciiTheme="minorHAnsi" w:hAnsiTheme="minorHAnsi"/>
                          <w:lang w:val="en-GB"/>
                        </w:rPr>
                        <w:t xml:space="preserve">Framingham </w:t>
                      </w:r>
                      <w:r w:rsidRPr="00CC7628">
                        <w:rPr>
                          <w:rFonts w:asciiTheme="minorHAnsi" w:hAnsiTheme="minorHAnsi"/>
                          <w:lang w:val="en-GB"/>
                        </w:rPr>
                        <w:t>ATP</w:t>
                      </w:r>
                      <w:r>
                        <w:rPr>
                          <w:rFonts w:asciiTheme="minorHAnsi" w:hAnsiTheme="minorHAnsi"/>
                          <w:lang w:val="en-GB"/>
                        </w:rPr>
                        <w:t xml:space="preserve"> </w:t>
                      </w:r>
                      <w:r w:rsidRPr="00CC7628">
                        <w:rPr>
                          <w:rFonts w:asciiTheme="minorHAnsi" w:hAnsiTheme="minorHAnsi"/>
                          <w:lang w:val="en-GB"/>
                        </w:rPr>
                        <w:t>III</w:t>
                      </w:r>
                      <w:r>
                        <w:rPr>
                          <w:rFonts w:asciiTheme="minorHAnsi" w:hAnsiTheme="minorHAnsi"/>
                          <w:lang w:val="en-GB"/>
                        </w:rPr>
                        <w:t xml:space="preserve"> 2003</w:t>
                      </w:r>
                      <w:r w:rsidRPr="00CC7628">
                        <w:rPr>
                          <w:rFonts w:asciiTheme="minorHAnsi" w:hAnsiTheme="minorHAnsi"/>
                          <w:lang w:val="en-GB"/>
                        </w:rPr>
                        <w:t>, PCE</w:t>
                      </w:r>
                      <w:r>
                        <w:rPr>
                          <w:rFonts w:asciiTheme="minorHAnsi" w:hAnsiTheme="minorHAnsi"/>
                          <w:lang w:val="en-GB"/>
                        </w:rPr>
                        <w:t xml:space="preserve"> 2013, for men and women separately</w:t>
                      </w:r>
                    </w:p>
                    <w:p w:rsidR="00BD4D34" w:rsidRPr="00CC7628" w:rsidRDefault="00BD4D34" w:rsidP="00BD4D34">
                      <w:pPr>
                        <w:pStyle w:val="Geenafstand"/>
                        <w:spacing w:line="360" w:lineRule="auto"/>
                        <w:rPr>
                          <w:rFonts w:asciiTheme="minorHAnsi" w:hAnsiTheme="minorHAnsi"/>
                          <w:lang w:val="en-GB"/>
                        </w:rPr>
                      </w:pPr>
                      <w:r w:rsidRPr="00601225">
                        <w:rPr>
                          <w:rFonts w:asciiTheme="minorHAnsi" w:hAnsiTheme="minorHAnsi"/>
                          <w:i/>
                          <w:lang w:val="en-GB"/>
                        </w:rPr>
                        <w:t>Outcome</w:t>
                      </w:r>
                      <w:r>
                        <w:rPr>
                          <w:rFonts w:asciiTheme="minorHAnsi" w:hAnsiTheme="minorHAnsi"/>
                          <w:lang w:val="en-GB"/>
                        </w:rPr>
                        <w:t xml:space="preserve"> -</w:t>
                      </w:r>
                      <w:r w:rsidRPr="00CC7628">
                        <w:rPr>
                          <w:rFonts w:asciiTheme="minorHAnsi" w:hAnsiTheme="minorHAnsi"/>
                          <w:lang w:val="en-GB"/>
                        </w:rPr>
                        <w:t xml:space="preserve"> Outcome for which </w:t>
                      </w:r>
                      <w:r>
                        <w:rPr>
                          <w:rFonts w:asciiTheme="minorHAnsi" w:hAnsiTheme="minorHAnsi"/>
                          <w:lang w:val="en-GB"/>
                        </w:rPr>
                        <w:t xml:space="preserve">the original </w:t>
                      </w:r>
                      <w:r w:rsidRPr="00CC7628">
                        <w:rPr>
                          <w:rFonts w:asciiTheme="minorHAnsi" w:hAnsiTheme="minorHAnsi"/>
                          <w:lang w:val="en-GB"/>
                        </w:rPr>
                        <w:t>model</w:t>
                      </w:r>
                      <w:r>
                        <w:rPr>
                          <w:rFonts w:asciiTheme="minorHAnsi" w:hAnsiTheme="minorHAnsi"/>
                          <w:lang w:val="en-GB"/>
                        </w:rPr>
                        <w:t xml:space="preserve">s were </w:t>
                      </w:r>
                      <w:r w:rsidRPr="00CC7628">
                        <w:rPr>
                          <w:rFonts w:asciiTheme="minorHAnsi" w:hAnsiTheme="minorHAnsi"/>
                          <w:lang w:val="en-GB"/>
                        </w:rPr>
                        <w:t>developed (fatal or nonfatal CHD for ATP III and Wilson, fatal or nonfatal CVD for PCE)</w:t>
                      </w:r>
                    </w:p>
                    <w:p w:rsidR="00BD4D34" w:rsidRPr="00CC7628" w:rsidRDefault="00BD4D34" w:rsidP="00BD4D34">
                      <w:pPr>
                        <w:pStyle w:val="Geenafstand"/>
                        <w:spacing w:line="360" w:lineRule="auto"/>
                        <w:rPr>
                          <w:rFonts w:asciiTheme="minorHAnsi" w:hAnsiTheme="minorHAnsi"/>
                          <w:lang w:val="en-GB"/>
                        </w:rPr>
                      </w:pPr>
                      <w:r w:rsidRPr="00601225">
                        <w:rPr>
                          <w:rFonts w:asciiTheme="minorHAnsi" w:hAnsiTheme="minorHAnsi"/>
                          <w:i/>
                          <w:lang w:val="en-GB"/>
                        </w:rPr>
                        <w:t>Timing</w:t>
                      </w:r>
                      <w:r>
                        <w:rPr>
                          <w:rFonts w:asciiTheme="minorHAnsi" w:hAnsiTheme="minorHAnsi"/>
                          <w:i/>
                          <w:lang w:val="en-GB"/>
                        </w:rPr>
                        <w:t>/prediction horizon</w:t>
                      </w:r>
                      <w:r>
                        <w:rPr>
                          <w:rFonts w:asciiTheme="minorHAnsi" w:hAnsiTheme="minorHAnsi"/>
                          <w:lang w:val="en-GB"/>
                        </w:rPr>
                        <w:t xml:space="preserve"> - 10 years</w:t>
                      </w:r>
                    </w:p>
                    <w:p w:rsidR="00BD4D34" w:rsidRDefault="00BD4D34" w:rsidP="00BD4D34">
                      <w:pPr>
                        <w:pStyle w:val="Geenafstand"/>
                        <w:spacing w:line="360" w:lineRule="auto"/>
                        <w:rPr>
                          <w:rFonts w:asciiTheme="minorHAnsi" w:hAnsiTheme="minorHAnsi"/>
                          <w:lang w:val="en-GB"/>
                        </w:rPr>
                      </w:pPr>
                      <w:r w:rsidRPr="00601225">
                        <w:rPr>
                          <w:rFonts w:asciiTheme="minorHAnsi" w:hAnsiTheme="minorHAnsi"/>
                          <w:i/>
                          <w:lang w:val="en-GB"/>
                        </w:rPr>
                        <w:t>Setting</w:t>
                      </w:r>
                      <w:r>
                        <w:rPr>
                          <w:rFonts w:asciiTheme="minorHAnsi" w:hAnsiTheme="minorHAnsi"/>
                          <w:lang w:val="en-GB"/>
                        </w:rPr>
                        <w:t xml:space="preserve"> -</w:t>
                      </w:r>
                      <w:r w:rsidRPr="00CC7628">
                        <w:rPr>
                          <w:rFonts w:asciiTheme="minorHAnsi" w:hAnsiTheme="minorHAnsi"/>
                          <w:lang w:val="en-GB"/>
                        </w:rPr>
                        <w:t xml:space="preserve"> </w:t>
                      </w:r>
                      <w:r>
                        <w:rPr>
                          <w:rFonts w:asciiTheme="minorHAnsi" w:hAnsiTheme="minorHAnsi"/>
                          <w:lang w:val="en-GB"/>
                        </w:rPr>
                        <w:t>P</w:t>
                      </w:r>
                      <w:r w:rsidRPr="00CC7628">
                        <w:rPr>
                          <w:rFonts w:asciiTheme="minorHAnsi" w:hAnsiTheme="minorHAnsi"/>
                          <w:lang w:val="en-GB"/>
                        </w:rPr>
                        <w:t>rimary care</w:t>
                      </w:r>
                      <w:r>
                        <w:rPr>
                          <w:rFonts w:asciiTheme="minorHAnsi" w:hAnsiTheme="minorHAnsi"/>
                          <w:lang w:val="en-GB"/>
                        </w:rPr>
                        <w:t xml:space="preserve"> and public health</w:t>
                      </w:r>
                    </w:p>
                    <w:p w:rsidR="00BD4D34" w:rsidRDefault="00BD4D34" w:rsidP="00BD4D34"/>
                  </w:txbxContent>
                </v:textbox>
                <w10:anchorlock/>
              </v:shape>
            </w:pict>
          </mc:Fallback>
        </mc:AlternateContent>
      </w:r>
    </w:p>
    <w:p w:rsidR="00BD4D34" w:rsidRDefault="00BD4D34" w:rsidP="00BD4D34">
      <w:pPr>
        <w:rPr>
          <w:rFonts w:asciiTheme="minorHAnsi" w:hAnsiTheme="minorHAnsi"/>
          <w:b/>
        </w:rPr>
      </w:pPr>
      <w:r>
        <w:rPr>
          <w:rFonts w:asciiTheme="minorHAnsi" w:hAnsiTheme="minorHAnsi"/>
          <w:b/>
        </w:rPr>
        <w:br w:type="page"/>
      </w:r>
    </w:p>
    <w:p w:rsidR="00BD4D34" w:rsidRPr="00A46B51" w:rsidRDefault="00BD4D34" w:rsidP="00BD4D34">
      <w:pPr>
        <w:pStyle w:val="KopCalibri12"/>
      </w:pPr>
      <w:r w:rsidRPr="00A46B51">
        <w:lastRenderedPageBreak/>
        <w:t xml:space="preserve">Overview of Framingham prediction models and PCE </w:t>
      </w:r>
    </w:p>
    <w:p w:rsidR="00BD4D34" w:rsidRDefault="00BD4D34" w:rsidP="00BD4D34">
      <w:pPr>
        <w:pStyle w:val="NoSpacing"/>
        <w:rPr>
          <w:rFonts w:asciiTheme="minorHAnsi" w:hAnsiTheme="minorHAnsi"/>
        </w:rPr>
      </w:pPr>
    </w:p>
    <w:tbl>
      <w:tblPr>
        <w:tblStyle w:val="TableGrid"/>
        <w:tblW w:w="0" w:type="auto"/>
        <w:tblLook w:val="04A0" w:firstRow="1" w:lastRow="0" w:firstColumn="1" w:lastColumn="0" w:noHBand="0" w:noVBand="1"/>
      </w:tblPr>
      <w:tblGrid>
        <w:gridCol w:w="1455"/>
        <w:gridCol w:w="2705"/>
        <w:gridCol w:w="2705"/>
        <w:gridCol w:w="2706"/>
      </w:tblGrid>
      <w:tr w:rsidR="00BD4D34" w:rsidRPr="00A66824" w:rsidTr="00172A9C">
        <w:tc>
          <w:tcPr>
            <w:tcW w:w="1384" w:type="dxa"/>
          </w:tcPr>
          <w:p w:rsidR="00BD4D34" w:rsidRPr="00A66824" w:rsidRDefault="00BD4D34" w:rsidP="00172A9C">
            <w:pPr>
              <w:pStyle w:val="NoSpacing"/>
              <w:rPr>
                <w:rFonts w:asciiTheme="minorHAnsi" w:hAnsiTheme="minorHAnsi"/>
                <w:b/>
              </w:rPr>
            </w:pPr>
          </w:p>
        </w:tc>
        <w:tc>
          <w:tcPr>
            <w:tcW w:w="2705" w:type="dxa"/>
          </w:tcPr>
          <w:p w:rsidR="00BD4D34" w:rsidRPr="00A66824" w:rsidRDefault="00BD4D34" w:rsidP="00893654">
            <w:pPr>
              <w:pStyle w:val="NoSpacing"/>
              <w:rPr>
                <w:rFonts w:asciiTheme="minorHAnsi" w:hAnsiTheme="minorHAnsi"/>
                <w:b/>
              </w:rPr>
            </w:pPr>
            <w:r w:rsidRPr="00A66824">
              <w:rPr>
                <w:rFonts w:asciiTheme="minorHAnsi" w:hAnsiTheme="minorHAnsi"/>
                <w:b/>
              </w:rPr>
              <w:t>Framingham Wilson</w:t>
            </w:r>
            <w:r w:rsidR="00893654">
              <w:rPr>
                <w:rFonts w:asciiTheme="minorHAnsi" w:hAnsiTheme="minorHAnsi"/>
                <w:b/>
              </w:rPr>
              <w:t xml:space="preserve"> </w:t>
            </w:r>
            <w:r w:rsidR="00893654">
              <w:rPr>
                <w:rFonts w:asciiTheme="minorHAnsi" w:hAnsiTheme="minorHAnsi"/>
                <w:b/>
              </w:rPr>
              <w:fldChar w:fldCharType="begin">
                <w:fldData xml:space="preserve">PEVuZE5vdGU+PENpdGU+PEF1dGhvcj5XaWxzb248L0F1dGhvcj48WWVhcj4xOTk4PC9ZZWFyPjxS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==
</w:fldData>
              </w:fldChar>
            </w:r>
            <w:r w:rsidR="00893654">
              <w:rPr>
                <w:rFonts w:asciiTheme="minorHAnsi" w:hAnsiTheme="minorHAnsi"/>
                <w:b/>
              </w:rPr>
              <w:instrText xml:space="preserve"> ADDIN EN.CITE </w:instrText>
            </w:r>
            <w:r w:rsidR="00893654">
              <w:rPr>
                <w:rFonts w:asciiTheme="minorHAnsi" w:hAnsiTheme="minorHAnsi"/>
                <w:b/>
              </w:rPr>
              <w:fldChar w:fldCharType="begin">
                <w:fldData xml:space="preserve">PEVuZE5vdGU+PENpdGU+PEF1dGhvcj5XaWxzb248L0F1dGhvcj48WWVhcj4xOTk4PC9ZZWFyPjxS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==
</w:fldData>
              </w:fldChar>
            </w:r>
            <w:r w:rsidR="00893654">
              <w:rPr>
                <w:rFonts w:asciiTheme="minorHAnsi" w:hAnsiTheme="minorHAnsi"/>
                <w:b/>
              </w:rPr>
              <w:instrText xml:space="preserve"> ADDIN EN.CITE.DATA </w:instrText>
            </w:r>
            <w:r w:rsidR="00893654">
              <w:rPr>
                <w:rFonts w:asciiTheme="minorHAnsi" w:hAnsiTheme="minorHAnsi"/>
                <w:b/>
              </w:rPr>
            </w:r>
            <w:r w:rsidR="00893654">
              <w:rPr>
                <w:rFonts w:asciiTheme="minorHAnsi" w:hAnsiTheme="minorHAnsi"/>
                <w:b/>
              </w:rPr>
              <w:fldChar w:fldCharType="end"/>
            </w:r>
            <w:r w:rsidR="00893654">
              <w:rPr>
                <w:rFonts w:asciiTheme="minorHAnsi" w:hAnsiTheme="minorHAnsi"/>
                <w:b/>
              </w:rPr>
            </w:r>
            <w:r w:rsidR="00893654">
              <w:rPr>
                <w:rFonts w:asciiTheme="minorHAnsi" w:hAnsiTheme="minorHAnsi"/>
                <w:b/>
              </w:rPr>
              <w:fldChar w:fldCharType="separate"/>
            </w:r>
            <w:r w:rsidR="00893654">
              <w:rPr>
                <w:rFonts w:asciiTheme="minorHAnsi" w:hAnsiTheme="minorHAnsi"/>
                <w:b/>
                <w:noProof/>
              </w:rPr>
              <w:t>[1]</w:t>
            </w:r>
            <w:r w:rsidR="00893654">
              <w:rPr>
                <w:rFonts w:asciiTheme="minorHAnsi" w:hAnsiTheme="minorHAnsi"/>
                <w:b/>
              </w:rPr>
              <w:fldChar w:fldCharType="end"/>
            </w:r>
          </w:p>
        </w:tc>
        <w:tc>
          <w:tcPr>
            <w:tcW w:w="2705" w:type="dxa"/>
          </w:tcPr>
          <w:p w:rsidR="00BD4D34" w:rsidRPr="00A66824" w:rsidRDefault="00BD4D34" w:rsidP="00893654">
            <w:pPr>
              <w:pStyle w:val="NoSpacing"/>
              <w:rPr>
                <w:rFonts w:asciiTheme="minorHAnsi" w:hAnsiTheme="minorHAnsi"/>
                <w:b/>
              </w:rPr>
            </w:pPr>
            <w:r w:rsidRPr="00A66824">
              <w:rPr>
                <w:rFonts w:asciiTheme="minorHAnsi" w:hAnsiTheme="minorHAnsi"/>
                <w:b/>
              </w:rPr>
              <w:t>Framingham ATP III</w:t>
            </w:r>
            <w:r w:rsidR="00893654">
              <w:rPr>
                <w:rFonts w:asciiTheme="minorHAnsi" w:hAnsiTheme="minorHAnsi"/>
                <w:b/>
              </w:rPr>
              <w:t xml:space="preserve"> </w:t>
            </w:r>
            <w:r w:rsidR="00893654">
              <w:rPr>
                <w:rFonts w:asciiTheme="minorHAnsi" w:hAnsiTheme="minorHAnsi"/>
                <w:b/>
              </w:rPr>
              <w:fldChar w:fldCharType="begin">
                <w:fldData xml:space="preserve">PEVuZE5vdGU+PENpdGUgRXhjbHVkZUF1dGg9IjEiPjxZZWFyPjIwMDI8L1llYXI+PFJlY051bT4x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=
</w:fldData>
              </w:fldChar>
            </w:r>
            <w:r w:rsidR="00893654">
              <w:rPr>
                <w:rFonts w:asciiTheme="minorHAnsi" w:hAnsiTheme="minorHAnsi"/>
                <w:b/>
              </w:rPr>
              <w:instrText xml:space="preserve"> ADDIN EN.CITE </w:instrText>
            </w:r>
            <w:r w:rsidR="00893654">
              <w:rPr>
                <w:rFonts w:asciiTheme="minorHAnsi" w:hAnsiTheme="minorHAnsi"/>
                <w:b/>
              </w:rPr>
              <w:fldChar w:fldCharType="begin">
                <w:fldData xml:space="preserve">PEVuZE5vdGU+PENpdGUgRXhjbHVkZUF1dGg9IjEiPjxZZWFyPjIwMDI8L1llYXI+PFJlY051bT4x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=
</w:fldData>
              </w:fldChar>
            </w:r>
            <w:r w:rsidR="00893654">
              <w:rPr>
                <w:rFonts w:asciiTheme="minorHAnsi" w:hAnsiTheme="minorHAnsi"/>
                <w:b/>
              </w:rPr>
              <w:instrText xml:space="preserve"> ADDIN EN.CITE.DATA </w:instrText>
            </w:r>
            <w:r w:rsidR="00893654">
              <w:rPr>
                <w:rFonts w:asciiTheme="minorHAnsi" w:hAnsiTheme="minorHAnsi"/>
                <w:b/>
              </w:rPr>
            </w:r>
            <w:r w:rsidR="00893654">
              <w:rPr>
                <w:rFonts w:asciiTheme="minorHAnsi" w:hAnsiTheme="minorHAnsi"/>
                <w:b/>
              </w:rPr>
              <w:fldChar w:fldCharType="end"/>
            </w:r>
            <w:r w:rsidR="00893654">
              <w:rPr>
                <w:rFonts w:asciiTheme="minorHAnsi" w:hAnsiTheme="minorHAnsi"/>
                <w:b/>
              </w:rPr>
            </w:r>
            <w:r w:rsidR="00893654">
              <w:rPr>
                <w:rFonts w:asciiTheme="minorHAnsi" w:hAnsiTheme="minorHAnsi"/>
                <w:b/>
              </w:rPr>
              <w:fldChar w:fldCharType="separate"/>
            </w:r>
            <w:r w:rsidR="00893654">
              <w:rPr>
                <w:rFonts w:asciiTheme="minorHAnsi" w:hAnsiTheme="minorHAnsi"/>
                <w:b/>
                <w:noProof/>
              </w:rPr>
              <w:t>[2, 3]</w:t>
            </w:r>
            <w:r w:rsidR="00893654">
              <w:rPr>
                <w:rFonts w:asciiTheme="minorHAnsi" w:hAnsiTheme="minorHAnsi"/>
                <w:b/>
              </w:rPr>
              <w:fldChar w:fldCharType="end"/>
            </w:r>
          </w:p>
        </w:tc>
        <w:tc>
          <w:tcPr>
            <w:tcW w:w="2706" w:type="dxa"/>
          </w:tcPr>
          <w:p w:rsidR="00BD4D34" w:rsidRPr="00A66824" w:rsidRDefault="00BD4D34" w:rsidP="00893654">
            <w:pPr>
              <w:pStyle w:val="NoSpacing"/>
              <w:rPr>
                <w:rFonts w:asciiTheme="minorHAnsi" w:hAnsiTheme="minorHAnsi"/>
                <w:b/>
              </w:rPr>
            </w:pPr>
            <w:r w:rsidRPr="00A66824">
              <w:rPr>
                <w:rFonts w:asciiTheme="minorHAnsi" w:hAnsiTheme="minorHAnsi"/>
                <w:b/>
              </w:rPr>
              <w:t>PCE</w:t>
            </w:r>
            <w:r w:rsidR="00893654">
              <w:rPr>
                <w:rFonts w:asciiTheme="minorHAnsi" w:hAnsiTheme="minorHAnsi"/>
                <w:b/>
              </w:rPr>
              <w:t xml:space="preserve"> </w:t>
            </w:r>
            <w:r w:rsidR="00893654">
              <w:rPr>
                <w:rFonts w:asciiTheme="minorHAnsi" w:hAnsiTheme="minorHAnsi"/>
                <w:b/>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sidR="00893654">
              <w:rPr>
                <w:rFonts w:asciiTheme="minorHAnsi" w:hAnsiTheme="minorHAnsi"/>
                <w:b/>
              </w:rPr>
              <w:instrText xml:space="preserve"> ADDIN EN.CITE </w:instrText>
            </w:r>
            <w:r w:rsidR="00893654">
              <w:rPr>
                <w:rFonts w:asciiTheme="minorHAnsi" w:hAnsiTheme="minorHAnsi"/>
                <w:b/>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sidR="00893654">
              <w:rPr>
                <w:rFonts w:asciiTheme="minorHAnsi" w:hAnsiTheme="minorHAnsi"/>
                <w:b/>
              </w:rPr>
              <w:instrText xml:space="preserve"> ADDIN EN.CITE.DATA </w:instrText>
            </w:r>
            <w:r w:rsidR="00893654">
              <w:rPr>
                <w:rFonts w:asciiTheme="minorHAnsi" w:hAnsiTheme="minorHAnsi"/>
                <w:b/>
              </w:rPr>
            </w:r>
            <w:r w:rsidR="00893654">
              <w:rPr>
                <w:rFonts w:asciiTheme="minorHAnsi" w:hAnsiTheme="minorHAnsi"/>
                <w:b/>
              </w:rPr>
              <w:fldChar w:fldCharType="end"/>
            </w:r>
            <w:r w:rsidR="00893654">
              <w:rPr>
                <w:rFonts w:asciiTheme="minorHAnsi" w:hAnsiTheme="minorHAnsi"/>
                <w:b/>
              </w:rPr>
            </w:r>
            <w:r w:rsidR="00893654">
              <w:rPr>
                <w:rFonts w:asciiTheme="minorHAnsi" w:hAnsiTheme="minorHAnsi"/>
                <w:b/>
              </w:rPr>
              <w:fldChar w:fldCharType="separate"/>
            </w:r>
            <w:r w:rsidR="00893654">
              <w:rPr>
                <w:rFonts w:asciiTheme="minorHAnsi" w:hAnsiTheme="minorHAnsi"/>
                <w:b/>
                <w:noProof/>
              </w:rPr>
              <w:t>[4]</w:t>
            </w:r>
            <w:r w:rsidR="00893654">
              <w:rPr>
                <w:rFonts w:asciiTheme="minorHAnsi" w:hAnsiTheme="minorHAnsi"/>
                <w:b/>
              </w:rPr>
              <w:fldChar w:fldCharType="end"/>
            </w:r>
          </w:p>
        </w:tc>
      </w:tr>
      <w:tr w:rsidR="00BD4D34" w:rsidRPr="00A66824" w:rsidTr="00172A9C">
        <w:tc>
          <w:tcPr>
            <w:tcW w:w="1384" w:type="dxa"/>
          </w:tcPr>
          <w:p w:rsidR="00BD4D34" w:rsidRPr="00FC33AA" w:rsidRDefault="00BD4D34" w:rsidP="00172A9C">
            <w:pPr>
              <w:pStyle w:val="NoSpacing"/>
              <w:rPr>
                <w:rFonts w:asciiTheme="minorHAnsi" w:hAnsiTheme="minorHAnsi"/>
                <w:b/>
              </w:rPr>
            </w:pPr>
            <w:r>
              <w:rPr>
                <w:rFonts w:asciiTheme="minorHAnsi" w:hAnsiTheme="minorHAnsi"/>
                <w:b/>
              </w:rPr>
              <w:t>Development cohort(s)</w:t>
            </w:r>
          </w:p>
        </w:tc>
        <w:tc>
          <w:tcPr>
            <w:tcW w:w="2705" w:type="dxa"/>
          </w:tcPr>
          <w:p w:rsidR="00BD4D34" w:rsidRPr="00FC33AA" w:rsidRDefault="00BD4D34" w:rsidP="00172A9C">
            <w:pPr>
              <w:pStyle w:val="NoSpacing"/>
              <w:rPr>
                <w:rFonts w:asciiTheme="minorHAnsi" w:hAnsiTheme="minorHAnsi"/>
              </w:rPr>
            </w:pPr>
            <w:r>
              <w:rPr>
                <w:rFonts w:asciiTheme="minorHAnsi" w:hAnsiTheme="minorHAnsi"/>
              </w:rPr>
              <w:t xml:space="preserve">- Framingham Heart Study: </w:t>
            </w:r>
            <w:r w:rsidRPr="00242222">
              <w:rPr>
                <w:rFonts w:asciiTheme="minorHAnsi" w:hAnsiTheme="minorHAnsi"/>
              </w:rPr>
              <w:t xml:space="preserve">11th examination of </w:t>
            </w:r>
            <w:r>
              <w:rPr>
                <w:rFonts w:asciiTheme="minorHAnsi" w:hAnsiTheme="minorHAnsi"/>
              </w:rPr>
              <w:t>the original Framingham cohort</w:t>
            </w:r>
            <w:r w:rsidRPr="00242222">
              <w:rPr>
                <w:rFonts w:asciiTheme="minorHAnsi" w:hAnsiTheme="minorHAnsi"/>
              </w:rPr>
              <w:t xml:space="preserve"> or initial examination of the Framingham Offspring Study</w:t>
            </w:r>
          </w:p>
        </w:tc>
        <w:tc>
          <w:tcPr>
            <w:tcW w:w="2705" w:type="dxa"/>
          </w:tcPr>
          <w:p w:rsidR="00BD4D34" w:rsidRPr="00FC33AA" w:rsidRDefault="00BD4D34" w:rsidP="00172A9C">
            <w:pPr>
              <w:pStyle w:val="NoSpacing"/>
              <w:rPr>
                <w:rFonts w:asciiTheme="minorHAnsi" w:hAnsiTheme="minorHAnsi"/>
              </w:rPr>
            </w:pPr>
            <w:r>
              <w:rPr>
                <w:rFonts w:asciiTheme="minorHAnsi" w:hAnsiTheme="minorHAnsi"/>
              </w:rPr>
              <w:t>- Framingham Heart Study</w:t>
            </w:r>
          </w:p>
        </w:tc>
        <w:tc>
          <w:tcPr>
            <w:tcW w:w="2706" w:type="dxa"/>
          </w:tcPr>
          <w:p w:rsidR="00BD4D34" w:rsidRDefault="00BD4D34" w:rsidP="00172A9C">
            <w:pPr>
              <w:pStyle w:val="NoSpacing"/>
              <w:rPr>
                <w:rFonts w:asciiTheme="minorHAnsi" w:hAnsiTheme="minorHAnsi"/>
              </w:rPr>
            </w:pPr>
            <w:r>
              <w:rPr>
                <w:rFonts w:asciiTheme="minorHAnsi" w:hAnsiTheme="minorHAnsi"/>
              </w:rPr>
              <w:t>- Framingham Heart Study: original and offspring cohorts.</w:t>
            </w:r>
          </w:p>
          <w:p w:rsidR="00BD4D34" w:rsidRDefault="00BD4D34" w:rsidP="00172A9C">
            <w:pPr>
              <w:pStyle w:val="NoSpacing"/>
              <w:rPr>
                <w:rFonts w:asciiTheme="minorHAnsi" w:hAnsiTheme="minorHAnsi"/>
              </w:rPr>
            </w:pPr>
            <w:r>
              <w:rPr>
                <w:rFonts w:asciiTheme="minorHAnsi" w:hAnsiTheme="minorHAnsi"/>
              </w:rPr>
              <w:t xml:space="preserve">- </w:t>
            </w:r>
            <w:r w:rsidRPr="00242222">
              <w:rPr>
                <w:rFonts w:asciiTheme="minorHAnsi" w:hAnsiTheme="minorHAnsi"/>
              </w:rPr>
              <w:t xml:space="preserve">Atherosclerosis Risk </w:t>
            </w:r>
            <w:r>
              <w:rPr>
                <w:rFonts w:asciiTheme="minorHAnsi" w:hAnsiTheme="minorHAnsi"/>
              </w:rPr>
              <w:t>in Communities (ARIC) study</w:t>
            </w:r>
          </w:p>
          <w:p w:rsidR="00BD4D34" w:rsidRDefault="00BD4D34" w:rsidP="00172A9C">
            <w:pPr>
              <w:pStyle w:val="NoSpacing"/>
              <w:rPr>
                <w:rFonts w:asciiTheme="minorHAnsi" w:hAnsiTheme="minorHAnsi"/>
              </w:rPr>
            </w:pPr>
            <w:r>
              <w:rPr>
                <w:rFonts w:asciiTheme="minorHAnsi" w:hAnsiTheme="minorHAnsi"/>
              </w:rPr>
              <w:t xml:space="preserve">- </w:t>
            </w:r>
            <w:r w:rsidRPr="00242222">
              <w:rPr>
                <w:rFonts w:asciiTheme="minorHAnsi" w:hAnsiTheme="minorHAnsi"/>
              </w:rPr>
              <w:t>Ca</w:t>
            </w:r>
            <w:r>
              <w:rPr>
                <w:rFonts w:asciiTheme="minorHAnsi" w:hAnsiTheme="minorHAnsi"/>
              </w:rPr>
              <w:t>rdiovascular Health Study (CHS)</w:t>
            </w:r>
          </w:p>
          <w:p w:rsidR="00BD4D34" w:rsidRPr="00FC33AA" w:rsidRDefault="00BD4D34" w:rsidP="00172A9C">
            <w:pPr>
              <w:pStyle w:val="NoSpacing"/>
              <w:rPr>
                <w:rFonts w:asciiTheme="minorHAnsi" w:hAnsiTheme="minorHAnsi"/>
              </w:rPr>
            </w:pPr>
            <w:r>
              <w:rPr>
                <w:rFonts w:asciiTheme="minorHAnsi" w:hAnsiTheme="minorHAnsi"/>
              </w:rPr>
              <w:t xml:space="preserve">- </w:t>
            </w:r>
            <w:r w:rsidRPr="00242222">
              <w:rPr>
                <w:rFonts w:asciiTheme="minorHAnsi" w:hAnsiTheme="minorHAnsi"/>
              </w:rPr>
              <w:t>Coronary Artery Risk Development in Young Adults (CARDIA) study</w:t>
            </w:r>
          </w:p>
        </w:tc>
      </w:tr>
      <w:tr w:rsidR="00BD4D34" w:rsidTr="00172A9C">
        <w:tc>
          <w:tcPr>
            <w:tcW w:w="1384" w:type="dxa"/>
          </w:tcPr>
          <w:p w:rsidR="00BD4D34" w:rsidRPr="00A66824" w:rsidRDefault="00BD4D34" w:rsidP="00172A9C">
            <w:pPr>
              <w:pStyle w:val="NoSpacing"/>
              <w:rPr>
                <w:rFonts w:asciiTheme="minorHAnsi" w:hAnsiTheme="minorHAnsi"/>
                <w:b/>
              </w:rPr>
            </w:pPr>
            <w:r w:rsidRPr="00A66824">
              <w:rPr>
                <w:rFonts w:asciiTheme="minorHAnsi" w:hAnsiTheme="minorHAnsi"/>
                <w:b/>
              </w:rPr>
              <w:t>In/exclusion criteria</w:t>
            </w:r>
          </w:p>
        </w:tc>
        <w:tc>
          <w:tcPr>
            <w:tcW w:w="2705" w:type="dxa"/>
          </w:tcPr>
          <w:p w:rsidR="00BD4D34" w:rsidRDefault="00BD4D34" w:rsidP="00172A9C">
            <w:pPr>
              <w:pStyle w:val="NoSpacing"/>
              <w:rPr>
                <w:rFonts w:asciiTheme="minorHAnsi" w:hAnsiTheme="minorHAnsi"/>
              </w:rPr>
            </w:pPr>
            <w:r>
              <w:rPr>
                <w:rFonts w:asciiTheme="minorHAnsi" w:hAnsiTheme="minorHAnsi"/>
              </w:rPr>
              <w:t xml:space="preserve">People aged </w:t>
            </w:r>
            <w:r w:rsidRPr="002A7ACC">
              <w:rPr>
                <w:rFonts w:asciiTheme="minorHAnsi" w:hAnsiTheme="minorHAnsi"/>
              </w:rPr>
              <w:t>30 to 74 years old at the time of their Framingham</w:t>
            </w:r>
            <w:r>
              <w:rPr>
                <w:rFonts w:asciiTheme="minorHAnsi" w:hAnsiTheme="minorHAnsi"/>
              </w:rPr>
              <w:t xml:space="preserve"> </w:t>
            </w:r>
            <w:r w:rsidRPr="002A7ACC">
              <w:rPr>
                <w:rFonts w:asciiTheme="minorHAnsi" w:hAnsiTheme="minorHAnsi"/>
              </w:rPr>
              <w:t>Heart Study examination in 1971 to 1974</w:t>
            </w:r>
            <w:r>
              <w:rPr>
                <w:rFonts w:asciiTheme="minorHAnsi" w:hAnsiTheme="minorHAnsi"/>
              </w:rPr>
              <w:t>. P</w:t>
            </w:r>
            <w:r w:rsidRPr="002A7ACC">
              <w:rPr>
                <w:rFonts w:asciiTheme="minorHAnsi" w:hAnsiTheme="minorHAnsi"/>
              </w:rPr>
              <w:t>ersons with overt</w:t>
            </w:r>
            <w:r>
              <w:rPr>
                <w:rFonts w:asciiTheme="minorHAnsi" w:hAnsiTheme="minorHAnsi"/>
              </w:rPr>
              <w:t xml:space="preserve"> </w:t>
            </w:r>
            <w:r w:rsidRPr="002A7ACC">
              <w:rPr>
                <w:rFonts w:asciiTheme="minorHAnsi" w:hAnsiTheme="minorHAnsi"/>
              </w:rPr>
              <w:t>CHD at the baseline examination were excluded.</w:t>
            </w:r>
          </w:p>
        </w:tc>
        <w:tc>
          <w:tcPr>
            <w:tcW w:w="2705" w:type="dxa"/>
          </w:tcPr>
          <w:p w:rsidR="00BD4D34" w:rsidRDefault="00BD4D34" w:rsidP="00172A9C">
            <w:pPr>
              <w:pStyle w:val="NoSpacing"/>
              <w:rPr>
                <w:rFonts w:asciiTheme="minorHAnsi" w:hAnsiTheme="minorHAnsi"/>
              </w:rPr>
            </w:pPr>
            <w:r>
              <w:rPr>
                <w:rFonts w:asciiTheme="minorHAnsi" w:hAnsiTheme="minorHAnsi"/>
              </w:rPr>
              <w:t>People aged 20 to 79 without diabetes.</w:t>
            </w:r>
          </w:p>
        </w:tc>
        <w:tc>
          <w:tcPr>
            <w:tcW w:w="2706" w:type="dxa"/>
          </w:tcPr>
          <w:p w:rsidR="00BD4D34" w:rsidRDefault="00BD4D34" w:rsidP="00172A9C">
            <w:pPr>
              <w:pStyle w:val="NoSpacing"/>
              <w:rPr>
                <w:rFonts w:asciiTheme="minorHAnsi" w:hAnsiTheme="minorHAnsi"/>
              </w:rPr>
            </w:pPr>
            <w:r>
              <w:rPr>
                <w:rFonts w:asciiTheme="minorHAnsi" w:hAnsiTheme="minorHAnsi"/>
              </w:rPr>
              <w:t>People a</w:t>
            </w:r>
            <w:r w:rsidRPr="003F195F">
              <w:rPr>
                <w:rFonts w:asciiTheme="minorHAnsi" w:hAnsiTheme="minorHAnsi"/>
              </w:rPr>
              <w:t>ge</w:t>
            </w:r>
            <w:r>
              <w:rPr>
                <w:rFonts w:asciiTheme="minorHAnsi" w:hAnsiTheme="minorHAnsi"/>
              </w:rPr>
              <w:t>d</w:t>
            </w:r>
            <w:r w:rsidRPr="003F195F">
              <w:rPr>
                <w:rFonts w:asciiTheme="minorHAnsi" w:hAnsiTheme="minorHAnsi"/>
              </w:rPr>
              <w:t xml:space="preserve"> 40 to 79, apparently healthy, African American or White, and free of a previous history of MI (recognized or unrecognized), stroke, congestive heart failure, percutaneous coronary intervention, coronary bypass surgery, or atrial fibrillation.</w:t>
            </w:r>
          </w:p>
        </w:tc>
      </w:tr>
      <w:tr w:rsidR="00BD4D34" w:rsidTr="00172A9C">
        <w:tc>
          <w:tcPr>
            <w:tcW w:w="1384" w:type="dxa"/>
          </w:tcPr>
          <w:p w:rsidR="00BD4D34" w:rsidRPr="00A66824" w:rsidRDefault="00BD4D34" w:rsidP="00172A9C">
            <w:pPr>
              <w:pStyle w:val="NoSpacing"/>
              <w:rPr>
                <w:rFonts w:asciiTheme="minorHAnsi" w:hAnsiTheme="minorHAnsi"/>
                <w:b/>
              </w:rPr>
            </w:pPr>
            <w:r w:rsidRPr="00A66824">
              <w:rPr>
                <w:rFonts w:asciiTheme="minorHAnsi" w:hAnsiTheme="minorHAnsi"/>
                <w:b/>
              </w:rPr>
              <w:t>Predictors</w:t>
            </w:r>
          </w:p>
        </w:tc>
        <w:tc>
          <w:tcPr>
            <w:tcW w:w="2705" w:type="dxa"/>
          </w:tcPr>
          <w:p w:rsidR="00BD4D34" w:rsidRDefault="00BD4D34" w:rsidP="00172A9C">
            <w:pPr>
              <w:pStyle w:val="NoSpacing"/>
              <w:rPr>
                <w:rFonts w:asciiTheme="minorHAnsi" w:hAnsiTheme="minorHAnsi"/>
              </w:rPr>
            </w:pPr>
            <w:r>
              <w:rPr>
                <w:rFonts w:asciiTheme="minorHAnsi" w:hAnsiTheme="minorHAnsi"/>
              </w:rPr>
              <w:t>Age</w:t>
            </w:r>
          </w:p>
          <w:p w:rsidR="00BD4D34" w:rsidRDefault="00BD4D34" w:rsidP="00172A9C">
            <w:pPr>
              <w:pStyle w:val="NoSpacing"/>
              <w:rPr>
                <w:rFonts w:asciiTheme="minorHAnsi" w:hAnsiTheme="minorHAnsi"/>
              </w:rPr>
            </w:pPr>
            <w:r>
              <w:rPr>
                <w:rFonts w:asciiTheme="minorHAnsi" w:hAnsiTheme="minorHAnsi"/>
              </w:rPr>
              <w:t>Smoking</w:t>
            </w:r>
          </w:p>
          <w:p w:rsidR="00BD4D34" w:rsidRDefault="00BD4D34" w:rsidP="00172A9C">
            <w:pPr>
              <w:pStyle w:val="NoSpacing"/>
              <w:rPr>
                <w:rFonts w:asciiTheme="minorHAnsi" w:hAnsiTheme="minorHAnsi"/>
              </w:rPr>
            </w:pPr>
            <w:r>
              <w:rPr>
                <w:rFonts w:asciiTheme="minorHAnsi" w:hAnsiTheme="minorHAnsi"/>
              </w:rPr>
              <w:t>Diabetes</w:t>
            </w:r>
          </w:p>
          <w:p w:rsidR="00BD4D34" w:rsidRDefault="00BD4D34" w:rsidP="00172A9C">
            <w:pPr>
              <w:pStyle w:val="NoSpacing"/>
              <w:rPr>
                <w:rFonts w:asciiTheme="minorHAnsi" w:hAnsiTheme="minorHAnsi"/>
              </w:rPr>
            </w:pPr>
            <w:r>
              <w:rPr>
                <w:rFonts w:asciiTheme="minorHAnsi" w:hAnsiTheme="minorHAnsi"/>
              </w:rPr>
              <w:t>Systolic blood pressure</w:t>
            </w:r>
          </w:p>
          <w:p w:rsidR="00BD4D34" w:rsidRDefault="00BD4D34" w:rsidP="00172A9C">
            <w:pPr>
              <w:pStyle w:val="NoSpacing"/>
              <w:rPr>
                <w:rFonts w:asciiTheme="minorHAnsi" w:hAnsiTheme="minorHAnsi"/>
              </w:rPr>
            </w:pPr>
            <w:r>
              <w:rPr>
                <w:rFonts w:asciiTheme="minorHAnsi" w:hAnsiTheme="minorHAnsi"/>
              </w:rPr>
              <w:t>Diastolic blood pressure</w:t>
            </w:r>
          </w:p>
          <w:p w:rsidR="00BD4D34" w:rsidRDefault="00BD4D34" w:rsidP="00172A9C">
            <w:pPr>
              <w:pStyle w:val="NoSpacing"/>
              <w:rPr>
                <w:rFonts w:asciiTheme="minorHAnsi" w:hAnsiTheme="minorHAnsi"/>
              </w:rPr>
            </w:pPr>
            <w:r>
              <w:rPr>
                <w:rFonts w:asciiTheme="minorHAnsi" w:hAnsiTheme="minorHAnsi"/>
              </w:rPr>
              <w:t>Total or LDL cholesterol</w:t>
            </w:r>
          </w:p>
          <w:p w:rsidR="00BD4D34" w:rsidRDefault="00BD4D34" w:rsidP="00172A9C">
            <w:pPr>
              <w:pStyle w:val="NoSpacing"/>
              <w:rPr>
                <w:rFonts w:asciiTheme="minorHAnsi" w:hAnsiTheme="minorHAnsi"/>
              </w:rPr>
            </w:pPr>
            <w:r>
              <w:rPr>
                <w:rFonts w:asciiTheme="minorHAnsi" w:hAnsiTheme="minorHAnsi"/>
              </w:rPr>
              <w:t>HDL cholesterol</w:t>
            </w:r>
          </w:p>
        </w:tc>
        <w:tc>
          <w:tcPr>
            <w:tcW w:w="2705" w:type="dxa"/>
          </w:tcPr>
          <w:p w:rsidR="00BD4D34" w:rsidRDefault="00BD4D34" w:rsidP="00172A9C">
            <w:pPr>
              <w:pStyle w:val="NoSpacing"/>
              <w:rPr>
                <w:rFonts w:asciiTheme="minorHAnsi" w:hAnsiTheme="minorHAnsi"/>
              </w:rPr>
            </w:pPr>
            <w:r>
              <w:rPr>
                <w:rFonts w:asciiTheme="minorHAnsi" w:hAnsiTheme="minorHAnsi"/>
              </w:rPr>
              <w:t>Age</w:t>
            </w:r>
          </w:p>
          <w:p w:rsidR="00BD4D34" w:rsidRDefault="00BD4D34" w:rsidP="00172A9C">
            <w:pPr>
              <w:pStyle w:val="NoSpacing"/>
              <w:rPr>
                <w:rFonts w:asciiTheme="minorHAnsi" w:hAnsiTheme="minorHAnsi"/>
              </w:rPr>
            </w:pPr>
            <w:r>
              <w:rPr>
                <w:rFonts w:asciiTheme="minorHAnsi" w:hAnsiTheme="minorHAnsi"/>
              </w:rPr>
              <w:t>Smoking</w:t>
            </w:r>
          </w:p>
          <w:p w:rsidR="00BD4D34" w:rsidRDefault="00BD4D34" w:rsidP="00172A9C">
            <w:pPr>
              <w:pStyle w:val="NoSpacing"/>
              <w:rPr>
                <w:rFonts w:asciiTheme="minorHAnsi" w:hAnsiTheme="minorHAnsi"/>
              </w:rPr>
            </w:pPr>
            <w:r>
              <w:rPr>
                <w:rFonts w:asciiTheme="minorHAnsi" w:hAnsiTheme="minorHAnsi"/>
              </w:rPr>
              <w:t>Systolic blood pressure</w:t>
            </w:r>
          </w:p>
          <w:p w:rsidR="00BD4D34" w:rsidRDefault="00BD4D34" w:rsidP="00172A9C">
            <w:pPr>
              <w:pStyle w:val="NoSpacing"/>
              <w:rPr>
                <w:rFonts w:asciiTheme="minorHAnsi" w:hAnsiTheme="minorHAnsi"/>
              </w:rPr>
            </w:pPr>
            <w:r>
              <w:rPr>
                <w:rFonts w:asciiTheme="minorHAnsi" w:hAnsiTheme="minorHAnsi"/>
              </w:rPr>
              <w:t>Treatment of blood pressure</w:t>
            </w:r>
          </w:p>
          <w:p w:rsidR="00BD4D34" w:rsidRDefault="00BD4D34" w:rsidP="00172A9C">
            <w:pPr>
              <w:pStyle w:val="NoSpacing"/>
              <w:rPr>
                <w:rFonts w:asciiTheme="minorHAnsi" w:hAnsiTheme="minorHAnsi"/>
              </w:rPr>
            </w:pPr>
            <w:r>
              <w:rPr>
                <w:rFonts w:asciiTheme="minorHAnsi" w:hAnsiTheme="minorHAnsi"/>
              </w:rPr>
              <w:t>Total cholesterol</w:t>
            </w:r>
          </w:p>
          <w:p w:rsidR="00BD4D34" w:rsidRDefault="00BD4D34" w:rsidP="00172A9C">
            <w:pPr>
              <w:pStyle w:val="NoSpacing"/>
              <w:rPr>
                <w:rFonts w:asciiTheme="minorHAnsi" w:hAnsiTheme="minorHAnsi"/>
              </w:rPr>
            </w:pPr>
            <w:r>
              <w:rPr>
                <w:rFonts w:asciiTheme="minorHAnsi" w:hAnsiTheme="minorHAnsi"/>
              </w:rPr>
              <w:t>HDL cholesterol</w:t>
            </w:r>
          </w:p>
        </w:tc>
        <w:tc>
          <w:tcPr>
            <w:tcW w:w="2706" w:type="dxa"/>
          </w:tcPr>
          <w:p w:rsidR="00BD4D34" w:rsidRDefault="00BD4D34" w:rsidP="00172A9C">
            <w:pPr>
              <w:pStyle w:val="NoSpacing"/>
              <w:rPr>
                <w:rFonts w:asciiTheme="minorHAnsi" w:hAnsiTheme="minorHAnsi"/>
              </w:rPr>
            </w:pPr>
            <w:r>
              <w:rPr>
                <w:rFonts w:asciiTheme="minorHAnsi" w:hAnsiTheme="minorHAnsi"/>
              </w:rPr>
              <w:t>Age</w:t>
            </w:r>
          </w:p>
          <w:p w:rsidR="00BD4D34" w:rsidRDefault="00BD4D34" w:rsidP="00172A9C">
            <w:pPr>
              <w:pStyle w:val="NoSpacing"/>
              <w:rPr>
                <w:rFonts w:asciiTheme="minorHAnsi" w:hAnsiTheme="minorHAnsi"/>
              </w:rPr>
            </w:pPr>
            <w:r>
              <w:rPr>
                <w:rFonts w:asciiTheme="minorHAnsi" w:hAnsiTheme="minorHAnsi"/>
              </w:rPr>
              <w:t>Smoking</w:t>
            </w:r>
          </w:p>
          <w:p w:rsidR="00BD4D34" w:rsidRDefault="00BD4D34" w:rsidP="00172A9C">
            <w:pPr>
              <w:pStyle w:val="NoSpacing"/>
              <w:rPr>
                <w:rFonts w:asciiTheme="minorHAnsi" w:hAnsiTheme="minorHAnsi"/>
              </w:rPr>
            </w:pPr>
            <w:r>
              <w:rPr>
                <w:rFonts w:asciiTheme="minorHAnsi" w:hAnsiTheme="minorHAnsi"/>
              </w:rPr>
              <w:t>Diabetes</w:t>
            </w:r>
          </w:p>
          <w:p w:rsidR="00BD4D34" w:rsidRDefault="00BD4D34" w:rsidP="00172A9C">
            <w:pPr>
              <w:pStyle w:val="NoSpacing"/>
              <w:rPr>
                <w:rFonts w:asciiTheme="minorHAnsi" w:hAnsiTheme="minorHAnsi"/>
              </w:rPr>
            </w:pPr>
            <w:r>
              <w:rPr>
                <w:rFonts w:asciiTheme="minorHAnsi" w:hAnsiTheme="minorHAnsi"/>
              </w:rPr>
              <w:t>Systolic blood pressure</w:t>
            </w:r>
          </w:p>
          <w:p w:rsidR="00BD4D34" w:rsidRDefault="00BD4D34" w:rsidP="00172A9C">
            <w:pPr>
              <w:pStyle w:val="NoSpacing"/>
              <w:rPr>
                <w:rFonts w:asciiTheme="minorHAnsi" w:hAnsiTheme="minorHAnsi"/>
              </w:rPr>
            </w:pPr>
            <w:r>
              <w:rPr>
                <w:rFonts w:asciiTheme="minorHAnsi" w:hAnsiTheme="minorHAnsi"/>
              </w:rPr>
              <w:t>Treatment of blood pressure</w:t>
            </w:r>
          </w:p>
          <w:p w:rsidR="00BD4D34" w:rsidRDefault="00BD4D34" w:rsidP="00172A9C">
            <w:pPr>
              <w:pStyle w:val="NoSpacing"/>
              <w:rPr>
                <w:rFonts w:asciiTheme="minorHAnsi" w:hAnsiTheme="minorHAnsi"/>
              </w:rPr>
            </w:pPr>
            <w:r>
              <w:rPr>
                <w:rFonts w:asciiTheme="minorHAnsi" w:hAnsiTheme="minorHAnsi"/>
              </w:rPr>
              <w:t>Total cholesterol</w:t>
            </w:r>
          </w:p>
          <w:p w:rsidR="00BD4D34" w:rsidRDefault="00BD4D34" w:rsidP="00172A9C">
            <w:pPr>
              <w:pStyle w:val="NoSpacing"/>
              <w:rPr>
                <w:rFonts w:asciiTheme="minorHAnsi" w:hAnsiTheme="minorHAnsi"/>
              </w:rPr>
            </w:pPr>
            <w:r>
              <w:rPr>
                <w:rFonts w:asciiTheme="minorHAnsi" w:hAnsiTheme="minorHAnsi"/>
              </w:rPr>
              <w:t>HDL cholesterol</w:t>
            </w:r>
          </w:p>
        </w:tc>
      </w:tr>
      <w:tr w:rsidR="00BD4D34" w:rsidTr="00172A9C">
        <w:tc>
          <w:tcPr>
            <w:tcW w:w="1384" w:type="dxa"/>
          </w:tcPr>
          <w:p w:rsidR="00BD4D34" w:rsidRPr="00A66824" w:rsidRDefault="00BD4D34" w:rsidP="00172A9C">
            <w:pPr>
              <w:pStyle w:val="NoSpacing"/>
              <w:rPr>
                <w:rFonts w:asciiTheme="minorHAnsi" w:hAnsiTheme="minorHAnsi"/>
                <w:b/>
              </w:rPr>
            </w:pPr>
            <w:r w:rsidRPr="00A66824">
              <w:rPr>
                <w:rFonts w:asciiTheme="minorHAnsi" w:hAnsiTheme="minorHAnsi"/>
                <w:b/>
              </w:rPr>
              <w:t>Predicted outcome</w:t>
            </w:r>
          </w:p>
        </w:tc>
        <w:tc>
          <w:tcPr>
            <w:tcW w:w="2705" w:type="dxa"/>
          </w:tcPr>
          <w:p w:rsidR="00BD4D34" w:rsidRDefault="00BD4D34" w:rsidP="00172A9C">
            <w:pPr>
              <w:pStyle w:val="NoSpacing"/>
              <w:rPr>
                <w:rFonts w:asciiTheme="minorHAnsi" w:hAnsiTheme="minorHAnsi"/>
              </w:rPr>
            </w:pPr>
            <w:r>
              <w:rPr>
                <w:rFonts w:asciiTheme="minorHAnsi" w:hAnsiTheme="minorHAnsi"/>
              </w:rPr>
              <w:t xml:space="preserve">Fatal or nonfatal CHD, defined as </w:t>
            </w:r>
            <w:r w:rsidRPr="002A7ACC">
              <w:rPr>
                <w:rFonts w:asciiTheme="minorHAnsi" w:hAnsiTheme="minorHAnsi"/>
              </w:rPr>
              <w:t>angina pectoris</w:t>
            </w:r>
            <w:r>
              <w:rPr>
                <w:rFonts w:asciiTheme="minorHAnsi" w:hAnsiTheme="minorHAnsi"/>
              </w:rPr>
              <w:t xml:space="preserve">, </w:t>
            </w:r>
            <w:r w:rsidRPr="002A7ACC">
              <w:rPr>
                <w:rFonts w:asciiTheme="minorHAnsi" w:hAnsiTheme="minorHAnsi"/>
              </w:rPr>
              <w:t>recognized and unrecognized myocardial infarction, coronary insufficiency,</w:t>
            </w:r>
            <w:r>
              <w:rPr>
                <w:rFonts w:asciiTheme="minorHAnsi" w:hAnsiTheme="minorHAnsi"/>
              </w:rPr>
              <w:t xml:space="preserve"> </w:t>
            </w:r>
            <w:r w:rsidRPr="002A7ACC">
              <w:rPr>
                <w:rFonts w:asciiTheme="minorHAnsi" w:hAnsiTheme="minorHAnsi"/>
              </w:rPr>
              <w:t>and coronary heart disease death</w:t>
            </w:r>
            <w:r>
              <w:rPr>
                <w:rFonts w:asciiTheme="minorHAnsi" w:hAnsiTheme="minorHAnsi"/>
              </w:rPr>
              <w:t>.</w:t>
            </w:r>
          </w:p>
        </w:tc>
        <w:tc>
          <w:tcPr>
            <w:tcW w:w="2705" w:type="dxa"/>
          </w:tcPr>
          <w:p w:rsidR="00BD4D34" w:rsidRDefault="00BD4D34" w:rsidP="00172A9C">
            <w:pPr>
              <w:pStyle w:val="NoSpacing"/>
              <w:rPr>
                <w:rFonts w:asciiTheme="minorHAnsi" w:hAnsiTheme="minorHAnsi"/>
              </w:rPr>
            </w:pPr>
            <w:r>
              <w:rPr>
                <w:rFonts w:asciiTheme="minorHAnsi" w:hAnsiTheme="minorHAnsi"/>
              </w:rPr>
              <w:t xml:space="preserve">Fatal or nonfatal CHD, defined as </w:t>
            </w:r>
            <w:r w:rsidRPr="001E11B1">
              <w:rPr>
                <w:rFonts w:asciiTheme="minorHAnsi" w:hAnsiTheme="minorHAnsi"/>
              </w:rPr>
              <w:t xml:space="preserve">myocardial infarction </w:t>
            </w:r>
            <w:r>
              <w:rPr>
                <w:rFonts w:asciiTheme="minorHAnsi" w:hAnsiTheme="minorHAnsi"/>
              </w:rPr>
              <w:t>or</w:t>
            </w:r>
            <w:r w:rsidRPr="001E11B1">
              <w:rPr>
                <w:rFonts w:asciiTheme="minorHAnsi" w:hAnsiTheme="minorHAnsi"/>
              </w:rPr>
              <w:t xml:space="preserve"> CHD</w:t>
            </w:r>
            <w:r>
              <w:rPr>
                <w:rFonts w:asciiTheme="minorHAnsi" w:hAnsiTheme="minorHAnsi"/>
              </w:rPr>
              <w:t xml:space="preserve"> </w:t>
            </w:r>
            <w:r w:rsidRPr="001E11B1">
              <w:rPr>
                <w:rFonts w:asciiTheme="minorHAnsi" w:hAnsiTheme="minorHAnsi"/>
              </w:rPr>
              <w:t>death</w:t>
            </w:r>
            <w:r>
              <w:rPr>
                <w:rFonts w:asciiTheme="minorHAnsi" w:hAnsiTheme="minorHAnsi"/>
              </w:rPr>
              <w:t>.</w:t>
            </w:r>
          </w:p>
        </w:tc>
        <w:tc>
          <w:tcPr>
            <w:tcW w:w="2706" w:type="dxa"/>
          </w:tcPr>
          <w:p w:rsidR="00BD4D34" w:rsidRDefault="00BD4D34" w:rsidP="00172A9C">
            <w:pPr>
              <w:pStyle w:val="NoSpacing"/>
              <w:rPr>
                <w:rFonts w:asciiTheme="minorHAnsi" w:hAnsiTheme="minorHAnsi"/>
              </w:rPr>
            </w:pPr>
            <w:r>
              <w:rPr>
                <w:rFonts w:asciiTheme="minorHAnsi" w:hAnsiTheme="minorHAnsi"/>
              </w:rPr>
              <w:t>Atherosclerotic CVD defined as</w:t>
            </w:r>
            <w:r w:rsidRPr="003F195F">
              <w:rPr>
                <w:rFonts w:asciiTheme="minorHAnsi" w:hAnsiTheme="minorHAnsi"/>
              </w:rPr>
              <w:t xml:space="preserve"> non</w:t>
            </w:r>
            <w:r>
              <w:rPr>
                <w:rFonts w:asciiTheme="minorHAnsi" w:hAnsiTheme="minorHAnsi"/>
              </w:rPr>
              <w:t>fatal myocardial infarction or coronary heart disease</w:t>
            </w:r>
            <w:r w:rsidRPr="003F195F">
              <w:rPr>
                <w:rFonts w:asciiTheme="minorHAnsi" w:hAnsiTheme="minorHAnsi"/>
              </w:rPr>
              <w:t xml:space="preserve"> death, or fatal or nonfatal stroke</w:t>
            </w:r>
            <w:r>
              <w:rPr>
                <w:rFonts w:asciiTheme="minorHAnsi" w:hAnsiTheme="minorHAnsi"/>
              </w:rPr>
              <w:t>.</w:t>
            </w:r>
          </w:p>
        </w:tc>
      </w:tr>
      <w:tr w:rsidR="00BD4D34" w:rsidTr="00172A9C">
        <w:tc>
          <w:tcPr>
            <w:tcW w:w="1384" w:type="dxa"/>
          </w:tcPr>
          <w:p w:rsidR="00BD4D34" w:rsidRPr="00A66824" w:rsidRDefault="00BD4D34" w:rsidP="00172A9C">
            <w:pPr>
              <w:pStyle w:val="NoSpacing"/>
              <w:rPr>
                <w:rFonts w:asciiTheme="minorHAnsi" w:hAnsiTheme="minorHAnsi"/>
                <w:b/>
              </w:rPr>
            </w:pPr>
            <w:r>
              <w:rPr>
                <w:rFonts w:asciiTheme="minorHAnsi" w:hAnsiTheme="minorHAnsi"/>
                <w:b/>
              </w:rPr>
              <w:t>Prediction horizon</w:t>
            </w:r>
          </w:p>
        </w:tc>
        <w:tc>
          <w:tcPr>
            <w:tcW w:w="2705" w:type="dxa"/>
          </w:tcPr>
          <w:p w:rsidR="00BD4D34" w:rsidRDefault="00BD4D34" w:rsidP="00172A9C">
            <w:pPr>
              <w:pStyle w:val="NoSpacing"/>
              <w:rPr>
                <w:rFonts w:asciiTheme="minorHAnsi" w:hAnsiTheme="minorHAnsi"/>
              </w:rPr>
            </w:pPr>
            <w:r>
              <w:rPr>
                <w:rFonts w:asciiTheme="minorHAnsi" w:hAnsiTheme="minorHAnsi"/>
              </w:rPr>
              <w:t>10 years</w:t>
            </w:r>
          </w:p>
        </w:tc>
        <w:tc>
          <w:tcPr>
            <w:tcW w:w="2705" w:type="dxa"/>
          </w:tcPr>
          <w:p w:rsidR="00BD4D34" w:rsidRDefault="00BD4D34" w:rsidP="00172A9C">
            <w:pPr>
              <w:pStyle w:val="NoSpacing"/>
              <w:rPr>
                <w:rFonts w:asciiTheme="minorHAnsi" w:hAnsiTheme="minorHAnsi"/>
              </w:rPr>
            </w:pPr>
            <w:r>
              <w:rPr>
                <w:rFonts w:asciiTheme="minorHAnsi" w:hAnsiTheme="minorHAnsi"/>
              </w:rPr>
              <w:t>10 years</w:t>
            </w:r>
          </w:p>
        </w:tc>
        <w:tc>
          <w:tcPr>
            <w:tcW w:w="2706" w:type="dxa"/>
          </w:tcPr>
          <w:p w:rsidR="00BD4D34" w:rsidRDefault="00BD4D34" w:rsidP="00172A9C">
            <w:pPr>
              <w:pStyle w:val="NoSpacing"/>
              <w:rPr>
                <w:rFonts w:asciiTheme="minorHAnsi" w:hAnsiTheme="minorHAnsi"/>
              </w:rPr>
            </w:pPr>
            <w:r>
              <w:rPr>
                <w:rFonts w:asciiTheme="minorHAnsi" w:hAnsiTheme="minorHAnsi"/>
              </w:rPr>
              <w:t>10 years</w:t>
            </w:r>
          </w:p>
        </w:tc>
      </w:tr>
    </w:tbl>
    <w:p w:rsidR="00BD4D34" w:rsidRDefault="00BD4D34" w:rsidP="00BD4D34">
      <w:pPr>
        <w:pStyle w:val="NoSpacing"/>
        <w:rPr>
          <w:rFonts w:asciiTheme="minorHAnsi" w:hAnsiTheme="minorHAnsi"/>
        </w:rPr>
      </w:pPr>
    </w:p>
    <w:p w:rsidR="00893654" w:rsidRDefault="00893654">
      <w:r>
        <w:br w:type="page"/>
      </w:r>
    </w:p>
    <w:p w:rsidR="00CD21E9" w:rsidRDefault="00893654" w:rsidP="00893654">
      <w:pPr>
        <w:pStyle w:val="NoSpacing"/>
        <w:rPr>
          <w:rFonts w:asciiTheme="minorHAnsi" w:hAnsiTheme="minorHAnsi"/>
          <w:b/>
        </w:rPr>
      </w:pPr>
      <w:r w:rsidRPr="00893654">
        <w:rPr>
          <w:rFonts w:asciiTheme="minorHAnsi" w:hAnsiTheme="minorHAnsi"/>
          <w:b/>
        </w:rPr>
        <w:lastRenderedPageBreak/>
        <w:t>References</w:t>
      </w:r>
    </w:p>
    <w:p w:rsidR="00893654" w:rsidRPr="00893654" w:rsidRDefault="00893654" w:rsidP="00893654">
      <w:pPr>
        <w:pStyle w:val="NoSpacing"/>
        <w:rPr>
          <w:rFonts w:asciiTheme="minorHAnsi" w:hAnsiTheme="minorHAnsi"/>
          <w:b/>
        </w:rPr>
      </w:pPr>
    </w:p>
    <w:p w:rsidR="00893654" w:rsidRPr="00893654" w:rsidRDefault="00893654" w:rsidP="00893654">
      <w:pPr>
        <w:pStyle w:val="NoSpacing"/>
        <w:rPr>
          <w:rFonts w:asciiTheme="minorHAnsi" w:hAnsiTheme="minorHAnsi"/>
          <w:noProof/>
        </w:rPr>
      </w:pPr>
      <w:r w:rsidRPr="00893654">
        <w:rPr>
          <w:rFonts w:asciiTheme="minorHAnsi" w:hAnsiTheme="minorHAnsi"/>
        </w:rPr>
        <w:fldChar w:fldCharType="begin"/>
      </w:r>
      <w:r w:rsidRPr="00893654">
        <w:rPr>
          <w:rFonts w:asciiTheme="minorHAnsi" w:hAnsiTheme="minorHAnsi"/>
        </w:rPr>
        <w:instrText xml:space="preserve"> ADDIN EN.REFLIST </w:instrText>
      </w:r>
      <w:r w:rsidRPr="00893654">
        <w:rPr>
          <w:rFonts w:asciiTheme="minorHAnsi" w:hAnsiTheme="minorHAnsi"/>
        </w:rPr>
        <w:fldChar w:fldCharType="separate"/>
      </w:r>
      <w:r w:rsidRPr="00893654">
        <w:rPr>
          <w:rFonts w:asciiTheme="minorHAnsi" w:hAnsiTheme="minorHAnsi"/>
          <w:noProof/>
        </w:rPr>
        <w:t>1.</w:t>
      </w:r>
      <w:r w:rsidRPr="00893654">
        <w:rPr>
          <w:rFonts w:asciiTheme="minorHAnsi" w:hAnsiTheme="minorHAnsi"/>
          <w:noProof/>
        </w:rPr>
        <w:tab/>
        <w:t>Wilson PW, D'Agostino RB, Levy D, Belanger AM, Silbershatz H, Kannel WB. Prediction of coronary heart disease using risk factor categories. Circulation. 1998;97(18):1837-47. Epub 1998/05/29. PubMed PMID: 9603539.</w:t>
      </w:r>
    </w:p>
    <w:p w:rsidR="00893654" w:rsidRPr="00893654" w:rsidRDefault="00893654" w:rsidP="00893654">
      <w:pPr>
        <w:pStyle w:val="NoSpacing"/>
        <w:rPr>
          <w:rFonts w:asciiTheme="minorHAnsi" w:hAnsiTheme="minorHAnsi"/>
          <w:noProof/>
        </w:rPr>
      </w:pPr>
      <w:r w:rsidRPr="00893654">
        <w:rPr>
          <w:rFonts w:asciiTheme="minorHAnsi" w:hAnsiTheme="minorHAnsi"/>
          <w:noProof/>
        </w:rPr>
        <w:t>2.</w:t>
      </w:r>
      <w:r w:rsidRPr="00893654">
        <w:rPr>
          <w:rFonts w:asciiTheme="minorHAnsi" w:hAnsiTheme="minorHAnsi"/>
          <w:noProof/>
        </w:rPr>
        <w:tab/>
        <w:t>Third Report of the National Cholesterol Education Program (NCEP) Expert Panel on Detection, Evaluation, and Treatment of High Blood Cholesterol in Adults (Adult Treatment Panel III) final report. Circulation. 2002;106(25):3143-421. Epub 2002/12/18. PubMed PMID: 12485966.</w:t>
      </w:r>
    </w:p>
    <w:p w:rsidR="00893654" w:rsidRPr="00893654" w:rsidRDefault="00893654" w:rsidP="00893654">
      <w:pPr>
        <w:pStyle w:val="NoSpacing"/>
        <w:rPr>
          <w:rFonts w:asciiTheme="minorHAnsi" w:hAnsiTheme="minorHAnsi"/>
          <w:noProof/>
        </w:rPr>
      </w:pPr>
      <w:r w:rsidRPr="00893654">
        <w:rPr>
          <w:rFonts w:asciiTheme="minorHAnsi" w:hAnsiTheme="minorHAnsi"/>
          <w:noProof/>
        </w:rPr>
        <w:t>3.</w:t>
      </w:r>
      <w:r w:rsidRPr="00893654">
        <w:rPr>
          <w:rFonts w:asciiTheme="minorHAnsi" w:hAnsiTheme="minorHAnsi"/>
          <w:noProof/>
        </w:rPr>
        <w:tab/>
        <w:t>Executive Summary of The Third Report of The National Cholesterol Education Program (NCEP) Expert Panel on Detection, Evaluation, And Treatment of High Blood Cholesterol In Adults (Adult Treatment Panel III). JAMA. 2001;285(19):2486-97. Epub 2001/05/23. PubMed PMID: 11368702.</w:t>
      </w:r>
    </w:p>
    <w:p w:rsidR="00893654" w:rsidRPr="00893654" w:rsidRDefault="00893654" w:rsidP="00893654">
      <w:pPr>
        <w:pStyle w:val="NoSpacing"/>
        <w:rPr>
          <w:rFonts w:asciiTheme="minorHAnsi" w:hAnsiTheme="minorHAnsi"/>
          <w:noProof/>
        </w:rPr>
      </w:pPr>
      <w:r w:rsidRPr="00893654">
        <w:rPr>
          <w:rFonts w:asciiTheme="minorHAnsi" w:hAnsiTheme="minorHAnsi"/>
          <w:noProof/>
        </w:rPr>
        <w:t>4.</w:t>
      </w:r>
      <w:r w:rsidRPr="00893654">
        <w:rPr>
          <w:rFonts w:asciiTheme="minorHAnsi" w:hAnsiTheme="minorHAnsi"/>
          <w:noProof/>
        </w:rPr>
        <w:tab/>
        <w:t>Goff DC, Jr., Lloyd-Jones DM, Bennett G, Coady S, D'Agostino RB, Gibbons R, et al. 2013 ACC/AHA guideline on the assessment of cardiovascular risk: a report of the American College of Cardiology/American Heart Association Task Force on Practice Guidelines. Circulation. 2014;129(25 Suppl 2):S49-73. Epub 2013/11/14. doi: 10.1161/01.cir.0000437741.48606.98. PubMed PMID: 24222018.</w:t>
      </w:r>
    </w:p>
    <w:p w:rsidR="00893654" w:rsidRDefault="00893654" w:rsidP="00893654">
      <w:pPr>
        <w:pStyle w:val="NoSpacing"/>
      </w:pPr>
      <w:r w:rsidRPr="00893654">
        <w:rPr>
          <w:rFonts w:asciiTheme="minorHAnsi" w:hAnsiTheme="minorHAnsi"/>
        </w:rPr>
        <w:fldChar w:fldCharType="end"/>
      </w:r>
    </w:p>
    <w:sectPr w:rsidR="00893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Segoe U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dxraswws92dqe0pvqptreqfwpd0e0xxzxv&quot;&gt;References&lt;record-ids&gt;&lt;item&gt;14&lt;/item&gt;&lt;item&gt;16&lt;/item&gt;&lt;item&gt;63&lt;/item&gt;&lt;item&gt;135&lt;/item&gt;&lt;/record-ids&gt;&lt;/item&gt;&lt;/Libraries&gt;"/>
  </w:docVars>
  <w:rsids>
    <w:rsidRoot w:val="00BD4D34"/>
    <w:rsid w:val="00081717"/>
    <w:rsid w:val="00504034"/>
    <w:rsid w:val="005A320A"/>
    <w:rsid w:val="0070141E"/>
    <w:rsid w:val="007C34B3"/>
    <w:rsid w:val="00893654"/>
    <w:rsid w:val="008E461D"/>
    <w:rsid w:val="00A20AF4"/>
    <w:rsid w:val="00B01F61"/>
    <w:rsid w:val="00BD4D34"/>
    <w:rsid w:val="00CD21E9"/>
    <w:rsid w:val="00E93607"/>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JD">
    <w:name w:val="Header1_JD"/>
    <w:basedOn w:val="NoSpacing"/>
    <w:qFormat/>
    <w:rsid w:val="00504034"/>
    <w:rPr>
      <w:rFonts w:asciiTheme="minorHAnsi" w:hAnsiTheme="minorHAnsi"/>
      <w:b/>
      <w:sz w:val="28"/>
      <w:lang w:val="en-GB"/>
    </w:rPr>
  </w:style>
  <w:style w:type="paragraph" w:styleId="NoSpacing">
    <w:name w:val="No Spacing"/>
    <w:link w:val="NoSpacingChar"/>
    <w:uiPriority w:val="1"/>
    <w:qFormat/>
    <w:rsid w:val="00504034"/>
    <w:pPr>
      <w:spacing w:after="0" w:line="240" w:lineRule="auto"/>
    </w:pPr>
  </w:style>
  <w:style w:type="character" w:customStyle="1" w:styleId="NoSpacingChar">
    <w:name w:val="No Spacing Char"/>
    <w:basedOn w:val="DefaultParagraphFont"/>
    <w:link w:val="NoSpacing"/>
    <w:uiPriority w:val="1"/>
    <w:qFormat/>
    <w:rsid w:val="00BD4D34"/>
  </w:style>
  <w:style w:type="table" w:styleId="TableGrid">
    <w:name w:val="Table Grid"/>
    <w:basedOn w:val="TableNormal"/>
    <w:uiPriority w:val="59"/>
    <w:rsid w:val="00BD4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Calibri12">
    <w:name w:val="Kop Calibri 12"/>
    <w:basedOn w:val="NoSpacing"/>
    <w:qFormat/>
    <w:rsid w:val="00BD4D34"/>
    <w:rPr>
      <w:rFonts w:asciiTheme="minorHAnsi" w:hAnsiTheme="minorHAnsi"/>
      <w:b/>
      <w:sz w:val="24"/>
    </w:rPr>
  </w:style>
  <w:style w:type="paragraph" w:customStyle="1" w:styleId="EndNoteBibliographyTitle">
    <w:name w:val="EndNote Bibliography Title"/>
    <w:basedOn w:val="Normal"/>
    <w:link w:val="EndNoteBibliographyTitleChar"/>
    <w:rsid w:val="00893654"/>
    <w:pPr>
      <w:spacing w:after="0"/>
      <w:jc w:val="center"/>
    </w:pPr>
    <w:rPr>
      <w:rFonts w:cs="Segoe UI"/>
      <w:noProof/>
    </w:rPr>
  </w:style>
  <w:style w:type="character" w:customStyle="1" w:styleId="EndNoteBibliographyTitleChar">
    <w:name w:val="EndNote Bibliography Title Char"/>
    <w:basedOn w:val="DefaultParagraphFont"/>
    <w:link w:val="EndNoteBibliographyTitle"/>
    <w:rsid w:val="00893654"/>
    <w:rPr>
      <w:rFonts w:cs="Segoe UI"/>
      <w:noProof/>
    </w:rPr>
  </w:style>
  <w:style w:type="paragraph" w:customStyle="1" w:styleId="EndNoteBibliography">
    <w:name w:val="EndNote Bibliography"/>
    <w:basedOn w:val="Normal"/>
    <w:link w:val="EndNoteBibliographyChar"/>
    <w:rsid w:val="00893654"/>
    <w:pPr>
      <w:spacing w:line="240" w:lineRule="auto"/>
    </w:pPr>
    <w:rPr>
      <w:rFonts w:cs="Segoe UI"/>
      <w:noProof/>
    </w:rPr>
  </w:style>
  <w:style w:type="character" w:customStyle="1" w:styleId="EndNoteBibliographyChar">
    <w:name w:val="EndNote Bibliography Char"/>
    <w:basedOn w:val="DefaultParagraphFont"/>
    <w:link w:val="EndNoteBibliography"/>
    <w:rsid w:val="00893654"/>
    <w:rPr>
      <w:rFonts w:cs="Segoe U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JD">
    <w:name w:val="Header1_JD"/>
    <w:basedOn w:val="NoSpacing"/>
    <w:qFormat/>
    <w:rsid w:val="00504034"/>
    <w:rPr>
      <w:rFonts w:asciiTheme="minorHAnsi" w:hAnsiTheme="minorHAnsi"/>
      <w:b/>
      <w:sz w:val="28"/>
      <w:lang w:val="en-GB"/>
    </w:rPr>
  </w:style>
  <w:style w:type="paragraph" w:styleId="NoSpacing">
    <w:name w:val="No Spacing"/>
    <w:link w:val="NoSpacingChar"/>
    <w:uiPriority w:val="1"/>
    <w:qFormat/>
    <w:rsid w:val="00504034"/>
    <w:pPr>
      <w:spacing w:after="0" w:line="240" w:lineRule="auto"/>
    </w:pPr>
  </w:style>
  <w:style w:type="character" w:customStyle="1" w:styleId="NoSpacingChar">
    <w:name w:val="No Spacing Char"/>
    <w:basedOn w:val="DefaultParagraphFont"/>
    <w:link w:val="NoSpacing"/>
    <w:uiPriority w:val="1"/>
    <w:qFormat/>
    <w:rsid w:val="00BD4D34"/>
  </w:style>
  <w:style w:type="table" w:styleId="TableGrid">
    <w:name w:val="Table Grid"/>
    <w:basedOn w:val="TableNormal"/>
    <w:uiPriority w:val="59"/>
    <w:rsid w:val="00BD4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Calibri12">
    <w:name w:val="Kop Calibri 12"/>
    <w:basedOn w:val="NoSpacing"/>
    <w:qFormat/>
    <w:rsid w:val="00BD4D34"/>
    <w:rPr>
      <w:rFonts w:asciiTheme="minorHAnsi" w:hAnsiTheme="minorHAnsi"/>
      <w:b/>
      <w:sz w:val="24"/>
    </w:rPr>
  </w:style>
  <w:style w:type="paragraph" w:customStyle="1" w:styleId="EndNoteBibliographyTitle">
    <w:name w:val="EndNote Bibliography Title"/>
    <w:basedOn w:val="Normal"/>
    <w:link w:val="EndNoteBibliographyTitleChar"/>
    <w:rsid w:val="00893654"/>
    <w:pPr>
      <w:spacing w:after="0"/>
      <w:jc w:val="center"/>
    </w:pPr>
    <w:rPr>
      <w:rFonts w:cs="Segoe UI"/>
      <w:noProof/>
    </w:rPr>
  </w:style>
  <w:style w:type="character" w:customStyle="1" w:styleId="EndNoteBibliographyTitleChar">
    <w:name w:val="EndNote Bibliography Title Char"/>
    <w:basedOn w:val="DefaultParagraphFont"/>
    <w:link w:val="EndNoteBibliographyTitle"/>
    <w:rsid w:val="00893654"/>
    <w:rPr>
      <w:rFonts w:cs="Segoe UI"/>
      <w:noProof/>
    </w:rPr>
  </w:style>
  <w:style w:type="paragraph" w:customStyle="1" w:styleId="EndNoteBibliography">
    <w:name w:val="EndNote Bibliography"/>
    <w:basedOn w:val="Normal"/>
    <w:link w:val="EndNoteBibliographyChar"/>
    <w:rsid w:val="00893654"/>
    <w:pPr>
      <w:spacing w:line="240" w:lineRule="auto"/>
    </w:pPr>
    <w:rPr>
      <w:rFonts w:cs="Segoe UI"/>
      <w:noProof/>
    </w:rPr>
  </w:style>
  <w:style w:type="character" w:customStyle="1" w:styleId="EndNoteBibliographyChar">
    <w:name w:val="EndNote Bibliography Char"/>
    <w:basedOn w:val="DefaultParagraphFont"/>
    <w:link w:val="EndNoteBibliography"/>
    <w:rsid w:val="00893654"/>
    <w:rPr>
      <w:rFonts w:cs="Segoe U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9CAE4BE9</Template>
  <TotalTime>3</TotalTime>
  <Pages>3</Pages>
  <Words>488</Words>
  <Characters>2684</Characters>
  <Application>Microsoft Office Word</Application>
  <DocSecurity>0</DocSecurity>
  <Lines>22</Lines>
  <Paragraphs>6</Paragraphs>
  <ScaleCrop>false</ScaleCrop>
  <Company>UMC Utrecht</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Damen, J.A.A.</dc:creator>
  <cp:lastModifiedBy>Damen, J.A.A.</cp:lastModifiedBy>
  <cp:revision>4</cp:revision>
  <dcterms:created xsi:type="dcterms:W3CDTF">2018-03-20T11:07:00Z</dcterms:created>
  <dcterms:modified xsi:type="dcterms:W3CDTF">2019-01-28T14:14:00Z</dcterms:modified>
</cp:coreProperties>
</file>