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7A8" w:rsidRPr="008B43B3" w:rsidRDefault="006B27A8" w:rsidP="006B27A8">
      <w:pPr>
        <w:widowControl w:val="0"/>
        <w:autoSpaceDE w:val="0"/>
        <w:autoSpaceDN w:val="0"/>
        <w:adjustRightInd w:val="0"/>
        <w:rPr>
          <w:b/>
          <w:bCs/>
          <w:color w:val="000000"/>
          <w:szCs w:val="20"/>
          <w:lang w:eastAsia="en-US"/>
        </w:rPr>
      </w:pPr>
      <w:bookmarkStart w:id="0" w:name="_GoBack"/>
      <w:bookmarkEnd w:id="0"/>
      <w:r w:rsidRPr="008B43B3">
        <w:rPr>
          <w:b/>
          <w:bCs/>
          <w:color w:val="000000"/>
          <w:szCs w:val="20"/>
          <w:lang w:eastAsia="en-US"/>
        </w:rPr>
        <w:t>Additional File 1</w:t>
      </w:r>
      <w:r w:rsidR="0048624C">
        <w:rPr>
          <w:b/>
          <w:bCs/>
          <w:color w:val="000000"/>
          <w:szCs w:val="20"/>
          <w:lang w:eastAsia="en-US"/>
        </w:rPr>
        <w:t xml:space="preserve"> - </w:t>
      </w:r>
      <w:r w:rsidR="00B973B2">
        <w:rPr>
          <w:b/>
          <w:bCs/>
          <w:color w:val="000000"/>
          <w:szCs w:val="20"/>
          <w:lang w:eastAsia="en-US"/>
        </w:rPr>
        <w:t xml:space="preserve">Supplementary </w:t>
      </w:r>
      <w:r w:rsidR="0048624C">
        <w:rPr>
          <w:b/>
          <w:bCs/>
          <w:color w:val="000000"/>
          <w:szCs w:val="20"/>
          <w:lang w:eastAsia="en-US"/>
        </w:rPr>
        <w:t>Methods</w:t>
      </w:r>
    </w:p>
    <w:p w:rsidR="006B27A8" w:rsidRPr="00A16FC3" w:rsidRDefault="006B27A8" w:rsidP="006B27A8">
      <w:pPr>
        <w:pStyle w:val="TOC1"/>
        <w:rPr>
          <w:sz w:val="20"/>
          <w:szCs w:val="20"/>
        </w:rPr>
      </w:pPr>
    </w:p>
    <w:p w:rsidR="006B27A8" w:rsidRPr="00D33635" w:rsidRDefault="006B27A8" w:rsidP="006B27A8">
      <w:pPr>
        <w:pStyle w:val="Heading1"/>
        <w:rPr>
          <w:rFonts w:cs="Times New Roman"/>
          <w:color w:val="00B050"/>
        </w:rPr>
      </w:pPr>
      <w:bookmarkStart w:id="1" w:name="_Toc517269221"/>
      <w:r w:rsidRPr="00D33635">
        <w:rPr>
          <w:rFonts w:eastAsia="Cambria" w:cs="Times New Roman"/>
        </w:rPr>
        <w:t xml:space="preserve">Methods </w:t>
      </w:r>
      <w:r>
        <w:rPr>
          <w:rFonts w:eastAsia="Cambria" w:cs="Times New Roman"/>
        </w:rPr>
        <w:t>S</w:t>
      </w:r>
      <w:r w:rsidRPr="00D33635">
        <w:rPr>
          <w:rFonts w:eastAsia="Cambria" w:cs="Times New Roman"/>
        </w:rPr>
        <w:t xml:space="preserve">1. </w:t>
      </w:r>
      <w:r w:rsidRPr="00D33635">
        <w:rPr>
          <w:rFonts w:cs="Times New Roman"/>
          <w:b w:val="0"/>
        </w:rPr>
        <w:t>List of the 36 chronic conditions included within the definition of multimorbidity</w:t>
      </w:r>
      <w:bookmarkEnd w:id="1"/>
    </w:p>
    <w:tbl>
      <w:tblPr>
        <w:tblpPr w:leftFromText="180" w:rightFromText="180" w:vertAnchor="text" w:horzAnchor="page" w:tblpX="1210" w:tblpY="103"/>
        <w:tblW w:w="9892" w:type="dxa"/>
        <w:tblLook w:val="04A0" w:firstRow="1" w:lastRow="0" w:firstColumn="1" w:lastColumn="0" w:noHBand="0" w:noVBand="1"/>
      </w:tblPr>
      <w:tblGrid>
        <w:gridCol w:w="9892"/>
      </w:tblGrid>
      <w:tr w:rsidR="006B27A8" w:rsidRPr="00D33635" w:rsidTr="00C110B6">
        <w:trPr>
          <w:trHeight w:val="20"/>
        </w:trPr>
        <w:tc>
          <w:tcPr>
            <w:tcW w:w="9892" w:type="dxa"/>
            <w:tcBorders>
              <w:top w:val="nil"/>
              <w:left w:val="nil"/>
              <w:bottom w:val="nil"/>
              <w:right w:val="nil"/>
            </w:tcBorders>
            <w:shd w:val="clear" w:color="auto" w:fill="auto"/>
            <w:noWrap/>
            <w:vAlign w:val="bottom"/>
            <w:hideMark/>
          </w:tcPr>
          <w:p w:rsidR="006B27A8" w:rsidRPr="00D33635" w:rsidRDefault="006B27A8" w:rsidP="00AD4B82">
            <w:pPr>
              <w:numPr>
                <w:ilvl w:val="0"/>
                <w:numId w:val="1"/>
              </w:numPr>
              <w:ind w:left="714" w:hanging="357"/>
              <w:contextualSpacing/>
              <w:rPr>
                <w:rFonts w:eastAsia="Times New Roman"/>
                <w:color w:val="000000"/>
                <w:sz w:val="22"/>
                <w:szCs w:val="22"/>
              </w:rPr>
            </w:pPr>
            <w:r w:rsidRPr="00D33635">
              <w:rPr>
                <w:rFonts w:eastAsia="Times New Roman"/>
                <w:color w:val="000000"/>
                <w:sz w:val="22"/>
                <w:szCs w:val="22"/>
              </w:rPr>
              <w:t xml:space="preserve">Anaemia </w:t>
            </w:r>
          </w:p>
        </w:tc>
      </w:tr>
      <w:tr w:rsidR="006B27A8" w:rsidRPr="00D33635" w:rsidTr="00C110B6">
        <w:trPr>
          <w:trHeight w:val="20"/>
        </w:trPr>
        <w:tc>
          <w:tcPr>
            <w:tcW w:w="9892" w:type="dxa"/>
            <w:tcBorders>
              <w:top w:val="nil"/>
              <w:left w:val="nil"/>
              <w:bottom w:val="nil"/>
              <w:right w:val="nil"/>
            </w:tcBorders>
            <w:shd w:val="clear" w:color="auto" w:fill="auto"/>
            <w:noWrap/>
            <w:vAlign w:val="bottom"/>
            <w:hideMark/>
          </w:tcPr>
          <w:p w:rsidR="006B27A8" w:rsidRPr="00D33635" w:rsidRDefault="006B27A8" w:rsidP="00AD4B82">
            <w:pPr>
              <w:numPr>
                <w:ilvl w:val="0"/>
                <w:numId w:val="1"/>
              </w:numPr>
              <w:contextualSpacing/>
              <w:rPr>
                <w:rFonts w:eastAsia="Times New Roman"/>
                <w:color w:val="000000"/>
                <w:sz w:val="22"/>
                <w:szCs w:val="22"/>
              </w:rPr>
            </w:pPr>
            <w:r w:rsidRPr="00D33635">
              <w:rPr>
                <w:rFonts w:eastAsia="Times New Roman"/>
                <w:color w:val="000000"/>
                <w:sz w:val="22"/>
                <w:szCs w:val="22"/>
              </w:rPr>
              <w:t xml:space="preserve">Angina </w:t>
            </w:r>
          </w:p>
        </w:tc>
      </w:tr>
      <w:tr w:rsidR="006B27A8" w:rsidRPr="00D33635" w:rsidTr="00C110B6">
        <w:trPr>
          <w:trHeight w:val="20"/>
        </w:trPr>
        <w:tc>
          <w:tcPr>
            <w:tcW w:w="9892" w:type="dxa"/>
            <w:tcBorders>
              <w:top w:val="nil"/>
              <w:left w:val="nil"/>
              <w:bottom w:val="nil"/>
              <w:right w:val="nil"/>
            </w:tcBorders>
            <w:shd w:val="clear" w:color="auto" w:fill="auto"/>
            <w:noWrap/>
            <w:vAlign w:val="bottom"/>
            <w:hideMark/>
          </w:tcPr>
          <w:p w:rsidR="006B27A8" w:rsidRPr="00D33635" w:rsidRDefault="006B27A8" w:rsidP="00AD4B82">
            <w:pPr>
              <w:numPr>
                <w:ilvl w:val="0"/>
                <w:numId w:val="1"/>
              </w:numPr>
              <w:contextualSpacing/>
              <w:rPr>
                <w:rFonts w:eastAsia="Times New Roman"/>
                <w:color w:val="000000"/>
                <w:sz w:val="22"/>
                <w:szCs w:val="22"/>
              </w:rPr>
            </w:pPr>
            <w:r w:rsidRPr="00D33635">
              <w:rPr>
                <w:rFonts w:eastAsia="Times New Roman"/>
                <w:color w:val="000000"/>
                <w:sz w:val="22"/>
                <w:szCs w:val="22"/>
              </w:rPr>
              <w:t>Anxiety or panic attacks</w:t>
            </w:r>
          </w:p>
        </w:tc>
      </w:tr>
      <w:tr w:rsidR="006B27A8" w:rsidRPr="00D33635" w:rsidTr="00C110B6">
        <w:trPr>
          <w:trHeight w:val="20"/>
        </w:trPr>
        <w:tc>
          <w:tcPr>
            <w:tcW w:w="9892" w:type="dxa"/>
            <w:tcBorders>
              <w:top w:val="nil"/>
              <w:left w:val="nil"/>
              <w:bottom w:val="nil"/>
              <w:right w:val="nil"/>
            </w:tcBorders>
            <w:shd w:val="clear" w:color="auto" w:fill="auto"/>
            <w:noWrap/>
            <w:vAlign w:val="bottom"/>
            <w:hideMark/>
          </w:tcPr>
          <w:p w:rsidR="006B27A8" w:rsidRPr="00D33635" w:rsidRDefault="006B27A8" w:rsidP="00AD4B82">
            <w:pPr>
              <w:numPr>
                <w:ilvl w:val="0"/>
                <w:numId w:val="1"/>
              </w:numPr>
              <w:contextualSpacing/>
              <w:rPr>
                <w:rFonts w:eastAsia="Times New Roman"/>
                <w:color w:val="000000"/>
                <w:sz w:val="22"/>
                <w:szCs w:val="22"/>
              </w:rPr>
            </w:pPr>
            <w:r w:rsidRPr="00D33635">
              <w:rPr>
                <w:rFonts w:eastAsia="Times New Roman"/>
                <w:color w:val="000000"/>
                <w:sz w:val="22"/>
                <w:szCs w:val="22"/>
              </w:rPr>
              <w:t xml:space="preserve">Asthma </w:t>
            </w:r>
          </w:p>
        </w:tc>
      </w:tr>
      <w:tr w:rsidR="006B27A8" w:rsidRPr="00D33635" w:rsidTr="00C110B6">
        <w:trPr>
          <w:trHeight w:val="20"/>
        </w:trPr>
        <w:tc>
          <w:tcPr>
            <w:tcW w:w="9892" w:type="dxa"/>
            <w:tcBorders>
              <w:top w:val="nil"/>
              <w:left w:val="nil"/>
              <w:bottom w:val="nil"/>
              <w:right w:val="nil"/>
            </w:tcBorders>
            <w:shd w:val="clear" w:color="auto" w:fill="auto"/>
            <w:noWrap/>
            <w:vAlign w:val="bottom"/>
            <w:hideMark/>
          </w:tcPr>
          <w:p w:rsidR="006B27A8" w:rsidRPr="00D33635" w:rsidRDefault="006B27A8" w:rsidP="00AD4B82">
            <w:pPr>
              <w:numPr>
                <w:ilvl w:val="0"/>
                <w:numId w:val="1"/>
              </w:numPr>
              <w:contextualSpacing/>
              <w:rPr>
                <w:rFonts w:eastAsia="Times New Roman"/>
                <w:color w:val="000000"/>
                <w:sz w:val="22"/>
                <w:szCs w:val="22"/>
              </w:rPr>
            </w:pPr>
            <w:r w:rsidRPr="00D33635">
              <w:rPr>
                <w:rFonts w:eastAsia="Times New Roman"/>
                <w:color w:val="000000"/>
                <w:sz w:val="22"/>
                <w:szCs w:val="22"/>
              </w:rPr>
              <w:t xml:space="preserve">Atrial fibrillation </w:t>
            </w:r>
          </w:p>
        </w:tc>
      </w:tr>
      <w:tr w:rsidR="006B27A8" w:rsidRPr="00D33635" w:rsidTr="00C110B6">
        <w:trPr>
          <w:trHeight w:val="20"/>
        </w:trPr>
        <w:tc>
          <w:tcPr>
            <w:tcW w:w="9892" w:type="dxa"/>
            <w:tcBorders>
              <w:top w:val="nil"/>
              <w:left w:val="nil"/>
              <w:bottom w:val="nil"/>
              <w:right w:val="nil"/>
            </w:tcBorders>
            <w:shd w:val="clear" w:color="auto" w:fill="auto"/>
            <w:noWrap/>
            <w:vAlign w:val="bottom"/>
            <w:hideMark/>
          </w:tcPr>
          <w:p w:rsidR="006B27A8" w:rsidRPr="00D33635" w:rsidRDefault="006B27A8" w:rsidP="00AD4B82">
            <w:pPr>
              <w:numPr>
                <w:ilvl w:val="0"/>
                <w:numId w:val="1"/>
              </w:numPr>
              <w:contextualSpacing/>
              <w:rPr>
                <w:rFonts w:eastAsia="Times New Roman"/>
                <w:color w:val="000000"/>
                <w:sz w:val="22"/>
                <w:szCs w:val="22"/>
              </w:rPr>
            </w:pPr>
            <w:r w:rsidRPr="00D33635">
              <w:rPr>
                <w:rFonts w:eastAsia="Times New Roman"/>
                <w:color w:val="000000"/>
                <w:sz w:val="22"/>
                <w:szCs w:val="22"/>
              </w:rPr>
              <w:t xml:space="preserve">Bronchiectasis </w:t>
            </w:r>
          </w:p>
        </w:tc>
      </w:tr>
      <w:tr w:rsidR="006B27A8" w:rsidRPr="00D33635" w:rsidTr="00C110B6">
        <w:trPr>
          <w:trHeight w:val="20"/>
        </w:trPr>
        <w:tc>
          <w:tcPr>
            <w:tcW w:w="9892" w:type="dxa"/>
            <w:tcBorders>
              <w:top w:val="nil"/>
              <w:left w:val="nil"/>
              <w:bottom w:val="nil"/>
              <w:right w:val="nil"/>
            </w:tcBorders>
            <w:shd w:val="clear" w:color="auto" w:fill="auto"/>
            <w:noWrap/>
            <w:vAlign w:val="bottom"/>
            <w:hideMark/>
          </w:tcPr>
          <w:p w:rsidR="006B27A8" w:rsidRPr="00D33635" w:rsidRDefault="006B27A8" w:rsidP="00AD4B82">
            <w:pPr>
              <w:numPr>
                <w:ilvl w:val="0"/>
                <w:numId w:val="1"/>
              </w:numPr>
              <w:contextualSpacing/>
              <w:rPr>
                <w:rFonts w:eastAsia="Times New Roman"/>
                <w:color w:val="000000"/>
                <w:sz w:val="22"/>
                <w:szCs w:val="22"/>
              </w:rPr>
            </w:pPr>
            <w:r w:rsidRPr="00D33635">
              <w:rPr>
                <w:rFonts w:eastAsia="Times New Roman"/>
                <w:color w:val="000000"/>
                <w:sz w:val="22"/>
                <w:szCs w:val="22"/>
              </w:rPr>
              <w:t xml:space="preserve">Cancer </w:t>
            </w:r>
          </w:p>
        </w:tc>
      </w:tr>
      <w:tr w:rsidR="006B27A8" w:rsidRPr="00D33635" w:rsidTr="00C110B6">
        <w:trPr>
          <w:trHeight w:val="20"/>
        </w:trPr>
        <w:tc>
          <w:tcPr>
            <w:tcW w:w="9892" w:type="dxa"/>
            <w:tcBorders>
              <w:top w:val="nil"/>
              <w:left w:val="nil"/>
              <w:bottom w:val="nil"/>
              <w:right w:val="nil"/>
            </w:tcBorders>
            <w:shd w:val="clear" w:color="auto" w:fill="auto"/>
            <w:noWrap/>
            <w:vAlign w:val="bottom"/>
            <w:hideMark/>
          </w:tcPr>
          <w:p w:rsidR="006B27A8" w:rsidRPr="00D33635" w:rsidRDefault="006B27A8" w:rsidP="00AD4B82">
            <w:pPr>
              <w:numPr>
                <w:ilvl w:val="0"/>
                <w:numId w:val="1"/>
              </w:numPr>
              <w:contextualSpacing/>
              <w:rPr>
                <w:rFonts w:eastAsia="Times New Roman"/>
                <w:color w:val="000000"/>
                <w:sz w:val="22"/>
                <w:szCs w:val="22"/>
              </w:rPr>
            </w:pPr>
            <w:r w:rsidRPr="00D33635">
              <w:rPr>
                <w:rFonts w:eastAsia="Times New Roman"/>
                <w:color w:val="000000"/>
                <w:sz w:val="22"/>
                <w:szCs w:val="22"/>
              </w:rPr>
              <w:t xml:space="preserve">Chronic kidney disease </w:t>
            </w:r>
          </w:p>
        </w:tc>
      </w:tr>
      <w:tr w:rsidR="006B27A8" w:rsidRPr="00D33635" w:rsidTr="00C110B6">
        <w:trPr>
          <w:trHeight w:val="20"/>
        </w:trPr>
        <w:tc>
          <w:tcPr>
            <w:tcW w:w="9892" w:type="dxa"/>
            <w:tcBorders>
              <w:top w:val="nil"/>
              <w:left w:val="nil"/>
              <w:bottom w:val="nil"/>
              <w:right w:val="nil"/>
            </w:tcBorders>
            <w:shd w:val="clear" w:color="auto" w:fill="auto"/>
            <w:noWrap/>
            <w:vAlign w:val="bottom"/>
            <w:hideMark/>
          </w:tcPr>
          <w:p w:rsidR="006B27A8" w:rsidRPr="00D33635" w:rsidRDefault="006B27A8" w:rsidP="00AD4B82">
            <w:pPr>
              <w:numPr>
                <w:ilvl w:val="0"/>
                <w:numId w:val="1"/>
              </w:numPr>
              <w:contextualSpacing/>
              <w:rPr>
                <w:rFonts w:eastAsia="Times New Roman"/>
                <w:color w:val="000000"/>
                <w:sz w:val="22"/>
                <w:szCs w:val="22"/>
              </w:rPr>
            </w:pPr>
            <w:r w:rsidRPr="00D33635">
              <w:rPr>
                <w:rFonts w:eastAsia="Times New Roman"/>
                <w:color w:val="000000"/>
                <w:sz w:val="22"/>
                <w:szCs w:val="22"/>
              </w:rPr>
              <w:t xml:space="preserve">Chronic obstructive pulmonary disease </w:t>
            </w:r>
          </w:p>
        </w:tc>
      </w:tr>
      <w:tr w:rsidR="006B27A8" w:rsidRPr="00D33635" w:rsidTr="00C110B6">
        <w:trPr>
          <w:trHeight w:val="20"/>
        </w:trPr>
        <w:tc>
          <w:tcPr>
            <w:tcW w:w="9892" w:type="dxa"/>
            <w:tcBorders>
              <w:top w:val="nil"/>
              <w:left w:val="nil"/>
              <w:bottom w:val="nil"/>
              <w:right w:val="nil"/>
            </w:tcBorders>
            <w:shd w:val="clear" w:color="auto" w:fill="auto"/>
            <w:noWrap/>
            <w:vAlign w:val="bottom"/>
            <w:hideMark/>
          </w:tcPr>
          <w:p w:rsidR="006B27A8" w:rsidRPr="00D33635" w:rsidRDefault="006B27A8" w:rsidP="00AD4B82">
            <w:pPr>
              <w:numPr>
                <w:ilvl w:val="0"/>
                <w:numId w:val="1"/>
              </w:numPr>
              <w:contextualSpacing/>
              <w:rPr>
                <w:rFonts w:eastAsia="Times New Roman"/>
                <w:color w:val="000000"/>
                <w:sz w:val="22"/>
                <w:szCs w:val="22"/>
              </w:rPr>
            </w:pPr>
            <w:r w:rsidRPr="00D33635">
              <w:rPr>
                <w:rFonts w:eastAsia="Times New Roman"/>
                <w:color w:val="000000"/>
                <w:sz w:val="22"/>
                <w:szCs w:val="22"/>
              </w:rPr>
              <w:t xml:space="preserve">Chronic sinusitis </w:t>
            </w:r>
          </w:p>
        </w:tc>
      </w:tr>
      <w:tr w:rsidR="006B27A8" w:rsidRPr="00D33635" w:rsidTr="00C110B6">
        <w:trPr>
          <w:trHeight w:val="20"/>
        </w:trPr>
        <w:tc>
          <w:tcPr>
            <w:tcW w:w="9892" w:type="dxa"/>
            <w:tcBorders>
              <w:top w:val="nil"/>
              <w:left w:val="nil"/>
              <w:bottom w:val="nil"/>
              <w:right w:val="nil"/>
            </w:tcBorders>
            <w:shd w:val="clear" w:color="auto" w:fill="auto"/>
            <w:noWrap/>
            <w:vAlign w:val="bottom"/>
            <w:hideMark/>
          </w:tcPr>
          <w:p w:rsidR="006B27A8" w:rsidRPr="00D33635" w:rsidRDefault="006B27A8" w:rsidP="00AD4B82">
            <w:pPr>
              <w:numPr>
                <w:ilvl w:val="0"/>
                <w:numId w:val="1"/>
              </w:numPr>
              <w:contextualSpacing/>
              <w:rPr>
                <w:rFonts w:eastAsia="Times New Roman"/>
                <w:color w:val="000000"/>
                <w:sz w:val="22"/>
                <w:szCs w:val="22"/>
              </w:rPr>
            </w:pPr>
            <w:r w:rsidRPr="00D33635">
              <w:rPr>
                <w:rFonts w:eastAsia="Times New Roman"/>
                <w:color w:val="000000"/>
                <w:sz w:val="22"/>
                <w:szCs w:val="22"/>
              </w:rPr>
              <w:t>Cirrhosis</w:t>
            </w:r>
          </w:p>
        </w:tc>
      </w:tr>
      <w:tr w:rsidR="006B27A8" w:rsidRPr="00D33635" w:rsidTr="00C110B6">
        <w:trPr>
          <w:trHeight w:val="20"/>
        </w:trPr>
        <w:tc>
          <w:tcPr>
            <w:tcW w:w="9892" w:type="dxa"/>
            <w:tcBorders>
              <w:top w:val="nil"/>
              <w:left w:val="nil"/>
              <w:bottom w:val="nil"/>
              <w:right w:val="nil"/>
            </w:tcBorders>
            <w:shd w:val="clear" w:color="auto" w:fill="auto"/>
            <w:noWrap/>
            <w:vAlign w:val="bottom"/>
            <w:hideMark/>
          </w:tcPr>
          <w:p w:rsidR="006B27A8" w:rsidRPr="00D33635" w:rsidRDefault="006B27A8" w:rsidP="00AD4B82">
            <w:pPr>
              <w:numPr>
                <w:ilvl w:val="0"/>
                <w:numId w:val="1"/>
              </w:numPr>
              <w:contextualSpacing/>
              <w:rPr>
                <w:rFonts w:eastAsia="Times New Roman"/>
                <w:color w:val="000000"/>
                <w:sz w:val="22"/>
                <w:szCs w:val="22"/>
              </w:rPr>
            </w:pPr>
            <w:r w:rsidRPr="00D33635">
              <w:rPr>
                <w:rFonts w:eastAsia="Times New Roman"/>
                <w:color w:val="000000"/>
                <w:sz w:val="22"/>
                <w:szCs w:val="22"/>
              </w:rPr>
              <w:t xml:space="preserve">Dementia </w:t>
            </w:r>
          </w:p>
        </w:tc>
      </w:tr>
      <w:tr w:rsidR="006B27A8" w:rsidRPr="00D33635" w:rsidTr="00C110B6">
        <w:trPr>
          <w:trHeight w:val="20"/>
        </w:trPr>
        <w:tc>
          <w:tcPr>
            <w:tcW w:w="9892" w:type="dxa"/>
            <w:tcBorders>
              <w:top w:val="nil"/>
              <w:left w:val="nil"/>
              <w:bottom w:val="nil"/>
              <w:right w:val="nil"/>
            </w:tcBorders>
            <w:shd w:val="clear" w:color="auto" w:fill="auto"/>
            <w:noWrap/>
            <w:vAlign w:val="bottom"/>
            <w:hideMark/>
          </w:tcPr>
          <w:p w:rsidR="006B27A8" w:rsidRPr="00D33635" w:rsidRDefault="006B27A8" w:rsidP="00AD4B82">
            <w:pPr>
              <w:numPr>
                <w:ilvl w:val="0"/>
                <w:numId w:val="1"/>
              </w:numPr>
              <w:contextualSpacing/>
              <w:rPr>
                <w:rFonts w:eastAsia="Times New Roman"/>
                <w:color w:val="000000"/>
                <w:sz w:val="22"/>
                <w:szCs w:val="22"/>
              </w:rPr>
            </w:pPr>
            <w:r w:rsidRPr="00D33635">
              <w:rPr>
                <w:rFonts w:eastAsia="Times New Roman"/>
                <w:color w:val="000000"/>
                <w:sz w:val="22"/>
                <w:szCs w:val="22"/>
              </w:rPr>
              <w:t xml:space="preserve">Depression </w:t>
            </w:r>
          </w:p>
        </w:tc>
      </w:tr>
      <w:tr w:rsidR="006B27A8" w:rsidRPr="00D33635" w:rsidTr="00C110B6">
        <w:trPr>
          <w:trHeight w:val="20"/>
        </w:trPr>
        <w:tc>
          <w:tcPr>
            <w:tcW w:w="9892" w:type="dxa"/>
            <w:tcBorders>
              <w:top w:val="nil"/>
              <w:left w:val="nil"/>
              <w:bottom w:val="nil"/>
              <w:right w:val="nil"/>
            </w:tcBorders>
            <w:shd w:val="clear" w:color="auto" w:fill="auto"/>
            <w:noWrap/>
            <w:vAlign w:val="bottom"/>
            <w:hideMark/>
          </w:tcPr>
          <w:p w:rsidR="006B27A8" w:rsidRPr="00D33635" w:rsidRDefault="006B27A8" w:rsidP="00AD4B82">
            <w:pPr>
              <w:numPr>
                <w:ilvl w:val="0"/>
                <w:numId w:val="1"/>
              </w:numPr>
              <w:contextualSpacing/>
              <w:rPr>
                <w:rFonts w:eastAsia="Times New Roman"/>
                <w:color w:val="000000"/>
                <w:sz w:val="22"/>
                <w:szCs w:val="22"/>
              </w:rPr>
            </w:pPr>
            <w:r w:rsidRPr="00D33635">
              <w:rPr>
                <w:rFonts w:eastAsia="Times New Roman"/>
                <w:color w:val="000000"/>
                <w:sz w:val="22"/>
                <w:szCs w:val="22"/>
              </w:rPr>
              <w:t xml:space="preserve">Diabetes </w:t>
            </w:r>
          </w:p>
        </w:tc>
      </w:tr>
      <w:tr w:rsidR="006B27A8" w:rsidRPr="00D33635" w:rsidTr="00C110B6">
        <w:trPr>
          <w:trHeight w:val="20"/>
        </w:trPr>
        <w:tc>
          <w:tcPr>
            <w:tcW w:w="9892" w:type="dxa"/>
            <w:tcBorders>
              <w:top w:val="nil"/>
              <w:left w:val="nil"/>
              <w:bottom w:val="nil"/>
              <w:right w:val="nil"/>
            </w:tcBorders>
            <w:shd w:val="clear" w:color="auto" w:fill="auto"/>
            <w:noWrap/>
            <w:vAlign w:val="bottom"/>
            <w:hideMark/>
          </w:tcPr>
          <w:p w:rsidR="006B27A8" w:rsidRPr="00D33635" w:rsidRDefault="006B27A8" w:rsidP="00AD4B82">
            <w:pPr>
              <w:numPr>
                <w:ilvl w:val="0"/>
                <w:numId w:val="1"/>
              </w:numPr>
              <w:contextualSpacing/>
              <w:rPr>
                <w:rFonts w:eastAsia="Times New Roman"/>
                <w:color w:val="000000"/>
                <w:sz w:val="22"/>
                <w:szCs w:val="22"/>
              </w:rPr>
            </w:pPr>
            <w:r w:rsidRPr="00D33635">
              <w:rPr>
                <w:rFonts w:eastAsia="Times New Roman"/>
                <w:color w:val="000000"/>
                <w:sz w:val="22"/>
                <w:szCs w:val="22"/>
              </w:rPr>
              <w:t xml:space="preserve">Eczema or dermatitis </w:t>
            </w:r>
          </w:p>
        </w:tc>
      </w:tr>
      <w:tr w:rsidR="006B27A8" w:rsidRPr="00D33635" w:rsidTr="00C110B6">
        <w:trPr>
          <w:trHeight w:val="20"/>
        </w:trPr>
        <w:tc>
          <w:tcPr>
            <w:tcW w:w="9892" w:type="dxa"/>
            <w:tcBorders>
              <w:top w:val="nil"/>
              <w:left w:val="nil"/>
              <w:bottom w:val="nil"/>
              <w:right w:val="nil"/>
            </w:tcBorders>
            <w:shd w:val="clear" w:color="auto" w:fill="auto"/>
            <w:noWrap/>
            <w:vAlign w:val="bottom"/>
            <w:hideMark/>
          </w:tcPr>
          <w:p w:rsidR="006B27A8" w:rsidRPr="00D33635" w:rsidRDefault="006B27A8" w:rsidP="00AD4B82">
            <w:pPr>
              <w:numPr>
                <w:ilvl w:val="0"/>
                <w:numId w:val="1"/>
              </w:numPr>
              <w:contextualSpacing/>
              <w:rPr>
                <w:rFonts w:eastAsia="Times New Roman"/>
                <w:color w:val="000000"/>
                <w:sz w:val="22"/>
                <w:szCs w:val="22"/>
              </w:rPr>
            </w:pPr>
            <w:r w:rsidRPr="00D33635">
              <w:rPr>
                <w:rFonts w:eastAsia="Times New Roman"/>
                <w:color w:val="000000"/>
                <w:sz w:val="22"/>
                <w:szCs w:val="22"/>
              </w:rPr>
              <w:t xml:space="preserve">Epilepsy </w:t>
            </w:r>
          </w:p>
        </w:tc>
      </w:tr>
      <w:tr w:rsidR="006B27A8" w:rsidRPr="00D33635" w:rsidTr="00C110B6">
        <w:trPr>
          <w:trHeight w:val="20"/>
        </w:trPr>
        <w:tc>
          <w:tcPr>
            <w:tcW w:w="9892" w:type="dxa"/>
            <w:tcBorders>
              <w:top w:val="nil"/>
              <w:left w:val="nil"/>
              <w:bottom w:val="nil"/>
              <w:right w:val="nil"/>
            </w:tcBorders>
            <w:shd w:val="clear" w:color="auto" w:fill="auto"/>
            <w:noWrap/>
            <w:vAlign w:val="bottom"/>
            <w:hideMark/>
          </w:tcPr>
          <w:p w:rsidR="006B27A8" w:rsidRPr="00D33635" w:rsidRDefault="006B27A8" w:rsidP="00AD4B82">
            <w:pPr>
              <w:numPr>
                <w:ilvl w:val="0"/>
                <w:numId w:val="1"/>
              </w:numPr>
              <w:contextualSpacing/>
              <w:rPr>
                <w:rFonts w:eastAsia="Times New Roman"/>
                <w:color w:val="000000"/>
                <w:sz w:val="22"/>
                <w:szCs w:val="22"/>
              </w:rPr>
            </w:pPr>
            <w:r w:rsidRPr="00D33635">
              <w:rPr>
                <w:rFonts w:eastAsia="Times New Roman"/>
                <w:color w:val="000000"/>
                <w:sz w:val="22"/>
                <w:szCs w:val="22"/>
              </w:rPr>
              <w:t xml:space="preserve">Glaucoma            </w:t>
            </w:r>
          </w:p>
        </w:tc>
      </w:tr>
      <w:tr w:rsidR="006B27A8" w:rsidRPr="00D33635" w:rsidTr="00C110B6">
        <w:trPr>
          <w:trHeight w:val="20"/>
        </w:trPr>
        <w:tc>
          <w:tcPr>
            <w:tcW w:w="9892" w:type="dxa"/>
            <w:tcBorders>
              <w:top w:val="nil"/>
              <w:left w:val="nil"/>
              <w:bottom w:val="nil"/>
              <w:right w:val="nil"/>
            </w:tcBorders>
            <w:shd w:val="clear" w:color="auto" w:fill="auto"/>
            <w:noWrap/>
            <w:vAlign w:val="bottom"/>
            <w:hideMark/>
          </w:tcPr>
          <w:p w:rsidR="006B27A8" w:rsidRPr="00D33635" w:rsidRDefault="006B27A8" w:rsidP="00AD4B82">
            <w:pPr>
              <w:numPr>
                <w:ilvl w:val="0"/>
                <w:numId w:val="1"/>
              </w:numPr>
              <w:contextualSpacing/>
              <w:rPr>
                <w:rFonts w:eastAsia="Times New Roman"/>
                <w:color w:val="000000"/>
                <w:sz w:val="22"/>
                <w:szCs w:val="22"/>
              </w:rPr>
            </w:pPr>
            <w:r w:rsidRPr="00D33635">
              <w:rPr>
                <w:rFonts w:eastAsia="Times New Roman"/>
                <w:color w:val="000000"/>
                <w:sz w:val="22"/>
                <w:szCs w:val="22"/>
              </w:rPr>
              <w:t>Heart failure</w:t>
            </w:r>
          </w:p>
        </w:tc>
      </w:tr>
      <w:tr w:rsidR="006B27A8" w:rsidRPr="00D33635" w:rsidTr="00C110B6">
        <w:trPr>
          <w:trHeight w:val="20"/>
        </w:trPr>
        <w:tc>
          <w:tcPr>
            <w:tcW w:w="9892" w:type="dxa"/>
            <w:tcBorders>
              <w:top w:val="nil"/>
              <w:left w:val="nil"/>
              <w:bottom w:val="nil"/>
              <w:right w:val="nil"/>
            </w:tcBorders>
            <w:shd w:val="clear" w:color="auto" w:fill="auto"/>
            <w:noWrap/>
            <w:vAlign w:val="bottom"/>
            <w:hideMark/>
          </w:tcPr>
          <w:p w:rsidR="006B27A8" w:rsidRPr="00D33635" w:rsidRDefault="006B27A8" w:rsidP="00AD4B82">
            <w:pPr>
              <w:numPr>
                <w:ilvl w:val="0"/>
                <w:numId w:val="1"/>
              </w:numPr>
              <w:contextualSpacing/>
              <w:rPr>
                <w:rFonts w:eastAsia="Times New Roman"/>
                <w:color w:val="000000"/>
                <w:sz w:val="22"/>
                <w:szCs w:val="22"/>
              </w:rPr>
            </w:pPr>
            <w:r w:rsidRPr="00D33635">
              <w:rPr>
                <w:rFonts w:eastAsia="Times New Roman"/>
                <w:color w:val="000000"/>
                <w:sz w:val="22"/>
                <w:szCs w:val="22"/>
              </w:rPr>
              <w:t>Hepatitis</w:t>
            </w:r>
          </w:p>
        </w:tc>
      </w:tr>
      <w:tr w:rsidR="006B27A8" w:rsidRPr="00D33635" w:rsidTr="00C110B6">
        <w:trPr>
          <w:trHeight w:val="20"/>
        </w:trPr>
        <w:tc>
          <w:tcPr>
            <w:tcW w:w="9892" w:type="dxa"/>
            <w:tcBorders>
              <w:top w:val="nil"/>
              <w:left w:val="nil"/>
              <w:bottom w:val="nil"/>
              <w:right w:val="nil"/>
            </w:tcBorders>
            <w:shd w:val="clear" w:color="auto" w:fill="auto"/>
            <w:noWrap/>
            <w:vAlign w:val="bottom"/>
            <w:hideMark/>
          </w:tcPr>
          <w:p w:rsidR="006B27A8" w:rsidRPr="00D33635" w:rsidRDefault="006B27A8" w:rsidP="00AD4B82">
            <w:pPr>
              <w:numPr>
                <w:ilvl w:val="0"/>
                <w:numId w:val="1"/>
              </w:numPr>
              <w:contextualSpacing/>
              <w:rPr>
                <w:rFonts w:eastAsia="Times New Roman"/>
                <w:color w:val="000000"/>
                <w:sz w:val="22"/>
                <w:szCs w:val="22"/>
              </w:rPr>
            </w:pPr>
            <w:r w:rsidRPr="00D33635">
              <w:rPr>
                <w:rFonts w:eastAsia="Times New Roman"/>
                <w:color w:val="000000"/>
                <w:sz w:val="22"/>
                <w:szCs w:val="22"/>
              </w:rPr>
              <w:t xml:space="preserve">Hypertension </w:t>
            </w:r>
          </w:p>
        </w:tc>
      </w:tr>
      <w:tr w:rsidR="006B27A8" w:rsidRPr="00D33635" w:rsidTr="00C110B6">
        <w:trPr>
          <w:trHeight w:val="20"/>
        </w:trPr>
        <w:tc>
          <w:tcPr>
            <w:tcW w:w="9892" w:type="dxa"/>
            <w:tcBorders>
              <w:top w:val="nil"/>
              <w:left w:val="nil"/>
              <w:bottom w:val="nil"/>
              <w:right w:val="nil"/>
            </w:tcBorders>
            <w:shd w:val="clear" w:color="auto" w:fill="auto"/>
            <w:noWrap/>
            <w:vAlign w:val="bottom"/>
            <w:hideMark/>
          </w:tcPr>
          <w:p w:rsidR="006B27A8" w:rsidRPr="00D33635" w:rsidRDefault="006B27A8" w:rsidP="00AD4B82">
            <w:pPr>
              <w:numPr>
                <w:ilvl w:val="0"/>
                <w:numId w:val="1"/>
              </w:numPr>
              <w:contextualSpacing/>
              <w:rPr>
                <w:rFonts w:eastAsia="Times New Roman"/>
                <w:color w:val="000000"/>
                <w:sz w:val="22"/>
                <w:szCs w:val="22"/>
              </w:rPr>
            </w:pPr>
            <w:r w:rsidRPr="00D33635">
              <w:rPr>
                <w:rFonts w:eastAsia="Times New Roman"/>
                <w:color w:val="000000"/>
                <w:sz w:val="22"/>
                <w:szCs w:val="22"/>
              </w:rPr>
              <w:t>Inflammatory bowel disease</w:t>
            </w:r>
          </w:p>
        </w:tc>
      </w:tr>
      <w:tr w:rsidR="006B27A8" w:rsidRPr="00D33635" w:rsidTr="00C110B6">
        <w:trPr>
          <w:trHeight w:val="20"/>
        </w:trPr>
        <w:tc>
          <w:tcPr>
            <w:tcW w:w="9892" w:type="dxa"/>
            <w:tcBorders>
              <w:top w:val="nil"/>
              <w:left w:val="nil"/>
              <w:bottom w:val="nil"/>
              <w:right w:val="nil"/>
            </w:tcBorders>
            <w:shd w:val="clear" w:color="auto" w:fill="auto"/>
            <w:noWrap/>
            <w:vAlign w:val="bottom"/>
            <w:hideMark/>
          </w:tcPr>
          <w:p w:rsidR="006B27A8" w:rsidRPr="00D33635" w:rsidRDefault="006B27A8" w:rsidP="00AD4B82">
            <w:pPr>
              <w:numPr>
                <w:ilvl w:val="0"/>
                <w:numId w:val="1"/>
              </w:numPr>
              <w:contextualSpacing/>
              <w:rPr>
                <w:rFonts w:eastAsia="Times New Roman"/>
                <w:color w:val="000000"/>
                <w:sz w:val="22"/>
                <w:szCs w:val="22"/>
              </w:rPr>
            </w:pPr>
            <w:r w:rsidRPr="00D33635">
              <w:rPr>
                <w:rFonts w:eastAsia="Times New Roman"/>
                <w:color w:val="000000"/>
                <w:sz w:val="22"/>
                <w:szCs w:val="22"/>
              </w:rPr>
              <w:t xml:space="preserve">Irritable bowel syndrome </w:t>
            </w:r>
          </w:p>
        </w:tc>
      </w:tr>
      <w:tr w:rsidR="006B27A8" w:rsidRPr="00D33635" w:rsidTr="00C110B6">
        <w:trPr>
          <w:trHeight w:val="20"/>
        </w:trPr>
        <w:tc>
          <w:tcPr>
            <w:tcW w:w="9892" w:type="dxa"/>
            <w:tcBorders>
              <w:top w:val="nil"/>
              <w:left w:val="nil"/>
              <w:bottom w:val="nil"/>
              <w:right w:val="nil"/>
            </w:tcBorders>
            <w:shd w:val="clear" w:color="auto" w:fill="auto"/>
            <w:noWrap/>
            <w:vAlign w:val="bottom"/>
            <w:hideMark/>
          </w:tcPr>
          <w:p w:rsidR="006B27A8" w:rsidRPr="00D33635" w:rsidRDefault="006B27A8" w:rsidP="00AD4B82">
            <w:pPr>
              <w:numPr>
                <w:ilvl w:val="0"/>
                <w:numId w:val="1"/>
              </w:numPr>
              <w:contextualSpacing/>
              <w:rPr>
                <w:rFonts w:eastAsia="Times New Roman"/>
                <w:color w:val="000000"/>
                <w:sz w:val="22"/>
                <w:szCs w:val="22"/>
              </w:rPr>
            </w:pPr>
            <w:r w:rsidRPr="00D33635">
              <w:rPr>
                <w:rFonts w:eastAsia="Times New Roman"/>
                <w:color w:val="000000"/>
                <w:sz w:val="22"/>
                <w:szCs w:val="22"/>
              </w:rPr>
              <w:t xml:space="preserve">Meningitis </w:t>
            </w:r>
          </w:p>
        </w:tc>
      </w:tr>
      <w:tr w:rsidR="006B27A8" w:rsidRPr="00D33635" w:rsidTr="00C110B6">
        <w:trPr>
          <w:trHeight w:val="20"/>
        </w:trPr>
        <w:tc>
          <w:tcPr>
            <w:tcW w:w="9892" w:type="dxa"/>
            <w:tcBorders>
              <w:top w:val="nil"/>
              <w:left w:val="nil"/>
              <w:bottom w:val="nil"/>
              <w:right w:val="nil"/>
            </w:tcBorders>
            <w:shd w:val="clear" w:color="auto" w:fill="auto"/>
            <w:noWrap/>
            <w:vAlign w:val="bottom"/>
            <w:hideMark/>
          </w:tcPr>
          <w:p w:rsidR="006B27A8" w:rsidRPr="00D33635" w:rsidRDefault="006B27A8" w:rsidP="00AD4B82">
            <w:pPr>
              <w:numPr>
                <w:ilvl w:val="0"/>
                <w:numId w:val="1"/>
              </w:numPr>
              <w:contextualSpacing/>
              <w:rPr>
                <w:rFonts w:eastAsia="Times New Roman"/>
                <w:color w:val="000000"/>
                <w:sz w:val="22"/>
                <w:szCs w:val="22"/>
              </w:rPr>
            </w:pPr>
            <w:r w:rsidRPr="00D33635">
              <w:rPr>
                <w:rFonts w:eastAsia="Times New Roman"/>
                <w:color w:val="000000"/>
                <w:sz w:val="22"/>
                <w:szCs w:val="22"/>
              </w:rPr>
              <w:t xml:space="preserve">Migraine </w:t>
            </w:r>
          </w:p>
        </w:tc>
      </w:tr>
      <w:tr w:rsidR="006B27A8" w:rsidRPr="00D33635" w:rsidTr="00C110B6">
        <w:trPr>
          <w:trHeight w:val="20"/>
        </w:trPr>
        <w:tc>
          <w:tcPr>
            <w:tcW w:w="9892" w:type="dxa"/>
            <w:tcBorders>
              <w:top w:val="nil"/>
              <w:left w:val="nil"/>
              <w:bottom w:val="nil"/>
              <w:right w:val="nil"/>
            </w:tcBorders>
            <w:shd w:val="clear" w:color="auto" w:fill="auto"/>
            <w:noWrap/>
            <w:vAlign w:val="bottom"/>
            <w:hideMark/>
          </w:tcPr>
          <w:p w:rsidR="006B27A8" w:rsidRPr="00D33635" w:rsidRDefault="006B27A8" w:rsidP="00AD4B82">
            <w:pPr>
              <w:numPr>
                <w:ilvl w:val="0"/>
                <w:numId w:val="1"/>
              </w:numPr>
              <w:contextualSpacing/>
              <w:rPr>
                <w:rFonts w:eastAsia="Times New Roman"/>
                <w:color w:val="000000"/>
                <w:sz w:val="22"/>
                <w:szCs w:val="22"/>
              </w:rPr>
            </w:pPr>
            <w:r w:rsidRPr="00D33635">
              <w:rPr>
                <w:rFonts w:eastAsia="Times New Roman"/>
                <w:color w:val="000000"/>
                <w:sz w:val="22"/>
                <w:szCs w:val="22"/>
              </w:rPr>
              <w:t xml:space="preserve">Multiple sclerosis </w:t>
            </w:r>
          </w:p>
        </w:tc>
      </w:tr>
      <w:tr w:rsidR="006B27A8" w:rsidRPr="00D33635" w:rsidTr="00C110B6">
        <w:trPr>
          <w:trHeight w:val="20"/>
        </w:trPr>
        <w:tc>
          <w:tcPr>
            <w:tcW w:w="9892" w:type="dxa"/>
            <w:tcBorders>
              <w:top w:val="nil"/>
              <w:left w:val="nil"/>
              <w:bottom w:val="nil"/>
              <w:right w:val="nil"/>
            </w:tcBorders>
            <w:shd w:val="clear" w:color="auto" w:fill="auto"/>
            <w:noWrap/>
            <w:vAlign w:val="bottom"/>
            <w:hideMark/>
          </w:tcPr>
          <w:p w:rsidR="006B27A8" w:rsidRPr="00D33635" w:rsidRDefault="006B27A8" w:rsidP="00AD4B82">
            <w:pPr>
              <w:numPr>
                <w:ilvl w:val="0"/>
                <w:numId w:val="1"/>
              </w:numPr>
              <w:contextualSpacing/>
              <w:rPr>
                <w:rFonts w:eastAsia="Times New Roman"/>
                <w:color w:val="000000"/>
                <w:sz w:val="22"/>
                <w:szCs w:val="22"/>
              </w:rPr>
            </w:pPr>
            <w:r w:rsidRPr="00D33635">
              <w:rPr>
                <w:rFonts w:eastAsia="Times New Roman"/>
                <w:color w:val="000000"/>
                <w:sz w:val="22"/>
                <w:szCs w:val="22"/>
              </w:rPr>
              <w:t xml:space="preserve">Myocardial infarction </w:t>
            </w:r>
          </w:p>
        </w:tc>
      </w:tr>
      <w:tr w:rsidR="006B27A8" w:rsidRPr="00D33635" w:rsidTr="00C110B6">
        <w:trPr>
          <w:trHeight w:val="20"/>
        </w:trPr>
        <w:tc>
          <w:tcPr>
            <w:tcW w:w="9892" w:type="dxa"/>
            <w:tcBorders>
              <w:top w:val="nil"/>
              <w:left w:val="nil"/>
              <w:bottom w:val="nil"/>
              <w:right w:val="nil"/>
            </w:tcBorders>
            <w:shd w:val="clear" w:color="auto" w:fill="auto"/>
            <w:noWrap/>
            <w:vAlign w:val="bottom"/>
            <w:hideMark/>
          </w:tcPr>
          <w:p w:rsidR="006B27A8" w:rsidRPr="00D33635" w:rsidRDefault="006B27A8" w:rsidP="00AD4B82">
            <w:pPr>
              <w:numPr>
                <w:ilvl w:val="0"/>
                <w:numId w:val="1"/>
              </w:numPr>
              <w:contextualSpacing/>
              <w:rPr>
                <w:rFonts w:eastAsia="Times New Roman"/>
                <w:color w:val="000000"/>
                <w:sz w:val="22"/>
                <w:szCs w:val="22"/>
              </w:rPr>
            </w:pPr>
            <w:r w:rsidRPr="00D33635">
              <w:rPr>
                <w:rFonts w:eastAsia="Times New Roman"/>
                <w:color w:val="000000"/>
                <w:sz w:val="22"/>
                <w:szCs w:val="22"/>
              </w:rPr>
              <w:t>Osteoporosis</w:t>
            </w:r>
          </w:p>
        </w:tc>
      </w:tr>
      <w:tr w:rsidR="006B27A8" w:rsidRPr="00D33635" w:rsidTr="00C110B6">
        <w:trPr>
          <w:trHeight w:val="20"/>
        </w:trPr>
        <w:tc>
          <w:tcPr>
            <w:tcW w:w="9892" w:type="dxa"/>
            <w:tcBorders>
              <w:top w:val="nil"/>
              <w:left w:val="nil"/>
              <w:bottom w:val="nil"/>
              <w:right w:val="nil"/>
            </w:tcBorders>
            <w:shd w:val="clear" w:color="auto" w:fill="auto"/>
            <w:noWrap/>
            <w:vAlign w:val="bottom"/>
            <w:hideMark/>
          </w:tcPr>
          <w:p w:rsidR="006B27A8" w:rsidRPr="00D33635" w:rsidRDefault="006B27A8" w:rsidP="00AD4B82">
            <w:pPr>
              <w:numPr>
                <w:ilvl w:val="0"/>
                <w:numId w:val="1"/>
              </w:numPr>
              <w:contextualSpacing/>
              <w:rPr>
                <w:rFonts w:eastAsia="Times New Roman"/>
                <w:color w:val="000000"/>
                <w:sz w:val="22"/>
                <w:szCs w:val="22"/>
              </w:rPr>
            </w:pPr>
            <w:r w:rsidRPr="00D33635">
              <w:rPr>
                <w:rFonts w:eastAsia="Times New Roman"/>
                <w:color w:val="000000"/>
                <w:sz w:val="22"/>
                <w:szCs w:val="22"/>
              </w:rPr>
              <w:t xml:space="preserve">Parkinson’s disease </w:t>
            </w:r>
          </w:p>
        </w:tc>
      </w:tr>
      <w:tr w:rsidR="006B27A8" w:rsidRPr="00D33635" w:rsidTr="00C110B6">
        <w:trPr>
          <w:trHeight w:val="20"/>
        </w:trPr>
        <w:tc>
          <w:tcPr>
            <w:tcW w:w="9892" w:type="dxa"/>
            <w:tcBorders>
              <w:top w:val="nil"/>
              <w:left w:val="nil"/>
              <w:bottom w:val="nil"/>
              <w:right w:val="nil"/>
            </w:tcBorders>
            <w:shd w:val="clear" w:color="auto" w:fill="auto"/>
            <w:noWrap/>
            <w:vAlign w:val="bottom"/>
            <w:hideMark/>
          </w:tcPr>
          <w:p w:rsidR="006B27A8" w:rsidRPr="00D33635" w:rsidRDefault="006B27A8" w:rsidP="00AD4B82">
            <w:pPr>
              <w:numPr>
                <w:ilvl w:val="0"/>
                <w:numId w:val="1"/>
              </w:numPr>
              <w:contextualSpacing/>
              <w:rPr>
                <w:rFonts w:eastAsia="Times New Roman"/>
                <w:color w:val="000000"/>
                <w:sz w:val="22"/>
                <w:szCs w:val="22"/>
              </w:rPr>
            </w:pPr>
            <w:r w:rsidRPr="00D33635">
              <w:rPr>
                <w:rFonts w:eastAsia="Times New Roman"/>
                <w:color w:val="000000"/>
                <w:sz w:val="22"/>
                <w:szCs w:val="22"/>
              </w:rPr>
              <w:t>Peripheral vascular disease</w:t>
            </w:r>
          </w:p>
        </w:tc>
      </w:tr>
      <w:tr w:rsidR="006B27A8" w:rsidRPr="00D33635" w:rsidTr="00C110B6">
        <w:trPr>
          <w:trHeight w:val="20"/>
        </w:trPr>
        <w:tc>
          <w:tcPr>
            <w:tcW w:w="9892" w:type="dxa"/>
            <w:tcBorders>
              <w:top w:val="nil"/>
              <w:left w:val="nil"/>
              <w:bottom w:val="nil"/>
              <w:right w:val="nil"/>
            </w:tcBorders>
            <w:shd w:val="clear" w:color="auto" w:fill="auto"/>
            <w:noWrap/>
            <w:vAlign w:val="bottom"/>
            <w:hideMark/>
          </w:tcPr>
          <w:p w:rsidR="006B27A8" w:rsidRPr="00D33635" w:rsidRDefault="006B27A8" w:rsidP="00AD4B82">
            <w:pPr>
              <w:numPr>
                <w:ilvl w:val="0"/>
                <w:numId w:val="1"/>
              </w:numPr>
              <w:contextualSpacing/>
              <w:rPr>
                <w:rFonts w:eastAsia="Times New Roman"/>
                <w:color w:val="000000"/>
                <w:sz w:val="22"/>
                <w:szCs w:val="22"/>
              </w:rPr>
            </w:pPr>
            <w:r w:rsidRPr="00D33635">
              <w:rPr>
                <w:rFonts w:eastAsia="Times New Roman"/>
                <w:color w:val="000000"/>
                <w:sz w:val="22"/>
                <w:szCs w:val="22"/>
              </w:rPr>
              <w:t xml:space="preserve">Prostate problem </w:t>
            </w:r>
          </w:p>
        </w:tc>
      </w:tr>
      <w:tr w:rsidR="006B27A8" w:rsidRPr="00D33635" w:rsidTr="00C110B6">
        <w:trPr>
          <w:trHeight w:val="20"/>
        </w:trPr>
        <w:tc>
          <w:tcPr>
            <w:tcW w:w="9892" w:type="dxa"/>
            <w:tcBorders>
              <w:top w:val="nil"/>
              <w:left w:val="nil"/>
              <w:bottom w:val="nil"/>
              <w:right w:val="nil"/>
            </w:tcBorders>
            <w:shd w:val="clear" w:color="auto" w:fill="auto"/>
            <w:noWrap/>
            <w:vAlign w:val="bottom"/>
            <w:hideMark/>
          </w:tcPr>
          <w:p w:rsidR="006B27A8" w:rsidRPr="00D33635" w:rsidRDefault="006B27A8" w:rsidP="00AD4B82">
            <w:pPr>
              <w:numPr>
                <w:ilvl w:val="0"/>
                <w:numId w:val="1"/>
              </w:numPr>
              <w:contextualSpacing/>
              <w:rPr>
                <w:rFonts w:eastAsia="Times New Roman"/>
                <w:color w:val="000000"/>
                <w:sz w:val="22"/>
                <w:szCs w:val="22"/>
              </w:rPr>
            </w:pPr>
            <w:r w:rsidRPr="00D33635">
              <w:rPr>
                <w:rFonts w:eastAsia="Times New Roman"/>
                <w:color w:val="000000"/>
                <w:sz w:val="22"/>
                <w:szCs w:val="22"/>
              </w:rPr>
              <w:t xml:space="preserve">Rheumatoid arthritis </w:t>
            </w:r>
          </w:p>
        </w:tc>
      </w:tr>
      <w:tr w:rsidR="006B27A8" w:rsidRPr="00D33635" w:rsidTr="00C110B6">
        <w:trPr>
          <w:trHeight w:val="20"/>
        </w:trPr>
        <w:tc>
          <w:tcPr>
            <w:tcW w:w="9892" w:type="dxa"/>
            <w:tcBorders>
              <w:top w:val="nil"/>
              <w:left w:val="nil"/>
              <w:bottom w:val="nil"/>
              <w:right w:val="nil"/>
            </w:tcBorders>
            <w:shd w:val="clear" w:color="auto" w:fill="auto"/>
            <w:noWrap/>
            <w:vAlign w:val="bottom"/>
            <w:hideMark/>
          </w:tcPr>
          <w:p w:rsidR="006B27A8" w:rsidRPr="00D33635" w:rsidRDefault="006B27A8" w:rsidP="00AD4B82">
            <w:pPr>
              <w:numPr>
                <w:ilvl w:val="0"/>
                <w:numId w:val="1"/>
              </w:numPr>
              <w:contextualSpacing/>
              <w:rPr>
                <w:rFonts w:eastAsia="Times New Roman"/>
                <w:color w:val="000000"/>
                <w:sz w:val="22"/>
                <w:szCs w:val="22"/>
              </w:rPr>
            </w:pPr>
            <w:r w:rsidRPr="00D33635">
              <w:rPr>
                <w:rFonts w:eastAsia="Times New Roman"/>
                <w:color w:val="000000"/>
                <w:sz w:val="22"/>
                <w:szCs w:val="22"/>
              </w:rPr>
              <w:t xml:space="preserve">Schizophrenia </w:t>
            </w:r>
          </w:p>
        </w:tc>
      </w:tr>
      <w:tr w:rsidR="006B27A8" w:rsidRPr="00D33635" w:rsidTr="00C110B6">
        <w:trPr>
          <w:trHeight w:val="20"/>
        </w:trPr>
        <w:tc>
          <w:tcPr>
            <w:tcW w:w="9892" w:type="dxa"/>
            <w:tcBorders>
              <w:top w:val="nil"/>
              <w:left w:val="nil"/>
              <w:bottom w:val="nil"/>
              <w:right w:val="nil"/>
            </w:tcBorders>
            <w:shd w:val="clear" w:color="auto" w:fill="auto"/>
            <w:noWrap/>
            <w:vAlign w:val="bottom"/>
            <w:hideMark/>
          </w:tcPr>
          <w:p w:rsidR="006B27A8" w:rsidRPr="00D33635" w:rsidRDefault="006B27A8" w:rsidP="00AD4B82">
            <w:pPr>
              <w:numPr>
                <w:ilvl w:val="0"/>
                <w:numId w:val="1"/>
              </w:numPr>
              <w:contextualSpacing/>
              <w:rPr>
                <w:rFonts w:eastAsia="Times New Roman"/>
                <w:color w:val="000000"/>
                <w:sz w:val="22"/>
                <w:szCs w:val="22"/>
              </w:rPr>
            </w:pPr>
            <w:r w:rsidRPr="00D33635">
              <w:rPr>
                <w:rFonts w:eastAsia="Times New Roman"/>
                <w:color w:val="000000"/>
                <w:sz w:val="22"/>
                <w:szCs w:val="22"/>
              </w:rPr>
              <w:t>Stroke</w:t>
            </w:r>
          </w:p>
        </w:tc>
      </w:tr>
      <w:tr w:rsidR="006B27A8" w:rsidRPr="00D33635" w:rsidTr="00C110B6">
        <w:trPr>
          <w:trHeight w:val="20"/>
        </w:trPr>
        <w:tc>
          <w:tcPr>
            <w:tcW w:w="9892" w:type="dxa"/>
            <w:tcBorders>
              <w:top w:val="nil"/>
              <w:left w:val="nil"/>
              <w:bottom w:val="nil"/>
              <w:right w:val="nil"/>
            </w:tcBorders>
            <w:shd w:val="clear" w:color="auto" w:fill="auto"/>
            <w:noWrap/>
            <w:vAlign w:val="bottom"/>
            <w:hideMark/>
          </w:tcPr>
          <w:p w:rsidR="006B27A8" w:rsidRPr="00D33635" w:rsidRDefault="006B27A8" w:rsidP="00AD4B82">
            <w:pPr>
              <w:numPr>
                <w:ilvl w:val="0"/>
                <w:numId w:val="1"/>
              </w:numPr>
              <w:contextualSpacing/>
              <w:rPr>
                <w:rFonts w:eastAsia="Times New Roman"/>
                <w:color w:val="000000"/>
                <w:sz w:val="22"/>
                <w:szCs w:val="22"/>
              </w:rPr>
            </w:pPr>
            <w:r w:rsidRPr="00D33635">
              <w:rPr>
                <w:rFonts w:eastAsia="Times New Roman"/>
                <w:color w:val="000000"/>
                <w:sz w:val="22"/>
                <w:szCs w:val="22"/>
              </w:rPr>
              <w:t>Thyroid problem</w:t>
            </w:r>
          </w:p>
        </w:tc>
      </w:tr>
      <w:tr w:rsidR="006B27A8" w:rsidRPr="00D33635" w:rsidTr="00C110B6">
        <w:trPr>
          <w:trHeight w:val="20"/>
        </w:trPr>
        <w:tc>
          <w:tcPr>
            <w:tcW w:w="9892" w:type="dxa"/>
            <w:tcBorders>
              <w:top w:val="nil"/>
              <w:left w:val="nil"/>
              <w:bottom w:val="nil"/>
              <w:right w:val="nil"/>
            </w:tcBorders>
            <w:shd w:val="clear" w:color="auto" w:fill="auto"/>
            <w:noWrap/>
            <w:vAlign w:val="bottom"/>
            <w:hideMark/>
          </w:tcPr>
          <w:p w:rsidR="006B27A8" w:rsidRPr="00D33635" w:rsidRDefault="006B27A8" w:rsidP="00AD4B82">
            <w:pPr>
              <w:numPr>
                <w:ilvl w:val="0"/>
                <w:numId w:val="1"/>
              </w:numPr>
              <w:contextualSpacing/>
              <w:rPr>
                <w:rFonts w:eastAsia="Times New Roman"/>
                <w:color w:val="000000"/>
                <w:sz w:val="22"/>
                <w:szCs w:val="22"/>
              </w:rPr>
            </w:pPr>
            <w:r w:rsidRPr="00D33635">
              <w:rPr>
                <w:rFonts w:eastAsia="Times New Roman"/>
                <w:color w:val="000000"/>
                <w:sz w:val="22"/>
                <w:szCs w:val="22"/>
              </w:rPr>
              <w:t xml:space="preserve">Tuberculosis </w:t>
            </w:r>
          </w:p>
        </w:tc>
      </w:tr>
      <w:tr w:rsidR="006B27A8" w:rsidRPr="00D33635" w:rsidTr="00C110B6">
        <w:trPr>
          <w:trHeight w:val="20"/>
        </w:trPr>
        <w:tc>
          <w:tcPr>
            <w:tcW w:w="9892" w:type="dxa"/>
            <w:tcBorders>
              <w:top w:val="nil"/>
              <w:left w:val="nil"/>
              <w:bottom w:val="nil"/>
              <w:right w:val="nil"/>
            </w:tcBorders>
            <w:shd w:val="clear" w:color="auto" w:fill="auto"/>
            <w:noWrap/>
            <w:vAlign w:val="bottom"/>
            <w:hideMark/>
          </w:tcPr>
          <w:p w:rsidR="006B27A8" w:rsidRPr="00D33635" w:rsidRDefault="006B27A8" w:rsidP="00AD4B82">
            <w:pPr>
              <w:numPr>
                <w:ilvl w:val="0"/>
                <w:numId w:val="1"/>
              </w:numPr>
              <w:contextualSpacing/>
              <w:rPr>
                <w:rFonts w:eastAsia="Times New Roman"/>
                <w:color w:val="000000"/>
                <w:sz w:val="22"/>
                <w:szCs w:val="22"/>
              </w:rPr>
            </w:pPr>
            <w:r w:rsidRPr="00D33635">
              <w:rPr>
                <w:rFonts w:eastAsia="Times New Roman"/>
                <w:color w:val="000000"/>
                <w:sz w:val="22"/>
                <w:szCs w:val="22"/>
              </w:rPr>
              <w:t xml:space="preserve">Vestibular disorder </w:t>
            </w:r>
          </w:p>
        </w:tc>
      </w:tr>
    </w:tbl>
    <w:p w:rsidR="006B27A8" w:rsidRPr="00A16FC3" w:rsidRDefault="006B27A8" w:rsidP="006B27A8">
      <w:pPr>
        <w:tabs>
          <w:tab w:val="left" w:pos="7047"/>
        </w:tabs>
        <w:rPr>
          <w:rFonts w:eastAsia="Calibri"/>
          <w:szCs w:val="22"/>
        </w:rPr>
        <w:sectPr w:rsidR="006B27A8" w:rsidRPr="00A16FC3" w:rsidSect="00A656CF">
          <w:footerReference w:type="even" r:id="rId8"/>
          <w:footerReference w:type="default" r:id="rId9"/>
          <w:pgSz w:w="11906" w:h="16838"/>
          <w:pgMar w:top="1440" w:right="1440" w:bottom="1440" w:left="1440" w:header="709" w:footer="709" w:gutter="0"/>
          <w:cols w:space="708"/>
          <w:docGrid w:linePitch="360"/>
        </w:sectPr>
      </w:pPr>
    </w:p>
    <w:p w:rsidR="009477FD" w:rsidRPr="00D33635" w:rsidRDefault="009477FD" w:rsidP="009477FD">
      <w:pPr>
        <w:pStyle w:val="Heading1"/>
        <w:rPr>
          <w:rFonts w:eastAsia="Cambria" w:cs="Times New Roman"/>
          <w:b w:val="0"/>
        </w:rPr>
      </w:pPr>
      <w:bookmarkStart w:id="2" w:name="_Toc517269222"/>
      <w:r w:rsidRPr="00D33635">
        <w:rPr>
          <w:rFonts w:eastAsia="Cambria" w:cs="Times New Roman"/>
        </w:rPr>
        <w:lastRenderedPageBreak/>
        <w:t xml:space="preserve">Methods </w:t>
      </w:r>
      <w:r>
        <w:rPr>
          <w:rFonts w:eastAsia="Cambria" w:cs="Times New Roman"/>
        </w:rPr>
        <w:t>S</w:t>
      </w:r>
      <w:r w:rsidRPr="00D33635">
        <w:rPr>
          <w:rFonts w:eastAsia="Cambria" w:cs="Times New Roman"/>
        </w:rPr>
        <w:t>2.</w:t>
      </w:r>
      <w:r w:rsidRPr="00D33635">
        <w:rPr>
          <w:rFonts w:eastAsia="Cambria" w:cs="Times New Roman"/>
          <w:b w:val="0"/>
        </w:rPr>
        <w:t xml:space="preserve"> Physical activity measurements</w:t>
      </w:r>
      <w:bookmarkEnd w:id="2"/>
      <w:r w:rsidRPr="00D33635">
        <w:rPr>
          <w:rFonts w:eastAsia="Cambria" w:cs="Times New Roman"/>
          <w:b w:val="0"/>
        </w:rPr>
        <w:t xml:space="preserve"> </w:t>
      </w:r>
    </w:p>
    <w:p w:rsidR="009477FD" w:rsidRPr="00A16FC3" w:rsidRDefault="009477FD" w:rsidP="009477FD">
      <w:pPr>
        <w:pStyle w:val="Heading1"/>
        <w:rPr>
          <w:rFonts w:eastAsia="Cambria" w:cs="Times New Roman"/>
        </w:rPr>
      </w:pPr>
    </w:p>
    <w:p w:rsidR="009477FD" w:rsidRPr="00D33635" w:rsidRDefault="009477FD" w:rsidP="009477FD">
      <w:pPr>
        <w:shd w:val="clear" w:color="auto" w:fill="FFFFFF"/>
        <w:spacing w:line="480" w:lineRule="auto"/>
        <w:textAlignment w:val="baseline"/>
        <w:rPr>
          <w:rFonts w:eastAsia="Calibri"/>
          <w:b/>
          <w:sz w:val="22"/>
          <w:szCs w:val="22"/>
        </w:rPr>
      </w:pPr>
      <w:r w:rsidRPr="00D33635">
        <w:rPr>
          <w:rFonts w:eastAsia="Calibri"/>
          <w:b/>
          <w:sz w:val="22"/>
          <w:szCs w:val="22"/>
        </w:rPr>
        <w:t>Subjective physical activity</w:t>
      </w:r>
    </w:p>
    <w:p w:rsidR="009477FD" w:rsidRPr="00D33635" w:rsidRDefault="009477FD" w:rsidP="009477FD">
      <w:pPr>
        <w:shd w:val="clear" w:color="auto" w:fill="FFFFFF"/>
        <w:spacing w:line="480" w:lineRule="auto"/>
        <w:textAlignment w:val="baseline"/>
        <w:rPr>
          <w:rFonts w:eastAsia="Calibri"/>
          <w:sz w:val="22"/>
          <w:szCs w:val="22"/>
        </w:rPr>
      </w:pPr>
      <w:r w:rsidRPr="00D33635">
        <w:rPr>
          <w:rFonts w:eastAsia="Calibri"/>
          <w:sz w:val="22"/>
          <w:szCs w:val="22"/>
        </w:rPr>
        <w:t>Leisure-time physical activity (LTPA) included five activities undertaken in the last four weeks: walking</w:t>
      </w:r>
      <w:r>
        <w:rPr>
          <w:rFonts w:eastAsia="Calibri"/>
          <w:sz w:val="22"/>
          <w:szCs w:val="22"/>
        </w:rPr>
        <w:t xml:space="preserve"> for pleasure</w:t>
      </w:r>
      <w:r w:rsidRPr="00D33635">
        <w:rPr>
          <w:rFonts w:eastAsia="Calibri"/>
          <w:sz w:val="22"/>
          <w:szCs w:val="22"/>
        </w:rPr>
        <w:t>, light DIY (do-it-yourself), heavy DIY, strenuous sports, and other exercises. Participants were asked to quantify the frequency and duration of their participation, which was converted to an average weekly value. A metabolic equivalent (MET) value was assigned to walking</w:t>
      </w:r>
      <w:r>
        <w:rPr>
          <w:rFonts w:eastAsia="Calibri"/>
          <w:sz w:val="22"/>
          <w:szCs w:val="22"/>
        </w:rPr>
        <w:t xml:space="preserve"> for pleasure</w:t>
      </w:r>
      <w:r w:rsidRPr="00D33635">
        <w:rPr>
          <w:rFonts w:eastAsia="Calibri"/>
          <w:sz w:val="22"/>
          <w:szCs w:val="22"/>
        </w:rPr>
        <w:t xml:space="preserve"> </w:t>
      </w:r>
      <w:r>
        <w:rPr>
          <w:rFonts w:eastAsia="Calibri"/>
          <w:sz w:val="22"/>
          <w:szCs w:val="22"/>
        </w:rPr>
        <w:t>(3.5)</w:t>
      </w:r>
      <w:r w:rsidRPr="00700D51">
        <w:rPr>
          <w:rFonts w:eastAsia="Calibri"/>
          <w:sz w:val="22"/>
          <w:szCs w:val="22"/>
        </w:rPr>
        <w:t>, light DIY</w:t>
      </w:r>
      <w:r>
        <w:rPr>
          <w:rFonts w:eastAsia="Calibri"/>
          <w:sz w:val="22"/>
          <w:szCs w:val="22"/>
        </w:rPr>
        <w:t xml:space="preserve"> (1.5), heavy DIY (5.5)</w:t>
      </w:r>
      <w:r w:rsidRPr="00D33635">
        <w:rPr>
          <w:rFonts w:eastAsia="Calibri"/>
          <w:sz w:val="22"/>
          <w:szCs w:val="22"/>
        </w:rPr>
        <w:t xml:space="preserve">, strenuous sports </w:t>
      </w:r>
      <w:r>
        <w:rPr>
          <w:rFonts w:eastAsia="Calibri"/>
          <w:sz w:val="22"/>
          <w:szCs w:val="22"/>
        </w:rPr>
        <w:t>(8.0) other exercises (4.0)</w:t>
      </w:r>
      <w:r w:rsidRPr="00D33635">
        <w:rPr>
          <w:rFonts w:eastAsia="Calibri"/>
          <w:sz w:val="22"/>
          <w:szCs w:val="22"/>
        </w:rPr>
        <w:t>, a</w:t>
      </w:r>
      <w:r>
        <w:rPr>
          <w:rFonts w:eastAsia="Calibri"/>
          <w:sz w:val="22"/>
          <w:szCs w:val="22"/>
        </w:rPr>
        <w:t>nd none of the five activities (</w:t>
      </w:r>
      <w:r w:rsidRPr="00D33635">
        <w:rPr>
          <w:rFonts w:eastAsia="Calibri"/>
          <w:sz w:val="22"/>
          <w:szCs w:val="22"/>
        </w:rPr>
        <w:t>0</w:t>
      </w:r>
      <w:r>
        <w:rPr>
          <w:rFonts w:eastAsia="Calibri"/>
          <w:sz w:val="22"/>
          <w:szCs w:val="22"/>
        </w:rPr>
        <w:t>)</w:t>
      </w:r>
      <w:r w:rsidRPr="00D33635">
        <w:rPr>
          <w:rFonts w:eastAsia="Calibri"/>
          <w:sz w:val="22"/>
          <w:szCs w:val="22"/>
        </w:rPr>
        <w:t>.</w:t>
      </w:r>
      <w:r w:rsidRPr="00D33635">
        <w:rPr>
          <w:rFonts w:eastAsia="Calibri"/>
          <w:sz w:val="22"/>
          <w:szCs w:val="22"/>
        </w:rPr>
        <w:fldChar w:fldCharType="begin"/>
      </w:r>
      <w:r>
        <w:rPr>
          <w:rFonts w:eastAsia="Calibri"/>
          <w:sz w:val="22"/>
          <w:szCs w:val="22"/>
        </w:rPr>
        <w:instrText xml:space="preserve"> ADDIN EN.CITE &lt;EndNote&gt;&lt;Cite&gt;&lt;Author&gt;Ainsworth&lt;/Author&gt;&lt;Year&gt;2000&lt;/Year&gt;&lt;RecNum&gt;135&lt;/RecNum&gt;&lt;DisplayText&gt;[1]&lt;/DisplayText&gt;&lt;record&gt;&lt;rec-number&gt;135&lt;/rec-number&gt;&lt;foreign-keys&gt;&lt;key app="EN" db-id="e9ress05gdfw5vepa54xfew5f9adxaxw552z" timestamp="1493806165"&gt;135&lt;/key&gt;&lt;/foreign-keys&gt;&lt;ref-type name="Journal Article"&gt;17&lt;/ref-type&gt;&lt;contributors&gt;&lt;authors&gt;&lt;author&gt;Ainsworth, Barbara E&lt;/author&gt;&lt;author&gt;Haskell, William L&lt;/author&gt;&lt;author&gt;Whitt, Melicia C&lt;/author&gt;&lt;author&gt;Irwin, Melinda L&lt;/author&gt;&lt;author&gt;Swartz, Ann M&lt;/author&gt;&lt;author&gt;Strath, Scott J&lt;/author&gt;&lt;author&gt;O Brien, WILLIAM L&lt;/author&gt;&lt;author&gt;Bassett, David R&lt;/author&gt;&lt;author&gt;Schmitz, Kathryn H&lt;/author&gt;&lt;author&gt;Emplaincourt, Patricia O&lt;/author&gt;&lt;/authors&gt;&lt;/contributors&gt;&lt;titles&gt;&lt;title&gt;Compendium of physical activities: an update of activity codes and MET intensities&lt;/title&gt;&lt;secondary-title&gt;Medicine and science in sports and exercise&lt;/secondary-title&gt;&lt;/titles&gt;&lt;periodical&gt;&lt;full-title&gt;Medicine and science in sports and exercise&lt;/full-title&gt;&lt;/periodical&gt;&lt;pages&gt;S498-S504&lt;/pages&gt;&lt;volume&gt;32&lt;/volume&gt;&lt;number&gt;9; SUPP/1&lt;/number&gt;&lt;dates&gt;&lt;year&gt;2000&lt;/year&gt;&lt;/dates&gt;&lt;isbn&gt;0195-9131&lt;/isbn&gt;&lt;urls&gt;&lt;/urls&gt;&lt;/record&gt;&lt;/Cite&gt;&lt;/EndNote&gt;</w:instrText>
      </w:r>
      <w:r w:rsidRPr="00D33635">
        <w:rPr>
          <w:rFonts w:eastAsia="Calibri"/>
          <w:sz w:val="22"/>
          <w:szCs w:val="22"/>
        </w:rPr>
        <w:fldChar w:fldCharType="separate"/>
      </w:r>
      <w:r>
        <w:rPr>
          <w:rFonts w:eastAsia="Calibri"/>
          <w:noProof/>
          <w:sz w:val="22"/>
          <w:szCs w:val="22"/>
        </w:rPr>
        <w:t>[1]</w:t>
      </w:r>
      <w:r w:rsidRPr="00D33635">
        <w:rPr>
          <w:rFonts w:eastAsia="Calibri"/>
          <w:sz w:val="22"/>
          <w:szCs w:val="22"/>
        </w:rPr>
        <w:fldChar w:fldCharType="end"/>
      </w:r>
      <w:r w:rsidRPr="00D33635">
        <w:rPr>
          <w:rFonts w:eastAsia="Calibri"/>
          <w:sz w:val="22"/>
          <w:szCs w:val="22"/>
        </w:rPr>
        <w:t xml:space="preserve"> Similarly, total physical activity (TPA) which was a modified version of the International Physical Activity Questionnaire (IPAQ),</w:t>
      </w:r>
      <w:r w:rsidRPr="00D33635">
        <w:rPr>
          <w:rFonts w:eastAsia="Calibri"/>
          <w:sz w:val="22"/>
          <w:szCs w:val="22"/>
        </w:rPr>
        <w:fldChar w:fldCharType="begin"/>
      </w:r>
      <w:r>
        <w:rPr>
          <w:rFonts w:eastAsia="Calibri"/>
          <w:sz w:val="22"/>
          <w:szCs w:val="22"/>
        </w:rPr>
        <w:instrText xml:space="preserve"> ADDIN EN.CITE &lt;EndNote&gt;&lt;Cite&gt;&lt;Year&gt;2017&lt;/Year&gt;&lt;RecNum&gt;148&lt;/RecNum&gt;&lt;DisplayText&gt;[2]&lt;/DisplayText&gt;&lt;record&gt;&lt;rec-number&gt;148&lt;/rec-number&gt;&lt;foreign-keys&gt;&lt;key app="EN" db-id="e9ress05gdfw5vepa54xfew5f9adxaxw552z" timestamp="1495022197"&gt;148&lt;/key&gt;&lt;/foreign-keys&gt;&lt;ref-type name="Web Page"&gt;12&lt;/ref-type&gt;&lt;contributors&gt;&lt;/contributors&gt;&lt;titles&gt;&lt;title&gt;IPAQ scoring protocol - International Physical Activity Questionnaire&lt;/title&gt;&lt;/titles&gt;&lt;dates&gt;&lt;year&gt;2017&lt;/year&gt;&lt;/dates&gt;&lt;urls&gt;&lt;related-urls&gt;&lt;url&gt;https://sites.google.com/site/theipaq/scoring-protocol&lt;/url&gt;&lt;/related-urls&gt;&lt;/urls&gt;&lt;/record&gt;&lt;/Cite&gt;&lt;/EndNote&gt;</w:instrText>
      </w:r>
      <w:r w:rsidRPr="00D33635">
        <w:rPr>
          <w:rFonts w:eastAsia="Calibri"/>
          <w:sz w:val="22"/>
          <w:szCs w:val="22"/>
        </w:rPr>
        <w:fldChar w:fldCharType="separate"/>
      </w:r>
      <w:r>
        <w:rPr>
          <w:rFonts w:eastAsia="Calibri"/>
          <w:noProof/>
          <w:sz w:val="22"/>
          <w:szCs w:val="22"/>
        </w:rPr>
        <w:t>[2]</w:t>
      </w:r>
      <w:r w:rsidRPr="00D33635">
        <w:rPr>
          <w:rFonts w:eastAsia="Calibri"/>
          <w:sz w:val="22"/>
          <w:szCs w:val="22"/>
        </w:rPr>
        <w:fldChar w:fldCharType="end"/>
      </w:r>
      <w:r w:rsidRPr="00D33635">
        <w:rPr>
          <w:rFonts w:eastAsia="Calibri"/>
          <w:sz w:val="22"/>
          <w:szCs w:val="22"/>
        </w:rPr>
        <w:t xml:space="preserve"> was assessed through capturing the frequency and duration of walking, moderate, and vigorous PA performed over the last seven days. Data were analysed in accordance with the IPAQ scoring protocol.</w:t>
      </w:r>
      <w:r w:rsidRPr="00D33635">
        <w:rPr>
          <w:rFonts w:eastAsia="Calibri"/>
          <w:sz w:val="22"/>
          <w:szCs w:val="22"/>
        </w:rPr>
        <w:fldChar w:fldCharType="begin"/>
      </w:r>
      <w:r>
        <w:rPr>
          <w:rFonts w:eastAsia="Calibri"/>
          <w:sz w:val="22"/>
          <w:szCs w:val="22"/>
        </w:rPr>
        <w:instrText xml:space="preserve"> ADDIN EN.CITE &lt;EndNote&gt;&lt;Cite&gt;&lt;Year&gt;2017&lt;/Year&gt;&lt;RecNum&gt;148&lt;/RecNum&gt;&lt;DisplayText&gt;[2]&lt;/DisplayText&gt;&lt;record&gt;&lt;rec-number&gt;148&lt;/rec-number&gt;&lt;foreign-keys&gt;&lt;key app="EN" db-id="e9ress05gdfw5vepa54xfew5f9adxaxw552z" timestamp="1495022197"&gt;148&lt;/key&gt;&lt;/foreign-keys&gt;&lt;ref-type name="Web Page"&gt;12&lt;/ref-type&gt;&lt;contributors&gt;&lt;/contributors&gt;&lt;titles&gt;&lt;title&gt;IPAQ scoring protocol - International Physical Activity Questionnaire&lt;/title&gt;&lt;/titles&gt;&lt;dates&gt;&lt;year&gt;2017&lt;/year&gt;&lt;/dates&gt;&lt;urls&gt;&lt;related-urls&gt;&lt;url&gt;https://sites.google.com/site/theipaq/scoring-protocol&lt;/url&gt;&lt;/related-urls&gt;&lt;/urls&gt;&lt;/record&gt;&lt;/Cite&gt;&lt;/EndNote&gt;</w:instrText>
      </w:r>
      <w:r w:rsidRPr="00D33635">
        <w:rPr>
          <w:rFonts w:eastAsia="Calibri"/>
          <w:sz w:val="22"/>
          <w:szCs w:val="22"/>
        </w:rPr>
        <w:fldChar w:fldCharType="separate"/>
      </w:r>
      <w:r>
        <w:rPr>
          <w:rFonts w:eastAsia="Calibri"/>
          <w:noProof/>
          <w:sz w:val="22"/>
          <w:szCs w:val="22"/>
        </w:rPr>
        <w:t>[2]</w:t>
      </w:r>
      <w:r w:rsidRPr="00D33635">
        <w:rPr>
          <w:rFonts w:eastAsia="Calibri"/>
          <w:sz w:val="22"/>
          <w:szCs w:val="22"/>
        </w:rPr>
        <w:fldChar w:fldCharType="end"/>
      </w:r>
      <w:r w:rsidRPr="00D33635">
        <w:rPr>
          <w:rFonts w:eastAsia="Calibri"/>
          <w:sz w:val="22"/>
          <w:szCs w:val="22"/>
        </w:rPr>
        <w:t xml:space="preserve"> MET levels included walking </w:t>
      </w:r>
      <w:r>
        <w:rPr>
          <w:rFonts w:eastAsia="Calibri"/>
          <w:sz w:val="22"/>
          <w:szCs w:val="22"/>
        </w:rPr>
        <w:t>(3.3)</w:t>
      </w:r>
      <w:r w:rsidRPr="00700D51">
        <w:rPr>
          <w:rFonts w:eastAsia="Calibri"/>
          <w:sz w:val="22"/>
          <w:szCs w:val="22"/>
        </w:rPr>
        <w:t>, moderate</w:t>
      </w:r>
      <w:r>
        <w:rPr>
          <w:rFonts w:eastAsia="Calibri"/>
          <w:sz w:val="22"/>
          <w:szCs w:val="22"/>
        </w:rPr>
        <w:t>-intensity (4.0), and vigorous-intensity (8.0)</w:t>
      </w:r>
      <w:r w:rsidRPr="00D33635">
        <w:rPr>
          <w:rFonts w:eastAsia="Calibri"/>
          <w:sz w:val="22"/>
          <w:szCs w:val="22"/>
        </w:rPr>
        <w:t>.</w:t>
      </w:r>
      <w:r w:rsidRPr="00D33635">
        <w:rPr>
          <w:rFonts w:eastAsia="Calibri"/>
          <w:sz w:val="22"/>
          <w:szCs w:val="22"/>
        </w:rPr>
        <w:fldChar w:fldCharType="begin"/>
      </w:r>
      <w:r>
        <w:rPr>
          <w:rFonts w:eastAsia="Calibri"/>
          <w:sz w:val="22"/>
          <w:szCs w:val="22"/>
        </w:rPr>
        <w:instrText xml:space="preserve"> ADDIN EN.CITE &lt;EndNote&gt;&lt;Cite&gt;&lt;Author&gt;Ainsworth&lt;/Author&gt;&lt;Year&gt;2000&lt;/Year&gt;&lt;RecNum&gt;135&lt;/RecNum&gt;&lt;DisplayText&gt;[1]&lt;/DisplayText&gt;&lt;record&gt;&lt;rec-number&gt;135&lt;/rec-number&gt;&lt;foreign-keys&gt;&lt;key app="EN" db-id="e9ress05gdfw5vepa54xfew5f9adxaxw552z" timestamp="1493806165"&gt;135&lt;/key&gt;&lt;/foreign-keys&gt;&lt;ref-type name="Journal Article"&gt;17&lt;/ref-type&gt;&lt;contributors&gt;&lt;authors&gt;&lt;author&gt;Ainsworth, Barbara E&lt;/author&gt;&lt;author&gt;Haskell, William L&lt;/author&gt;&lt;author&gt;Whitt, Melicia C&lt;/author&gt;&lt;author&gt;Irwin, Melinda L&lt;/author&gt;&lt;author&gt;Swartz, Ann M&lt;/author&gt;&lt;author&gt;Strath, Scott J&lt;/author&gt;&lt;author&gt;O Brien, WILLIAM L&lt;/author&gt;&lt;author&gt;Bassett, David R&lt;/author&gt;&lt;author&gt;Schmitz, Kathryn H&lt;/author&gt;&lt;author&gt;Emplaincourt, Patricia O&lt;/author&gt;&lt;/authors&gt;&lt;/contributors&gt;&lt;titles&gt;&lt;title&gt;Compendium of physical activities: an update of activity codes and MET intensities&lt;/title&gt;&lt;secondary-title&gt;Medicine and science in sports and exercise&lt;/secondary-title&gt;&lt;/titles&gt;&lt;periodical&gt;&lt;full-title&gt;Medicine and science in sports and exercise&lt;/full-title&gt;&lt;/periodical&gt;&lt;pages&gt;S498-S504&lt;/pages&gt;&lt;volume&gt;32&lt;/volume&gt;&lt;number&gt;9; SUPP/1&lt;/number&gt;&lt;dates&gt;&lt;year&gt;2000&lt;/year&gt;&lt;/dates&gt;&lt;isbn&gt;0195-9131&lt;/isbn&gt;&lt;urls&gt;&lt;/urls&gt;&lt;/record&gt;&lt;/Cite&gt;&lt;/EndNote&gt;</w:instrText>
      </w:r>
      <w:r w:rsidRPr="00D33635">
        <w:rPr>
          <w:rFonts w:eastAsia="Calibri"/>
          <w:sz w:val="22"/>
          <w:szCs w:val="22"/>
        </w:rPr>
        <w:fldChar w:fldCharType="separate"/>
      </w:r>
      <w:r>
        <w:rPr>
          <w:rFonts w:eastAsia="Calibri"/>
          <w:noProof/>
          <w:sz w:val="22"/>
          <w:szCs w:val="22"/>
        </w:rPr>
        <w:t>[1]</w:t>
      </w:r>
      <w:r w:rsidRPr="00D33635">
        <w:rPr>
          <w:rFonts w:eastAsia="Calibri"/>
          <w:sz w:val="22"/>
          <w:szCs w:val="22"/>
        </w:rPr>
        <w:fldChar w:fldCharType="end"/>
      </w:r>
      <w:r w:rsidRPr="00D33635">
        <w:rPr>
          <w:rFonts w:eastAsia="Calibri"/>
          <w:sz w:val="22"/>
          <w:szCs w:val="22"/>
        </w:rPr>
        <w:t xml:space="preserve"> For both the measures, total weekly PA (</w:t>
      </w:r>
      <w:r w:rsidR="00FA1266">
        <w:rPr>
          <w:rFonts w:eastAsia="Calibri"/>
          <w:sz w:val="22"/>
          <w:szCs w:val="22"/>
        </w:rPr>
        <w:t>MET</w:t>
      </w:r>
      <w:r w:rsidRPr="00D33635">
        <w:rPr>
          <w:rFonts w:eastAsia="Calibri"/>
          <w:sz w:val="22"/>
          <w:szCs w:val="22"/>
        </w:rPr>
        <w:t>-mins/week) was calculated by multiplying the frequency, duration, and the MET values.</w:t>
      </w:r>
      <w:r w:rsidRPr="00D33635">
        <w:rPr>
          <w:rFonts w:eastAsia="Calibri"/>
          <w:sz w:val="22"/>
          <w:szCs w:val="22"/>
        </w:rPr>
        <w:fldChar w:fldCharType="begin"/>
      </w:r>
      <w:r>
        <w:rPr>
          <w:rFonts w:eastAsia="Calibri"/>
          <w:sz w:val="22"/>
          <w:szCs w:val="22"/>
        </w:rPr>
        <w:instrText xml:space="preserve"> ADDIN EN.CITE &lt;EndNote&gt;&lt;Cite&gt;&lt;Author&gt;Ainsworth&lt;/Author&gt;&lt;Year&gt;2000&lt;/Year&gt;&lt;RecNum&gt;135&lt;/RecNum&gt;&lt;DisplayText&gt;[1]&lt;/DisplayText&gt;&lt;record&gt;&lt;rec-number&gt;135&lt;/rec-number&gt;&lt;foreign-keys&gt;&lt;key app="EN" db-id="e9ress05gdfw5vepa54xfew5f9adxaxw552z" timestamp="1493806165"&gt;135&lt;/key&gt;&lt;/foreign-keys&gt;&lt;ref-type name="Journal Article"&gt;17&lt;/ref-type&gt;&lt;contributors&gt;&lt;authors&gt;&lt;author&gt;Ainsworth, Barbara E&lt;/author&gt;&lt;author&gt;Haskell, William L&lt;/author&gt;&lt;author&gt;Whitt, Melicia C&lt;/author&gt;&lt;author&gt;Irwin, Melinda L&lt;/author&gt;&lt;author&gt;Swartz, Ann M&lt;/author&gt;&lt;author&gt;Strath, Scott J&lt;/author&gt;&lt;author&gt;O Brien, WILLIAM L&lt;/author&gt;&lt;author&gt;Bassett, David R&lt;/author&gt;&lt;author&gt;Schmitz, Kathryn H&lt;/author&gt;&lt;author&gt;Emplaincourt, Patricia O&lt;/author&gt;&lt;/authors&gt;&lt;/contributors&gt;&lt;titles&gt;&lt;title&gt;Compendium of physical activities: an update of activity codes and MET intensities&lt;/title&gt;&lt;secondary-title&gt;Medicine and science in sports and exercise&lt;/secondary-title&gt;&lt;/titles&gt;&lt;periodical&gt;&lt;full-title&gt;Medicine and science in sports and exercise&lt;/full-title&gt;&lt;/periodical&gt;&lt;pages&gt;S498-S504&lt;/pages&gt;&lt;volume&gt;32&lt;/volume&gt;&lt;number&gt;9; SUPP/1&lt;/number&gt;&lt;dates&gt;&lt;year&gt;2000&lt;/year&gt;&lt;/dates&gt;&lt;isbn&gt;0195-9131&lt;/isbn&gt;&lt;urls&gt;&lt;/urls&gt;&lt;/record&gt;&lt;/Cite&gt;&lt;/EndNote&gt;</w:instrText>
      </w:r>
      <w:r w:rsidRPr="00D33635">
        <w:rPr>
          <w:rFonts w:eastAsia="Calibri"/>
          <w:sz w:val="22"/>
          <w:szCs w:val="22"/>
        </w:rPr>
        <w:fldChar w:fldCharType="separate"/>
      </w:r>
      <w:r>
        <w:rPr>
          <w:rFonts w:eastAsia="Calibri"/>
          <w:noProof/>
          <w:sz w:val="22"/>
          <w:szCs w:val="22"/>
        </w:rPr>
        <w:t>[1]</w:t>
      </w:r>
      <w:r w:rsidRPr="00D33635">
        <w:rPr>
          <w:rFonts w:eastAsia="Calibri"/>
          <w:sz w:val="22"/>
          <w:szCs w:val="22"/>
        </w:rPr>
        <w:fldChar w:fldCharType="end"/>
      </w:r>
      <w:r w:rsidRPr="00D33635">
        <w:rPr>
          <w:rFonts w:eastAsia="Calibri"/>
          <w:sz w:val="22"/>
          <w:szCs w:val="22"/>
        </w:rPr>
        <w:t xml:space="preserve"> Based on the standard scoring criteria of PA, we grouped the sample as low PA (&lt;600 </w:t>
      </w:r>
      <w:r w:rsidR="00FA1266">
        <w:rPr>
          <w:rFonts w:eastAsia="Calibri"/>
          <w:sz w:val="22"/>
          <w:szCs w:val="22"/>
        </w:rPr>
        <w:t>MET</w:t>
      </w:r>
      <w:r w:rsidRPr="00D33635">
        <w:rPr>
          <w:rFonts w:eastAsia="Calibri"/>
          <w:sz w:val="22"/>
          <w:szCs w:val="22"/>
        </w:rPr>
        <w:t>-mins/</w:t>
      </w:r>
      <w:r w:rsidRPr="00CF0EC7">
        <w:rPr>
          <w:rFonts w:eastAsia="Calibri"/>
          <w:sz w:val="22"/>
          <w:szCs w:val="22"/>
        </w:rPr>
        <w:t xml:space="preserve">week), moderate PA (600 to &lt;3000 </w:t>
      </w:r>
      <w:r w:rsidR="00FA1266" w:rsidRPr="00CF0EC7">
        <w:rPr>
          <w:rFonts w:eastAsia="Calibri"/>
          <w:sz w:val="22"/>
          <w:szCs w:val="22"/>
        </w:rPr>
        <w:t>MET</w:t>
      </w:r>
      <w:r w:rsidRPr="00CF0EC7">
        <w:rPr>
          <w:rFonts w:eastAsia="Calibri"/>
          <w:sz w:val="22"/>
          <w:szCs w:val="22"/>
        </w:rPr>
        <w:t xml:space="preserve">-mins/week), and high PA (≥3000 </w:t>
      </w:r>
      <w:r w:rsidR="00FA1266" w:rsidRPr="00CF0EC7">
        <w:rPr>
          <w:rFonts w:eastAsia="Calibri"/>
          <w:sz w:val="22"/>
          <w:szCs w:val="22"/>
        </w:rPr>
        <w:t>MET</w:t>
      </w:r>
      <w:r w:rsidRPr="00CF0EC7">
        <w:rPr>
          <w:rFonts w:eastAsia="Calibri"/>
          <w:sz w:val="22"/>
          <w:szCs w:val="22"/>
        </w:rPr>
        <w:t>-mins/week)</w:t>
      </w:r>
      <w:r w:rsidR="00FA1266" w:rsidRPr="00CF0EC7">
        <w:rPr>
          <w:rFonts w:eastAsia="Calibri"/>
          <w:sz w:val="22"/>
          <w:szCs w:val="22"/>
        </w:rPr>
        <w:t>;</w:t>
      </w:r>
      <w:r w:rsidRPr="00CF0EC7">
        <w:rPr>
          <w:rFonts w:eastAsia="Calibri"/>
          <w:sz w:val="22"/>
          <w:szCs w:val="22"/>
        </w:rPr>
        <w:fldChar w:fldCharType="begin"/>
      </w:r>
      <w:r w:rsidRPr="00CF0EC7">
        <w:rPr>
          <w:rFonts w:eastAsia="Calibri"/>
          <w:sz w:val="22"/>
          <w:szCs w:val="22"/>
        </w:rPr>
        <w:instrText xml:space="preserve"> ADDIN EN.CITE &lt;EndNote&gt;&lt;Cite&gt;&lt;Year&gt;2017&lt;/Year&gt;&lt;RecNum&gt;148&lt;/RecNum&gt;&lt;IDText&gt;IPAQ scoring protocol - International Physical Activity Questionnaire&lt;/IDText&gt;&lt;DisplayText&gt;[2]&lt;/DisplayText&gt;&lt;record&gt;&lt;rec-number&gt;148&lt;/rec-number&gt;&lt;foreign-keys&gt;&lt;key app="EN" db-id="e9ress05gdfw5vepa54xfew5f9adxaxw552z" timestamp="1495022197"&gt;148&lt;/key&gt;&lt;/foreign-keys&gt;&lt;ref-type name="Web Page"&gt;12&lt;/ref-type&gt;&lt;contributors&gt;&lt;/contributors&gt;&lt;titles&gt;&lt;title&gt;IPAQ scoring protocol - International Physical Activity Questionnaire&lt;/title&gt;&lt;/titles&gt;&lt;dates&gt;&lt;year&gt;2017&lt;/year&gt;&lt;/dates&gt;&lt;urls&gt;&lt;related-urls&gt;&lt;url&gt;https://sites.google.com/site/theipaq/scoring-protocol&lt;/url&gt;&lt;/related-urls&gt;&lt;/urls&gt;&lt;/record&gt;&lt;/Cite&gt;&lt;/EndNote&gt;</w:instrText>
      </w:r>
      <w:r w:rsidRPr="00CF0EC7">
        <w:rPr>
          <w:rFonts w:eastAsia="Calibri"/>
          <w:sz w:val="22"/>
          <w:szCs w:val="22"/>
        </w:rPr>
        <w:fldChar w:fldCharType="separate"/>
      </w:r>
      <w:r w:rsidRPr="00CF0EC7">
        <w:rPr>
          <w:rFonts w:eastAsia="Calibri"/>
          <w:noProof/>
          <w:sz w:val="22"/>
          <w:szCs w:val="22"/>
        </w:rPr>
        <w:t>[2]</w:t>
      </w:r>
      <w:r w:rsidRPr="00CF0EC7">
        <w:rPr>
          <w:rFonts w:eastAsia="Calibri"/>
          <w:sz w:val="22"/>
          <w:szCs w:val="22"/>
        </w:rPr>
        <w:fldChar w:fldCharType="end"/>
      </w:r>
      <w:r w:rsidRPr="00CF0EC7">
        <w:rPr>
          <w:rFonts w:eastAsia="Calibri"/>
          <w:sz w:val="22"/>
          <w:szCs w:val="22"/>
        </w:rPr>
        <w:t xml:space="preserve"> </w:t>
      </w:r>
      <w:r w:rsidR="00FA1266" w:rsidRPr="00CF0EC7">
        <w:rPr>
          <w:rFonts w:eastAsia="Calibri"/>
          <w:sz w:val="22"/>
          <w:szCs w:val="22"/>
        </w:rPr>
        <w:t>the threshold at 600 MET-mins/week is equivalent to reaching the recommended guidelines (150 minutes per week) for moderate-intensity PA.</w:t>
      </w:r>
    </w:p>
    <w:p w:rsidR="009477FD" w:rsidRPr="00D33635" w:rsidRDefault="009477FD" w:rsidP="009477FD">
      <w:pPr>
        <w:shd w:val="clear" w:color="auto" w:fill="FFFFFF"/>
        <w:spacing w:line="480" w:lineRule="auto"/>
        <w:textAlignment w:val="baseline"/>
        <w:rPr>
          <w:rFonts w:eastAsia="Calibri"/>
          <w:sz w:val="22"/>
          <w:szCs w:val="22"/>
        </w:rPr>
      </w:pPr>
    </w:p>
    <w:p w:rsidR="009477FD" w:rsidRPr="00D33635" w:rsidRDefault="009477FD" w:rsidP="009477FD">
      <w:pPr>
        <w:shd w:val="clear" w:color="auto" w:fill="FFFFFF"/>
        <w:spacing w:line="480" w:lineRule="auto"/>
        <w:textAlignment w:val="baseline"/>
        <w:rPr>
          <w:rFonts w:eastAsia="Calibri"/>
          <w:b/>
          <w:sz w:val="22"/>
          <w:szCs w:val="22"/>
        </w:rPr>
      </w:pPr>
      <w:r w:rsidRPr="00D33635">
        <w:rPr>
          <w:rFonts w:eastAsia="Calibri"/>
          <w:b/>
          <w:sz w:val="22"/>
          <w:szCs w:val="22"/>
        </w:rPr>
        <w:t xml:space="preserve">Objective physical activity </w:t>
      </w:r>
    </w:p>
    <w:p w:rsidR="009477FD" w:rsidRDefault="009477FD" w:rsidP="009477FD">
      <w:pPr>
        <w:shd w:val="clear" w:color="auto" w:fill="FFFFFF"/>
        <w:spacing w:line="480" w:lineRule="auto"/>
        <w:textAlignment w:val="baseline"/>
        <w:rPr>
          <w:rFonts w:eastAsia="Calibri"/>
          <w:sz w:val="22"/>
          <w:szCs w:val="22"/>
        </w:rPr>
      </w:pPr>
      <w:r w:rsidRPr="00D33635">
        <w:rPr>
          <w:rFonts w:eastAsia="Calibri"/>
          <w:sz w:val="22"/>
          <w:szCs w:val="22"/>
        </w:rPr>
        <w:t xml:space="preserve">Objective PA was assessed using the </w:t>
      </w:r>
      <w:proofErr w:type="spellStart"/>
      <w:r w:rsidRPr="00D33635">
        <w:rPr>
          <w:rFonts w:eastAsia="Calibri"/>
          <w:sz w:val="22"/>
          <w:szCs w:val="22"/>
        </w:rPr>
        <w:t>Axivity</w:t>
      </w:r>
      <w:proofErr w:type="spellEnd"/>
      <w:r w:rsidRPr="00D33635">
        <w:rPr>
          <w:rFonts w:eastAsia="Calibri"/>
          <w:sz w:val="22"/>
          <w:szCs w:val="22"/>
        </w:rPr>
        <w:t xml:space="preserve"> </w:t>
      </w:r>
      <w:proofErr w:type="spellStart"/>
      <w:r w:rsidRPr="00D33635">
        <w:rPr>
          <w:rFonts w:eastAsia="Calibri"/>
          <w:sz w:val="22"/>
          <w:szCs w:val="22"/>
        </w:rPr>
        <w:t>AX3</w:t>
      </w:r>
      <w:proofErr w:type="spellEnd"/>
      <w:r w:rsidRPr="00D33635">
        <w:rPr>
          <w:rFonts w:eastAsia="Calibri"/>
          <w:sz w:val="22"/>
          <w:szCs w:val="22"/>
        </w:rPr>
        <w:t xml:space="preserve"> wrist-worn </w:t>
      </w:r>
      <w:proofErr w:type="spellStart"/>
      <w:r w:rsidRPr="00D33635">
        <w:rPr>
          <w:rFonts w:eastAsia="Calibri"/>
          <w:sz w:val="22"/>
          <w:szCs w:val="22"/>
        </w:rPr>
        <w:t>triaxial</w:t>
      </w:r>
      <w:proofErr w:type="spellEnd"/>
      <w:r w:rsidRPr="00D33635">
        <w:rPr>
          <w:rFonts w:eastAsia="Calibri"/>
          <w:sz w:val="22"/>
          <w:szCs w:val="22"/>
        </w:rPr>
        <w:t xml:space="preserve"> accelerometer </w:t>
      </w:r>
      <w:r w:rsidRPr="00D33635">
        <w:rPr>
          <w:rFonts w:eastAsia="Times New Roman"/>
          <w:sz w:val="22"/>
          <w:szCs w:val="22"/>
        </w:rPr>
        <w:t>(</w:t>
      </w:r>
      <w:proofErr w:type="spellStart"/>
      <w:r w:rsidRPr="00D33635">
        <w:rPr>
          <w:rFonts w:eastAsia="Times New Roman"/>
          <w:sz w:val="22"/>
          <w:szCs w:val="22"/>
        </w:rPr>
        <w:t>Axivity</w:t>
      </w:r>
      <w:proofErr w:type="spellEnd"/>
      <w:r w:rsidRPr="00D33635">
        <w:rPr>
          <w:rFonts w:eastAsia="Times New Roman"/>
          <w:sz w:val="22"/>
          <w:szCs w:val="22"/>
        </w:rPr>
        <w:t xml:space="preserve"> Ltd, Newcastle, UK)</w:t>
      </w:r>
      <w:r w:rsidRPr="00D33635">
        <w:rPr>
          <w:rFonts w:eastAsia="Calibri"/>
          <w:sz w:val="22"/>
          <w:szCs w:val="22"/>
        </w:rPr>
        <w:t>, where participants were requested to wear the monitor continuously for seven consecutive days.</w:t>
      </w:r>
      <w:r w:rsidRPr="00D33635">
        <w:rPr>
          <w:rFonts w:eastAsia="Calibri"/>
          <w:sz w:val="22"/>
          <w:szCs w:val="22"/>
        </w:rPr>
        <w:fldChar w:fldCharType="begin"/>
      </w:r>
      <w:r>
        <w:rPr>
          <w:rFonts w:eastAsia="Calibri"/>
          <w:sz w:val="22"/>
          <w:szCs w:val="22"/>
        </w:rPr>
        <w:instrText xml:space="preserve"> ADDIN EN.CITE &lt;EndNote&gt;&lt;Cite&gt;&lt;Year&gt;2016&lt;/Year&gt;&lt;RecNum&gt;164&lt;/RecNum&gt;&lt;DisplayText&gt;[3]&lt;/DisplayText&gt;&lt;record&gt;&lt;rec-number&gt;164&lt;/rec-number&gt;&lt;foreign-keys&gt;&lt;key app="EN" db-id="e9ress05gdfw5vepa54xfew5f9adxaxw552z" timestamp="1496926173"&gt;164&lt;/key&gt;&lt;/foreign-keys&gt;&lt;ref-type name="Web Page"&gt;12&lt;/ref-type&gt;&lt;contributors&gt;&lt;/contributors&gt;&lt;titles&gt;&lt;title&gt;UK Biobank Physical activity monitor (accelerometer)&lt;/title&gt;&lt;/titles&gt;&lt;dates&gt;&lt;year&gt;2016&lt;/year&gt;&lt;/dates&gt;&lt;urls&gt;&lt;related-urls&gt;&lt;url&gt;https://biobank.ctsu.ox.ac.uk/crystal/docs/PhysicalActivityMonitor.pdf&lt;/url&gt;&lt;/related-urls&gt;&lt;/urls&gt;&lt;/record&gt;&lt;/Cite&gt;&lt;/EndNote&gt;</w:instrText>
      </w:r>
      <w:r w:rsidRPr="00D33635">
        <w:rPr>
          <w:rFonts w:eastAsia="Calibri"/>
          <w:sz w:val="22"/>
          <w:szCs w:val="22"/>
        </w:rPr>
        <w:fldChar w:fldCharType="separate"/>
      </w:r>
      <w:r>
        <w:rPr>
          <w:rFonts w:eastAsia="Calibri"/>
          <w:noProof/>
          <w:sz w:val="22"/>
          <w:szCs w:val="22"/>
        </w:rPr>
        <w:t>[3]</w:t>
      </w:r>
      <w:r w:rsidRPr="00D33635">
        <w:rPr>
          <w:rFonts w:eastAsia="Calibri"/>
          <w:sz w:val="22"/>
          <w:szCs w:val="22"/>
        </w:rPr>
        <w:fldChar w:fldCharType="end"/>
      </w:r>
      <w:r w:rsidRPr="00D33635">
        <w:rPr>
          <w:rFonts w:eastAsia="Calibri"/>
          <w:sz w:val="22"/>
          <w:szCs w:val="22"/>
        </w:rPr>
        <w:t xml:space="preserve"> Participants who provided a valid email address at the baseline assessment were re-contacted and invited to wear an accelerometer. </w:t>
      </w:r>
      <w:r>
        <w:rPr>
          <w:rFonts w:eastAsia="Calibri"/>
          <w:sz w:val="22"/>
          <w:szCs w:val="22"/>
        </w:rPr>
        <w:t>The a</w:t>
      </w:r>
      <w:r w:rsidRPr="00D33635">
        <w:rPr>
          <w:rFonts w:eastAsia="Calibri"/>
          <w:sz w:val="22"/>
          <w:szCs w:val="22"/>
        </w:rPr>
        <w:t>ccelerometer was posted to their home address following consent. Full data processing methods are available elsewhere.</w:t>
      </w:r>
      <w:r w:rsidRPr="00D33635">
        <w:rPr>
          <w:rFonts w:eastAsia="Calibri"/>
          <w:sz w:val="22"/>
          <w:szCs w:val="22"/>
        </w:rPr>
        <w:fldChar w:fldCharType="begin"/>
      </w:r>
      <w:r>
        <w:rPr>
          <w:rFonts w:eastAsia="Calibri"/>
          <w:sz w:val="22"/>
          <w:szCs w:val="22"/>
        </w:rPr>
        <w:instrText xml:space="preserve"> ADDIN EN.CITE &lt;EndNote&gt;&lt;Cite&gt;&lt;Author&gt;Doherty&lt;/Author&gt;&lt;Year&gt;2017&lt;/Year&gt;&lt;RecNum&gt;163&lt;/RecNum&gt;&lt;DisplayText&gt;[4]&lt;/DisplayText&gt;&lt;record&gt;&lt;rec-number&gt;163&lt;/rec-number&gt;&lt;foreign-keys&gt;&lt;key app="EN" db-id="e9ress05gdfw5vepa54xfew5f9adxaxw552z" timestamp="1496755167"&gt;163&lt;/key&gt;&lt;/foreign-keys&gt;&lt;ref-type name="Journal Article"&gt;17&lt;/ref-type&gt;&lt;contributors&gt;&lt;authors&gt;&lt;author&gt;Doherty, Aiden&lt;/author&gt;&lt;author&gt;Jackson, Dan&lt;/author&gt;&lt;author&gt;Hammerla, Nils&lt;/author&gt;&lt;author&gt;Plötz, Thomas&lt;/author&gt;&lt;author&gt;Olivier, Patrick&lt;/author&gt;&lt;author&gt;Granat, Malcolm H&lt;/author&gt;&lt;author&gt;White, Tom&lt;/author&gt;&lt;author&gt;van Hees, Vincent T&lt;/author&gt;&lt;author&gt;Trenell, Michael I&lt;/author&gt;&lt;author&gt;Owen, Christoper G&lt;/author&gt;&lt;/authors&gt;&lt;/contributors&gt;&lt;titles&gt;&lt;title&gt;Large scale population assessment of physical activity using wrist worn accelerometers: the UK Biobank study&lt;/title&gt;&lt;secondary-title&gt;PloS one&lt;/secondary-title&gt;&lt;/titles&gt;&lt;periodical&gt;&lt;full-title&gt;PloS one&lt;/full-title&gt;&lt;/periodical&gt;&lt;pages&gt;e0169649&lt;/pages&gt;&lt;volume&gt;12&lt;/volume&gt;&lt;number&gt;2&lt;/number&gt;&lt;dates&gt;&lt;year&gt;2017&lt;/year&gt;&lt;/dates&gt;&lt;isbn&gt;1932-6203&lt;/isbn&gt;&lt;urls&gt;&lt;/urls&gt;&lt;/record&gt;&lt;/Cite&gt;&lt;/EndNote&gt;</w:instrText>
      </w:r>
      <w:r w:rsidRPr="00D33635">
        <w:rPr>
          <w:rFonts w:eastAsia="Calibri"/>
          <w:sz w:val="22"/>
          <w:szCs w:val="22"/>
        </w:rPr>
        <w:fldChar w:fldCharType="separate"/>
      </w:r>
      <w:r>
        <w:rPr>
          <w:rFonts w:eastAsia="Calibri"/>
          <w:noProof/>
          <w:sz w:val="22"/>
          <w:szCs w:val="22"/>
        </w:rPr>
        <w:t>[4]</w:t>
      </w:r>
      <w:r w:rsidRPr="00D33635">
        <w:rPr>
          <w:rFonts w:eastAsia="Calibri"/>
          <w:sz w:val="22"/>
          <w:szCs w:val="22"/>
        </w:rPr>
        <w:fldChar w:fldCharType="end"/>
      </w:r>
      <w:r w:rsidRPr="00D33635">
        <w:rPr>
          <w:rFonts w:eastAsia="Calibri"/>
          <w:sz w:val="22"/>
          <w:szCs w:val="22"/>
        </w:rPr>
        <w:t xml:space="preserve"> We excluded participants with less than three days of wear data and without wear data in each one-hour period of the 24-hour cycle (n=6,943)</w:t>
      </w:r>
      <w:r>
        <w:rPr>
          <w:rFonts w:eastAsia="Calibri"/>
          <w:sz w:val="22"/>
          <w:szCs w:val="22"/>
        </w:rPr>
        <w:t xml:space="preserve"> as recommended, </w:t>
      </w:r>
      <w:r w:rsidRPr="00D33635">
        <w:rPr>
          <w:rFonts w:eastAsia="Calibri"/>
          <w:sz w:val="22"/>
          <w:szCs w:val="22"/>
        </w:rPr>
        <w:fldChar w:fldCharType="begin"/>
      </w:r>
      <w:r>
        <w:rPr>
          <w:rFonts w:eastAsia="Calibri"/>
          <w:sz w:val="22"/>
          <w:szCs w:val="22"/>
        </w:rPr>
        <w:instrText xml:space="preserve"> ADDIN EN.CITE &lt;EndNote&gt;&lt;Cite&gt;&lt;Author&gt;Doherty&lt;/Author&gt;&lt;Year&gt;2017&lt;/Year&gt;&lt;RecNum&gt;163&lt;/RecNum&gt;&lt;DisplayText&gt;[4]&lt;/DisplayText&gt;&lt;record&gt;&lt;rec-number&gt;163&lt;/rec-number&gt;&lt;foreign-keys&gt;&lt;key app="EN" db-id="e9ress05gdfw5vepa54xfew5f9adxaxw552z" timestamp="1496755167"&gt;163&lt;/key&gt;&lt;/foreign-keys&gt;&lt;ref-type name="Journal Article"&gt;17&lt;/ref-type&gt;&lt;contributors&gt;&lt;authors&gt;&lt;author&gt;Doherty, Aiden&lt;/author&gt;&lt;author&gt;Jackson, Dan&lt;/author&gt;&lt;author&gt;Hammerla, Nils&lt;/author&gt;&lt;author&gt;Plötz, Thomas&lt;/author&gt;&lt;author&gt;Olivier, Patrick&lt;/author&gt;&lt;author&gt;Granat, Malcolm H&lt;/author&gt;&lt;author&gt;White, Tom&lt;/author&gt;&lt;author&gt;van Hees, Vincent T&lt;/author&gt;&lt;author&gt;Trenell, Michael I&lt;/author&gt;&lt;author&gt;Owen, Christoper G&lt;/author&gt;&lt;/authors&gt;&lt;/contributors&gt;&lt;titles&gt;&lt;title&gt;Large scale population assessment of physical activity using wrist worn accelerometers: the UK Biobank study&lt;/title&gt;&lt;secondary-title&gt;PloS one&lt;/secondary-title&gt;&lt;/titles&gt;&lt;periodical&gt;&lt;full-title&gt;PloS one&lt;/full-title&gt;&lt;/periodical&gt;&lt;pages&gt;e0169649&lt;/pages&gt;&lt;volume&gt;12&lt;/volume&gt;&lt;number&gt;2&lt;/number&gt;&lt;dates&gt;&lt;year&gt;2017&lt;/year&gt;&lt;/dates&gt;&lt;isbn&gt;1932-6203&lt;/isbn&gt;&lt;urls&gt;&lt;/urls&gt;&lt;/record&gt;&lt;/Cite&gt;&lt;/EndNote&gt;</w:instrText>
      </w:r>
      <w:r w:rsidRPr="00D33635">
        <w:rPr>
          <w:rFonts w:eastAsia="Calibri"/>
          <w:sz w:val="22"/>
          <w:szCs w:val="22"/>
        </w:rPr>
        <w:fldChar w:fldCharType="separate"/>
      </w:r>
      <w:r>
        <w:rPr>
          <w:rFonts w:eastAsia="Calibri"/>
          <w:noProof/>
          <w:sz w:val="22"/>
          <w:szCs w:val="22"/>
        </w:rPr>
        <w:t>[4]</w:t>
      </w:r>
      <w:r w:rsidRPr="00D33635">
        <w:rPr>
          <w:rFonts w:eastAsia="Calibri"/>
          <w:sz w:val="22"/>
          <w:szCs w:val="22"/>
        </w:rPr>
        <w:fldChar w:fldCharType="end"/>
      </w:r>
      <w:r w:rsidRPr="00D33635">
        <w:rPr>
          <w:rFonts w:eastAsia="Calibri"/>
          <w:sz w:val="22"/>
          <w:szCs w:val="22"/>
        </w:rPr>
        <w:t xml:space="preserve"> or with failed accelerometer calibration (n=162); or for participants with objective PA measurements after the mortality register was taken (n=121). We </w:t>
      </w:r>
      <w:r w:rsidRPr="00D33635">
        <w:rPr>
          <w:rFonts w:eastAsia="Calibri"/>
          <w:sz w:val="22"/>
          <w:szCs w:val="22"/>
        </w:rPr>
        <w:lastRenderedPageBreak/>
        <w:t>used the overall acceleration average, since this measured the total time spent in different levels of PA intensity and has previously demonstrated a high correlation with total energy expenditure.</w:t>
      </w:r>
      <w:r w:rsidRPr="00D33635">
        <w:rPr>
          <w:rFonts w:eastAsia="Calibri"/>
          <w:sz w:val="22"/>
          <w:szCs w:val="22"/>
        </w:rPr>
        <w:fldChar w:fldCharType="begin"/>
      </w:r>
      <w:r>
        <w:rPr>
          <w:rFonts w:eastAsia="Calibri"/>
          <w:sz w:val="22"/>
          <w:szCs w:val="22"/>
        </w:rPr>
        <w:instrText xml:space="preserve"> ADDIN EN.CITE &lt;EndNote&gt;&lt;Cite&gt;&lt;Author&gt;van Hees&lt;/Author&gt;&lt;Year&gt;2011&lt;/Year&gt;&lt;RecNum&gt;167&lt;/RecNum&gt;&lt;DisplayText&gt;[5]&lt;/DisplayText&gt;&lt;record&gt;&lt;rec-number&gt;167&lt;/rec-number&gt;&lt;foreign-keys&gt;&lt;key app="EN" db-id="e9ress05gdfw5vepa54xfew5f9adxaxw552z" timestamp="1496928326"&gt;167&lt;/key&gt;&lt;/foreign-keys&gt;&lt;ref-type name="Journal Article"&gt;17&lt;/ref-type&gt;&lt;contributors&gt;&lt;authors&gt;&lt;author&gt;van Hees, Vincent T&lt;/author&gt;&lt;author&gt;Renström, Frida&lt;/author&gt;&lt;author&gt;Wright, Antony&lt;/author&gt;&lt;author&gt;Gradmark, Anna&lt;/author&gt;&lt;author&gt;Catt, Michael&lt;/author&gt;&lt;author&gt;Chen, Kong Y&lt;/author&gt;&lt;author&gt;Löf, Marie&lt;/author&gt;&lt;author&gt;Bluck, Les&lt;/author&gt;&lt;author&gt;Pomeroy, Jeremy&lt;/author&gt;&lt;author&gt;Wareham, Nicholas J&lt;/author&gt;&lt;/authors&gt;&lt;/contributors&gt;&lt;titles&gt;&lt;title&gt;Estimation of daily energy expenditure in pregnant and non-pregnant women using a wrist-worn tri-axial accelerometer&lt;/title&gt;&lt;secondary-title&gt;PloS one&lt;/secondary-title&gt;&lt;/titles&gt;&lt;periodical&gt;&lt;full-title&gt;PloS one&lt;/full-title&gt;&lt;/periodical&gt;&lt;pages&gt;e22922&lt;/pages&gt;&lt;volume&gt;6&lt;/volume&gt;&lt;number&gt;7&lt;/number&gt;&lt;dates&gt;&lt;year&gt;2011&lt;/year&gt;&lt;/dates&gt;&lt;isbn&gt;1932-6203&lt;/isbn&gt;&lt;urls&gt;&lt;/urls&gt;&lt;/record&gt;&lt;/Cite&gt;&lt;/EndNote&gt;</w:instrText>
      </w:r>
      <w:r w:rsidRPr="00D33635">
        <w:rPr>
          <w:rFonts w:eastAsia="Calibri"/>
          <w:sz w:val="22"/>
          <w:szCs w:val="22"/>
        </w:rPr>
        <w:fldChar w:fldCharType="separate"/>
      </w:r>
      <w:r>
        <w:rPr>
          <w:rFonts w:eastAsia="Calibri"/>
          <w:noProof/>
          <w:sz w:val="22"/>
          <w:szCs w:val="22"/>
        </w:rPr>
        <w:t>[5]</w:t>
      </w:r>
      <w:r w:rsidRPr="00D33635">
        <w:rPr>
          <w:rFonts w:eastAsia="Calibri"/>
          <w:sz w:val="22"/>
          <w:szCs w:val="22"/>
        </w:rPr>
        <w:fldChar w:fldCharType="end"/>
      </w:r>
      <w:r w:rsidRPr="00D33635">
        <w:rPr>
          <w:rFonts w:eastAsia="Calibri"/>
          <w:sz w:val="22"/>
          <w:szCs w:val="22"/>
        </w:rPr>
        <w:t xml:space="preserve"> Within the population distribution, we established tertiles to group PA: lowest (&lt;24.0 milli-gravitational units (m</w:t>
      </w:r>
      <w:r w:rsidRPr="00D33635">
        <w:rPr>
          <w:rFonts w:eastAsia="Calibri"/>
          <w:i/>
          <w:sz w:val="22"/>
          <w:szCs w:val="22"/>
        </w:rPr>
        <w:t>g</w:t>
      </w:r>
      <w:r w:rsidRPr="00D33635">
        <w:rPr>
          <w:rFonts w:eastAsia="Calibri"/>
          <w:sz w:val="22"/>
          <w:szCs w:val="22"/>
        </w:rPr>
        <w:t>)), middle (24.0-30.4 m</w:t>
      </w:r>
      <w:r w:rsidRPr="00D33635">
        <w:rPr>
          <w:rFonts w:eastAsia="Calibri"/>
          <w:i/>
          <w:sz w:val="22"/>
          <w:szCs w:val="22"/>
        </w:rPr>
        <w:t>g</w:t>
      </w:r>
      <w:r w:rsidRPr="00D33635">
        <w:rPr>
          <w:rFonts w:eastAsia="Calibri"/>
          <w:sz w:val="22"/>
          <w:szCs w:val="22"/>
        </w:rPr>
        <w:t xml:space="preserve">) and upper </w:t>
      </w:r>
      <w:r w:rsidRPr="00885201">
        <w:rPr>
          <w:rFonts w:eastAsia="Calibri"/>
          <w:sz w:val="22"/>
          <w:szCs w:val="22"/>
        </w:rPr>
        <w:t>tertile (&gt;30.4 m</w:t>
      </w:r>
      <w:r w:rsidRPr="00885201">
        <w:rPr>
          <w:rFonts w:eastAsia="Calibri"/>
          <w:i/>
          <w:sz w:val="22"/>
          <w:szCs w:val="22"/>
        </w:rPr>
        <w:t>g</w:t>
      </w:r>
      <w:r w:rsidRPr="00885201">
        <w:rPr>
          <w:rFonts w:eastAsia="Calibri"/>
          <w:sz w:val="22"/>
          <w:szCs w:val="22"/>
        </w:rPr>
        <w:t>). For</w:t>
      </w:r>
      <w:r w:rsidRPr="00D33635">
        <w:rPr>
          <w:rFonts w:eastAsia="Calibri"/>
          <w:sz w:val="22"/>
          <w:szCs w:val="22"/>
        </w:rPr>
        <w:t xml:space="preserve"> ease of interpretation, we described the tertiles in terms of the number of minutes accumulated at an intensity equivalent to, or greater than, walking ‘at a brisk pace, for exercise’ (4.3 </w:t>
      </w:r>
      <w:r w:rsidR="00FA1266">
        <w:rPr>
          <w:rFonts w:eastAsia="Calibri"/>
          <w:sz w:val="22"/>
          <w:szCs w:val="22"/>
        </w:rPr>
        <w:t>MET</w:t>
      </w:r>
      <w:r w:rsidRPr="00D33635">
        <w:rPr>
          <w:rFonts w:eastAsia="Calibri"/>
          <w:sz w:val="22"/>
          <w:szCs w:val="22"/>
        </w:rPr>
        <w:t>),</w:t>
      </w:r>
      <w:r w:rsidRPr="00D33635">
        <w:rPr>
          <w:rFonts w:eastAsia="Calibri"/>
          <w:sz w:val="22"/>
          <w:szCs w:val="22"/>
        </w:rPr>
        <w:fldChar w:fldCharType="begin"/>
      </w:r>
      <w:r>
        <w:rPr>
          <w:rFonts w:eastAsia="Calibri"/>
          <w:sz w:val="22"/>
          <w:szCs w:val="22"/>
        </w:rPr>
        <w:instrText xml:space="preserve"> ADDIN EN.CITE &lt;EndNote&gt;&lt;Cite&gt;&lt;Author&gt;Ainsworth&lt;/Author&gt;&lt;Year&gt;2000&lt;/Year&gt;&lt;RecNum&gt;135&lt;/RecNum&gt;&lt;DisplayText&gt;[1]&lt;/DisplayText&gt;&lt;record&gt;&lt;rec-number&gt;135&lt;/rec-number&gt;&lt;foreign-keys&gt;&lt;key app="EN" db-id="e9ress05gdfw5vepa54xfew5f9adxaxw552z" timestamp="1493806165"&gt;135&lt;/key&gt;&lt;/foreign-keys&gt;&lt;ref-type name="Journal Article"&gt;17&lt;/ref-type&gt;&lt;contributors&gt;&lt;authors&gt;&lt;author&gt;Ainsworth, Barbara E&lt;/author&gt;&lt;author&gt;Haskell, William L&lt;/author&gt;&lt;author&gt;Whitt, Melicia C&lt;/author&gt;&lt;author&gt;Irwin, Melinda L&lt;/author&gt;&lt;author&gt;Swartz, Ann M&lt;/author&gt;&lt;author&gt;Strath, Scott J&lt;/author&gt;&lt;author&gt;O Brien, WILLIAM L&lt;/author&gt;&lt;author&gt;Bassett, David R&lt;/author&gt;&lt;author&gt;Schmitz, Kathryn H&lt;/author&gt;&lt;author&gt;Emplaincourt, Patricia O&lt;/author&gt;&lt;/authors&gt;&lt;/contributors&gt;&lt;titles&gt;&lt;title&gt;Compendium of physical activities: an update of activity codes and MET intensities&lt;/title&gt;&lt;secondary-title&gt;Medicine and science in sports and exercise&lt;/secondary-title&gt;&lt;/titles&gt;&lt;periodical&gt;&lt;full-title&gt;Medicine and science in sports and exercise&lt;/full-title&gt;&lt;/periodical&gt;&lt;pages&gt;S498-S504&lt;/pages&gt;&lt;volume&gt;32&lt;/volume&gt;&lt;number&gt;9; SUPP/1&lt;/number&gt;&lt;dates&gt;&lt;year&gt;2000&lt;/year&gt;&lt;/dates&gt;&lt;isbn&gt;0195-9131&lt;/isbn&gt;&lt;urls&gt;&lt;/urls&gt;&lt;/record&gt;&lt;/Cite&gt;&lt;/EndNote&gt;</w:instrText>
      </w:r>
      <w:r w:rsidRPr="00D33635">
        <w:rPr>
          <w:rFonts w:eastAsia="Calibri"/>
          <w:sz w:val="22"/>
          <w:szCs w:val="22"/>
        </w:rPr>
        <w:fldChar w:fldCharType="separate"/>
      </w:r>
      <w:r>
        <w:rPr>
          <w:rFonts w:eastAsia="Calibri"/>
          <w:noProof/>
          <w:sz w:val="22"/>
          <w:szCs w:val="22"/>
        </w:rPr>
        <w:t>[1]</w:t>
      </w:r>
      <w:r w:rsidRPr="00D33635">
        <w:rPr>
          <w:rFonts w:eastAsia="Calibri"/>
          <w:sz w:val="22"/>
          <w:szCs w:val="22"/>
        </w:rPr>
        <w:fldChar w:fldCharType="end"/>
      </w:r>
      <w:r w:rsidRPr="00D33635">
        <w:rPr>
          <w:rFonts w:eastAsia="Calibri"/>
          <w:sz w:val="22"/>
          <w:szCs w:val="22"/>
        </w:rPr>
        <w:t xml:space="preserve"> which can be predicted from the time accumulated </w:t>
      </w:r>
      <w:r w:rsidRPr="004A54D8">
        <w:rPr>
          <w:rFonts w:eastAsia="Calibri"/>
          <w:sz w:val="22"/>
          <w:szCs w:val="22"/>
        </w:rPr>
        <w:t xml:space="preserve">at an acceleration </w:t>
      </w:r>
      <w:r>
        <w:rPr>
          <w:rFonts w:eastAsia="Calibri"/>
          <w:sz w:val="22"/>
          <w:szCs w:val="22"/>
        </w:rPr>
        <w:t xml:space="preserve">above </w:t>
      </w:r>
      <w:r w:rsidRPr="004A54D8">
        <w:rPr>
          <w:rFonts w:eastAsia="Calibri"/>
          <w:sz w:val="22"/>
          <w:szCs w:val="22"/>
        </w:rPr>
        <w:t xml:space="preserve">250 </w:t>
      </w:r>
      <w:r w:rsidRPr="00037DF4">
        <w:rPr>
          <w:rFonts w:eastAsia="Calibri"/>
          <w:sz w:val="22"/>
          <w:szCs w:val="22"/>
        </w:rPr>
        <w:t>m</w:t>
      </w:r>
      <w:r w:rsidRPr="00037DF4">
        <w:rPr>
          <w:rFonts w:eastAsia="Calibri"/>
          <w:i/>
          <w:sz w:val="22"/>
          <w:szCs w:val="22"/>
        </w:rPr>
        <w:t>g</w:t>
      </w:r>
      <w:r w:rsidRPr="00037DF4">
        <w:rPr>
          <w:rFonts w:eastAsia="Calibri"/>
          <w:sz w:val="22"/>
          <w:szCs w:val="22"/>
        </w:rPr>
        <w:t xml:space="preserve">. </w:t>
      </w:r>
      <w:r w:rsidRPr="00037DF4">
        <w:rPr>
          <w:rFonts w:eastAsia="Calibri"/>
          <w:sz w:val="22"/>
          <w:szCs w:val="22"/>
        </w:rPr>
        <w:fldChar w:fldCharType="begin"/>
      </w:r>
      <w:r w:rsidRPr="00037DF4">
        <w:rPr>
          <w:rFonts w:eastAsia="Calibri"/>
          <w:sz w:val="22"/>
          <w:szCs w:val="22"/>
        </w:rPr>
        <w:instrText xml:space="preserve"> ADDIN EN.CITE &lt;EndNote&gt;&lt;Cite&gt;&lt;Author&gt;Hildebrand M&lt;/Author&gt;&lt;Year&gt;2014&lt;/Year&gt;&lt;RecNum&gt;199&lt;/RecNum&gt;&lt;DisplayText&gt;[6]&lt;/DisplayText&gt;&lt;record&gt;&lt;rec-number&gt;199&lt;/rec-number&gt;&lt;foreign-keys&gt;&lt;key app="EN" db-id="e9ress05gdfw5vepa54xfew5f9adxaxw552z" timestamp="1504543552"&gt;199&lt;/key&gt;&lt;/foreign-keys&gt;&lt;ref-type name="Journal Article"&gt;17&lt;/ref-type&gt;&lt;contributors&gt;&lt;authors&gt;&lt;author&gt;Hildebrand M, VAN Hees VT, Hansen BH, Ekelund U.&lt;/author&gt;&lt;/authors&gt;&lt;/contributors&gt;&lt;titles&gt;&lt;title&gt;Age-group comparibility of raw accelerometer output from wrist- and hip-worn monitors&lt;/title&gt;&lt;secondary-title&gt;Medicine and Science in Sports and Exercise&lt;/secondary-title&gt;&lt;/titles&gt;&lt;periodical&gt;&lt;full-title&gt;Medicine and science in sports and exercise&lt;/full-title&gt;&lt;/periodical&gt;&lt;pages&gt;1816-1824&lt;/pages&gt;&lt;volume&gt;46&lt;/volume&gt;&lt;number&gt;9&lt;/number&gt;&lt;dates&gt;&lt;year&gt;2014&lt;/year&gt;&lt;/dates&gt;&lt;urls&gt;&lt;/urls&gt;&lt;/record&gt;&lt;/Cite&gt;&lt;/EndNote&gt;</w:instrText>
      </w:r>
      <w:r w:rsidRPr="00037DF4">
        <w:rPr>
          <w:rFonts w:eastAsia="Calibri"/>
          <w:sz w:val="22"/>
          <w:szCs w:val="22"/>
        </w:rPr>
        <w:fldChar w:fldCharType="separate"/>
      </w:r>
      <w:r w:rsidRPr="00037DF4">
        <w:rPr>
          <w:rFonts w:eastAsia="Calibri"/>
          <w:noProof/>
          <w:sz w:val="22"/>
          <w:szCs w:val="22"/>
        </w:rPr>
        <w:t>[6]</w:t>
      </w:r>
      <w:r w:rsidRPr="00037DF4">
        <w:rPr>
          <w:rFonts w:eastAsia="Calibri"/>
          <w:sz w:val="22"/>
          <w:szCs w:val="22"/>
        </w:rPr>
        <w:fldChar w:fldCharType="end"/>
      </w:r>
      <w:r w:rsidRPr="00037DF4">
        <w:rPr>
          <w:rFonts w:eastAsia="Calibri"/>
          <w:sz w:val="22"/>
          <w:szCs w:val="22"/>
        </w:rPr>
        <w:t xml:space="preserve"> </w:t>
      </w:r>
      <w:r w:rsidRPr="00037DF4">
        <w:rPr>
          <w:iCs/>
          <w:sz w:val="22"/>
          <w:szCs w:val="22"/>
        </w:rPr>
        <w:t>The 250 m</w:t>
      </w:r>
      <w:r w:rsidRPr="00037DF4">
        <w:rPr>
          <w:i/>
          <w:iCs/>
          <w:sz w:val="22"/>
          <w:szCs w:val="22"/>
        </w:rPr>
        <w:t>g</w:t>
      </w:r>
      <w:r w:rsidRPr="00037DF4">
        <w:rPr>
          <w:iCs/>
          <w:sz w:val="22"/>
          <w:szCs w:val="22"/>
        </w:rPr>
        <w:t xml:space="preserve"> cut-point is taken from data from a laboratory-based calibration study.</w:t>
      </w:r>
      <w:r w:rsidRPr="00037DF4">
        <w:rPr>
          <w:rFonts w:eastAsia="Calibri"/>
          <w:sz w:val="22"/>
          <w:szCs w:val="22"/>
        </w:rPr>
        <w:t xml:space="preserve"> </w:t>
      </w:r>
      <w:r w:rsidRPr="00037DF4">
        <w:rPr>
          <w:rFonts w:eastAsia="Calibri"/>
          <w:sz w:val="22"/>
          <w:szCs w:val="22"/>
        </w:rPr>
        <w:fldChar w:fldCharType="begin"/>
      </w:r>
      <w:r w:rsidRPr="00037DF4">
        <w:rPr>
          <w:rFonts w:eastAsia="Calibri"/>
          <w:sz w:val="22"/>
          <w:szCs w:val="22"/>
        </w:rPr>
        <w:instrText xml:space="preserve"> ADDIN EN.CITE &lt;EndNote&gt;&lt;Cite&gt;&lt;Author&gt;Hildebrand M&lt;/Author&gt;&lt;Year&gt;2014&lt;/Year&gt;&lt;RecNum&gt;199&lt;/RecNum&gt;&lt;DisplayText&gt;[6]&lt;/DisplayText&gt;&lt;record&gt;&lt;rec-number&gt;199&lt;/rec-number&gt;&lt;foreign-keys&gt;&lt;key app="EN" db-id="e9ress05gdfw5vepa54xfew5f9adxaxw552z" timestamp="1504543552"&gt;199&lt;/key&gt;&lt;/foreign-keys&gt;&lt;ref-type name="Journal Article"&gt;17&lt;/ref-type&gt;&lt;contributors&gt;&lt;authors&gt;&lt;author&gt;Hildebrand M, VAN Hees VT, Hansen BH, Ekelund U.&lt;/author&gt;&lt;/authors&gt;&lt;/contributors&gt;&lt;titles&gt;&lt;title&gt;Age-group comparibility of raw accelerometer output from wrist- and hip-worn monitors&lt;/title&gt;&lt;secondary-title&gt;Medicine and Science in Sports and Exercise&lt;/secondary-title&gt;&lt;/titles&gt;&lt;periodical&gt;&lt;full-title&gt;Medicine and science in sports and exercise&lt;/full-title&gt;&lt;/periodical&gt;&lt;pages&gt;1816-1824&lt;/pages&gt;&lt;volume&gt;46&lt;/volume&gt;&lt;number&gt;9&lt;/number&gt;&lt;dates&gt;&lt;year&gt;2014&lt;/year&gt;&lt;/dates&gt;&lt;urls&gt;&lt;/urls&gt;&lt;/record&gt;&lt;/Cite&gt;&lt;/EndNote&gt;</w:instrText>
      </w:r>
      <w:r w:rsidRPr="00037DF4">
        <w:rPr>
          <w:rFonts w:eastAsia="Calibri"/>
          <w:sz w:val="22"/>
          <w:szCs w:val="22"/>
        </w:rPr>
        <w:fldChar w:fldCharType="separate"/>
      </w:r>
      <w:r w:rsidRPr="00037DF4">
        <w:rPr>
          <w:rFonts w:eastAsia="Calibri"/>
          <w:noProof/>
          <w:sz w:val="22"/>
          <w:szCs w:val="22"/>
        </w:rPr>
        <w:t>[6]</w:t>
      </w:r>
      <w:r w:rsidRPr="00037DF4">
        <w:rPr>
          <w:rFonts w:eastAsia="Calibri"/>
          <w:sz w:val="22"/>
          <w:szCs w:val="22"/>
        </w:rPr>
        <w:fldChar w:fldCharType="end"/>
      </w:r>
      <w:r w:rsidRPr="00037DF4">
        <w:rPr>
          <w:rFonts w:eastAsia="Calibri"/>
          <w:sz w:val="22"/>
          <w:szCs w:val="22"/>
        </w:rPr>
        <w:t xml:space="preserve"> </w:t>
      </w:r>
      <w:r w:rsidRPr="00037DF4">
        <w:rPr>
          <w:iCs/>
          <w:sz w:val="22"/>
          <w:szCs w:val="22"/>
        </w:rPr>
        <w:t xml:space="preserve">This study included 30 adults aged 18-65 years and the following activities: lying, sitting, standing, lifestyle activities circuit, slow walking, fast walking, running, walking up and down a step. We chose to translate activity levels in terms of brisk walking as it is a moderate intensity activity that is frequently cited as an example in physical activity guidelines (e.g. </w:t>
      </w:r>
      <w:hyperlink r:id="rId10" w:history="1">
        <w:r w:rsidRPr="00037DF4">
          <w:rPr>
            <w:rStyle w:val="Hyperlink"/>
            <w:iCs/>
            <w:color w:val="auto"/>
            <w:sz w:val="22"/>
            <w:szCs w:val="22"/>
          </w:rPr>
          <w:t>https://www.nhs.uk/live-well/exercise/</w:t>
        </w:r>
      </w:hyperlink>
      <w:r w:rsidRPr="00037DF4">
        <w:rPr>
          <w:iCs/>
          <w:sz w:val="22"/>
          <w:szCs w:val="22"/>
        </w:rPr>
        <w:t xml:space="preserve">). The energy expenditure compendium reports 4.3 </w:t>
      </w:r>
      <w:r w:rsidR="00FA1266" w:rsidRPr="00037DF4">
        <w:rPr>
          <w:iCs/>
          <w:sz w:val="22"/>
          <w:szCs w:val="22"/>
        </w:rPr>
        <w:t>MET</w:t>
      </w:r>
      <w:r w:rsidRPr="00037DF4">
        <w:rPr>
          <w:iCs/>
          <w:sz w:val="22"/>
          <w:szCs w:val="22"/>
        </w:rPr>
        <w:t xml:space="preserve"> is indicative of walking at a ‘brisk pace for exercise’.</w:t>
      </w:r>
      <w:r w:rsidRPr="00037DF4">
        <w:rPr>
          <w:rFonts w:eastAsia="Calibri"/>
          <w:sz w:val="22"/>
          <w:szCs w:val="22"/>
        </w:rPr>
        <w:t xml:space="preserve"> </w:t>
      </w:r>
      <w:r w:rsidRPr="00037DF4">
        <w:rPr>
          <w:rFonts w:eastAsia="Calibri"/>
          <w:sz w:val="22"/>
          <w:szCs w:val="22"/>
        </w:rPr>
        <w:fldChar w:fldCharType="begin"/>
      </w:r>
      <w:r w:rsidRPr="00037DF4">
        <w:rPr>
          <w:rFonts w:eastAsia="Calibri"/>
          <w:sz w:val="22"/>
          <w:szCs w:val="22"/>
        </w:rPr>
        <w:instrText xml:space="preserve"> ADDIN EN.CITE &lt;EndNote&gt;&lt;Cite&gt;&lt;Author&gt;Ainsworth&lt;/Author&gt;&lt;Year&gt;2000&lt;/Year&gt;&lt;RecNum&gt;135&lt;/RecNum&gt;&lt;DisplayText&gt;[1]&lt;/DisplayText&gt;&lt;record&gt;&lt;rec-number&gt;135&lt;/rec-number&gt;&lt;foreign-keys&gt;&lt;key app="EN" db-id="e9ress05gdfw5vepa54xfew5f9adxaxw552z" timestamp="1493806165"&gt;135&lt;/key&gt;&lt;/foreign-keys&gt;&lt;ref-type name="Journal Article"&gt;17&lt;/ref-type&gt;&lt;contributors&gt;&lt;authors&gt;&lt;author&gt;Ainsworth, Barbara E&lt;/author&gt;&lt;author&gt;Haskell, William L&lt;/author&gt;&lt;author&gt;Whitt, Melicia C&lt;/author&gt;&lt;author&gt;Irwin, Melinda L&lt;/author&gt;&lt;author&gt;Swartz, Ann M&lt;/author&gt;&lt;author&gt;Strath, Scott J&lt;/author&gt;&lt;author&gt;O Brien, WILLIAM L&lt;/author&gt;&lt;author&gt;Bassett, David R&lt;/author&gt;&lt;author&gt;Schmitz, Kathryn H&lt;/author&gt;&lt;author&gt;Emplaincourt, Patricia O&lt;/author&gt;&lt;/authors&gt;&lt;/contributors&gt;&lt;titles&gt;&lt;title&gt;Compendium of physical activities: an update of activity codes and MET intensities&lt;/title&gt;&lt;secondary-title&gt;Medicine and science in sports and exercise&lt;/secondary-title&gt;&lt;/titles&gt;&lt;periodical&gt;&lt;full-title&gt;Medicine and science in sports and exercise&lt;/full-title&gt;&lt;/periodical&gt;&lt;pages&gt;S498-S504&lt;/pages&gt;&lt;volume&gt;32&lt;/volume&gt;&lt;number&gt;9; SUPP/1&lt;/number&gt;&lt;dates&gt;&lt;year&gt;2000&lt;/year&gt;&lt;/dates&gt;&lt;isbn&gt;0195-9131&lt;/isbn&gt;&lt;urls&gt;&lt;/urls&gt;&lt;/record&gt;&lt;/Cite&gt;&lt;/EndNote&gt;</w:instrText>
      </w:r>
      <w:r w:rsidRPr="00037DF4">
        <w:rPr>
          <w:rFonts w:eastAsia="Calibri"/>
          <w:sz w:val="22"/>
          <w:szCs w:val="22"/>
        </w:rPr>
        <w:fldChar w:fldCharType="separate"/>
      </w:r>
      <w:r w:rsidRPr="00037DF4">
        <w:rPr>
          <w:rFonts w:eastAsia="Calibri"/>
          <w:noProof/>
          <w:sz w:val="22"/>
          <w:szCs w:val="22"/>
        </w:rPr>
        <w:t>[1]</w:t>
      </w:r>
      <w:r w:rsidRPr="00037DF4">
        <w:rPr>
          <w:rFonts w:eastAsia="Calibri"/>
          <w:sz w:val="22"/>
          <w:szCs w:val="22"/>
        </w:rPr>
        <w:fldChar w:fldCharType="end"/>
      </w:r>
      <w:r w:rsidRPr="00037DF4">
        <w:rPr>
          <w:rFonts w:eastAsia="Calibri"/>
          <w:sz w:val="22"/>
          <w:szCs w:val="22"/>
        </w:rPr>
        <w:t xml:space="preserve"> </w:t>
      </w:r>
      <w:r w:rsidRPr="00037DF4">
        <w:rPr>
          <w:iCs/>
          <w:sz w:val="22"/>
          <w:szCs w:val="22"/>
        </w:rPr>
        <w:t>The regression equation presented by the authors of the calibration study for wrist acceleration and energy expenditure in adults showed that an acceleration of 250 m</w:t>
      </w:r>
      <w:r w:rsidRPr="00037DF4">
        <w:rPr>
          <w:i/>
          <w:iCs/>
          <w:sz w:val="22"/>
          <w:szCs w:val="22"/>
        </w:rPr>
        <w:t>g</w:t>
      </w:r>
      <w:r w:rsidRPr="00037DF4">
        <w:rPr>
          <w:iCs/>
          <w:sz w:val="22"/>
          <w:szCs w:val="22"/>
        </w:rPr>
        <w:t xml:space="preserve"> predicted 4.3 </w:t>
      </w:r>
      <w:r w:rsidR="00FA1266" w:rsidRPr="00037DF4">
        <w:rPr>
          <w:iCs/>
          <w:sz w:val="22"/>
          <w:szCs w:val="22"/>
        </w:rPr>
        <w:t>MET</w:t>
      </w:r>
      <w:r w:rsidRPr="00037DF4">
        <w:rPr>
          <w:iCs/>
          <w:sz w:val="22"/>
          <w:szCs w:val="22"/>
        </w:rPr>
        <w:t xml:space="preserve">. </w:t>
      </w:r>
      <w:r w:rsidRPr="00037DF4">
        <w:rPr>
          <w:rFonts w:eastAsia="Calibri"/>
          <w:sz w:val="22"/>
          <w:szCs w:val="22"/>
        </w:rPr>
        <w:t>We used</w:t>
      </w:r>
      <w:r>
        <w:rPr>
          <w:rFonts w:eastAsia="Calibri"/>
          <w:sz w:val="22"/>
          <w:szCs w:val="22"/>
        </w:rPr>
        <w:t xml:space="preserve"> the f</w:t>
      </w:r>
      <w:r w:rsidRPr="004A54D8">
        <w:rPr>
          <w:rFonts w:eastAsia="Calibri"/>
          <w:sz w:val="22"/>
          <w:szCs w:val="22"/>
        </w:rPr>
        <w:t>raction time &lt;= 250m</w:t>
      </w:r>
      <w:r w:rsidRPr="00462B96">
        <w:rPr>
          <w:rFonts w:eastAsia="Calibri"/>
          <w:i/>
          <w:sz w:val="22"/>
          <w:szCs w:val="22"/>
        </w:rPr>
        <w:t>g</w:t>
      </w:r>
      <w:r w:rsidRPr="004A54D8">
        <w:rPr>
          <w:rFonts w:eastAsia="Calibri"/>
          <w:sz w:val="22"/>
          <w:szCs w:val="22"/>
        </w:rPr>
        <w:t xml:space="preserve"> acceleration</w:t>
      </w:r>
      <w:r>
        <w:rPr>
          <w:rFonts w:eastAsia="Calibri"/>
          <w:sz w:val="22"/>
          <w:szCs w:val="22"/>
        </w:rPr>
        <w:t xml:space="preserve"> (</w:t>
      </w:r>
      <w:r w:rsidRPr="004A54D8">
        <w:rPr>
          <w:rFonts w:eastAsia="Calibri"/>
          <w:sz w:val="22"/>
          <w:szCs w:val="22"/>
        </w:rPr>
        <w:t>Data-Field 90133</w:t>
      </w:r>
      <w:r>
        <w:rPr>
          <w:rFonts w:eastAsia="Calibri"/>
          <w:sz w:val="22"/>
          <w:szCs w:val="22"/>
        </w:rPr>
        <w:t xml:space="preserve">) to carry out the calculation. </w:t>
      </w:r>
      <w:r w:rsidRPr="00D33635">
        <w:rPr>
          <w:rFonts w:eastAsia="Calibri"/>
          <w:sz w:val="22"/>
          <w:szCs w:val="22"/>
        </w:rPr>
        <w:t>Based on this, the median (interquartile range) value of the lowest tertile equated to 4.3 (2.9-7.2) mins/day of walking at brisk pace. Similarly, the middle tertile equated to 10.1 (7.2-14.4) mins/day; and upper tertile to 21.6 (15.8-30.2) mins/day</w:t>
      </w:r>
      <w:r>
        <w:rPr>
          <w:rFonts w:eastAsia="Calibri"/>
          <w:sz w:val="22"/>
          <w:szCs w:val="22"/>
        </w:rPr>
        <w:t xml:space="preserve"> of brisk walking. Therefore, for </w:t>
      </w:r>
      <w:r w:rsidRPr="00A44AAE">
        <w:rPr>
          <w:rFonts w:eastAsia="Calibri"/>
          <w:sz w:val="22"/>
          <w:szCs w:val="22"/>
        </w:rPr>
        <w:t xml:space="preserve">ease of interpretation, </w:t>
      </w:r>
      <w:r>
        <w:rPr>
          <w:rFonts w:eastAsia="Calibri"/>
          <w:sz w:val="22"/>
          <w:szCs w:val="22"/>
        </w:rPr>
        <w:t xml:space="preserve">we </w:t>
      </w:r>
      <w:r w:rsidRPr="00D33635">
        <w:rPr>
          <w:rFonts w:eastAsia="Calibri"/>
          <w:sz w:val="22"/>
          <w:szCs w:val="22"/>
        </w:rPr>
        <w:t>categorised objective PA in</w:t>
      </w:r>
      <w:r>
        <w:rPr>
          <w:rFonts w:eastAsia="Calibri"/>
          <w:sz w:val="22"/>
          <w:szCs w:val="22"/>
        </w:rPr>
        <w:t xml:space="preserve"> terms of</w:t>
      </w:r>
      <w:r w:rsidRPr="00D33635">
        <w:rPr>
          <w:rFonts w:eastAsia="Calibri"/>
          <w:sz w:val="22"/>
          <w:szCs w:val="22"/>
        </w:rPr>
        <w:t xml:space="preserve"> low PA (4 mins/day of brisk walking), moderate PA (10 mins/day of brisk walking), and high PA (22 mins/day of brisk walking).</w:t>
      </w:r>
      <w:r>
        <w:rPr>
          <w:rFonts w:eastAsia="Calibri"/>
          <w:sz w:val="22"/>
          <w:szCs w:val="22"/>
        </w:rPr>
        <w:t xml:space="preserve"> To ensure our results were valid, we further carried out sensitivity analyses where we based the tertiles only on the population who spent time above 250 m</w:t>
      </w:r>
      <w:r>
        <w:rPr>
          <w:rFonts w:eastAsia="Calibri"/>
          <w:i/>
          <w:sz w:val="22"/>
          <w:szCs w:val="22"/>
        </w:rPr>
        <w:t>g</w:t>
      </w:r>
      <w:r>
        <w:rPr>
          <w:rFonts w:eastAsia="Calibri"/>
          <w:sz w:val="22"/>
          <w:szCs w:val="22"/>
        </w:rPr>
        <w:t xml:space="preserve">. </w:t>
      </w:r>
      <w:r w:rsidRPr="00D33635">
        <w:rPr>
          <w:rFonts w:eastAsia="Calibri"/>
          <w:sz w:val="22"/>
          <w:szCs w:val="22"/>
        </w:rPr>
        <w:t>The median (interquartile range) value of the lowest</w:t>
      </w:r>
      <w:r>
        <w:rPr>
          <w:rFonts w:eastAsia="Calibri"/>
          <w:sz w:val="22"/>
          <w:szCs w:val="22"/>
        </w:rPr>
        <w:t xml:space="preserve"> tertile equated to 4.3 (2.9-5.8</w:t>
      </w:r>
      <w:r w:rsidRPr="00D33635">
        <w:rPr>
          <w:rFonts w:eastAsia="Calibri"/>
          <w:sz w:val="22"/>
          <w:szCs w:val="22"/>
        </w:rPr>
        <w:t>) mi</w:t>
      </w:r>
      <w:r>
        <w:rPr>
          <w:rFonts w:eastAsia="Calibri"/>
          <w:sz w:val="22"/>
          <w:szCs w:val="22"/>
        </w:rPr>
        <w:t>ns/day,</w:t>
      </w:r>
      <w:r w:rsidRPr="00D33635">
        <w:rPr>
          <w:rFonts w:eastAsia="Calibri"/>
          <w:sz w:val="22"/>
          <w:szCs w:val="22"/>
        </w:rPr>
        <w:t xml:space="preserve"> th</w:t>
      </w:r>
      <w:r>
        <w:rPr>
          <w:rFonts w:eastAsia="Calibri"/>
          <w:sz w:val="22"/>
          <w:szCs w:val="22"/>
        </w:rPr>
        <w:t>e middle tertile 11.5 (10.1-14.4</w:t>
      </w:r>
      <w:r w:rsidRPr="00D33635">
        <w:rPr>
          <w:rFonts w:eastAsia="Calibri"/>
          <w:sz w:val="22"/>
          <w:szCs w:val="22"/>
        </w:rPr>
        <w:t>) min</w:t>
      </w:r>
      <w:r>
        <w:rPr>
          <w:rFonts w:eastAsia="Calibri"/>
          <w:sz w:val="22"/>
          <w:szCs w:val="22"/>
        </w:rPr>
        <w:t>s/day; and upper tertile 24.5 (20.2-31.7</w:t>
      </w:r>
      <w:r w:rsidRPr="00D33635">
        <w:rPr>
          <w:rFonts w:eastAsia="Calibri"/>
          <w:sz w:val="22"/>
          <w:szCs w:val="22"/>
        </w:rPr>
        <w:t>) mins/day</w:t>
      </w:r>
      <w:r>
        <w:rPr>
          <w:rFonts w:eastAsia="Calibri"/>
          <w:sz w:val="22"/>
          <w:szCs w:val="22"/>
        </w:rPr>
        <w:t xml:space="preserve"> of brisk walking.</w:t>
      </w:r>
    </w:p>
    <w:p w:rsidR="009477FD" w:rsidRDefault="009477FD" w:rsidP="009477FD">
      <w:pPr>
        <w:shd w:val="clear" w:color="auto" w:fill="FFFFFF"/>
        <w:spacing w:line="480" w:lineRule="auto"/>
        <w:textAlignment w:val="baseline"/>
        <w:rPr>
          <w:rFonts w:eastAsia="Calibri"/>
          <w:sz w:val="16"/>
          <w:szCs w:val="22"/>
        </w:rPr>
      </w:pPr>
    </w:p>
    <w:p w:rsidR="00FA1266" w:rsidRDefault="00FA1266" w:rsidP="009477FD">
      <w:pPr>
        <w:shd w:val="clear" w:color="auto" w:fill="FFFFFF"/>
        <w:spacing w:line="480" w:lineRule="auto"/>
        <w:textAlignment w:val="baseline"/>
        <w:rPr>
          <w:rFonts w:eastAsia="Calibri"/>
          <w:sz w:val="16"/>
          <w:szCs w:val="22"/>
        </w:rPr>
      </w:pPr>
    </w:p>
    <w:p w:rsidR="00FA1266" w:rsidRDefault="00FA1266" w:rsidP="009477FD">
      <w:pPr>
        <w:shd w:val="clear" w:color="auto" w:fill="FFFFFF"/>
        <w:spacing w:line="480" w:lineRule="auto"/>
        <w:textAlignment w:val="baseline"/>
        <w:rPr>
          <w:rFonts w:eastAsia="Calibri"/>
          <w:sz w:val="16"/>
          <w:szCs w:val="22"/>
        </w:rPr>
      </w:pPr>
    </w:p>
    <w:p w:rsidR="00FA1266" w:rsidRDefault="00FA1266" w:rsidP="009477FD">
      <w:pPr>
        <w:shd w:val="clear" w:color="auto" w:fill="FFFFFF"/>
        <w:spacing w:line="480" w:lineRule="auto"/>
        <w:textAlignment w:val="baseline"/>
        <w:rPr>
          <w:rFonts w:eastAsia="Calibri"/>
          <w:sz w:val="16"/>
          <w:szCs w:val="22"/>
        </w:rPr>
      </w:pPr>
    </w:p>
    <w:p w:rsidR="00FA1266" w:rsidRPr="00C12854" w:rsidRDefault="00FA1266" w:rsidP="009477FD">
      <w:pPr>
        <w:shd w:val="clear" w:color="auto" w:fill="FFFFFF"/>
        <w:spacing w:line="480" w:lineRule="auto"/>
        <w:textAlignment w:val="baseline"/>
        <w:rPr>
          <w:rFonts w:eastAsia="Calibri"/>
          <w:sz w:val="16"/>
          <w:szCs w:val="22"/>
        </w:rPr>
      </w:pPr>
    </w:p>
    <w:p w:rsidR="009477FD" w:rsidRPr="00D82ACC" w:rsidRDefault="009477FD" w:rsidP="009477FD">
      <w:pPr>
        <w:rPr>
          <w:b/>
          <w:sz w:val="22"/>
          <w:szCs w:val="22"/>
        </w:rPr>
      </w:pPr>
      <w:r w:rsidRPr="00D82ACC">
        <w:rPr>
          <w:b/>
          <w:sz w:val="22"/>
          <w:szCs w:val="22"/>
        </w:rPr>
        <w:lastRenderedPageBreak/>
        <w:t>References</w:t>
      </w:r>
    </w:p>
    <w:p w:rsidR="009477FD" w:rsidRPr="002046C1" w:rsidRDefault="009477FD" w:rsidP="009477FD">
      <w:pPr>
        <w:rPr>
          <w:b/>
          <w:sz w:val="22"/>
          <w:szCs w:val="22"/>
        </w:rPr>
      </w:pPr>
    </w:p>
    <w:p w:rsidR="009477FD" w:rsidRPr="00931947" w:rsidRDefault="009477FD" w:rsidP="00CC1190">
      <w:pPr>
        <w:pStyle w:val="EndNoteBibliography"/>
        <w:spacing w:after="120"/>
        <w:ind w:left="720" w:hanging="720"/>
        <w:rPr>
          <w:rFonts w:ascii="Times New Roman" w:hAnsi="Times New Roman"/>
          <w:sz w:val="22"/>
          <w:szCs w:val="22"/>
        </w:rPr>
      </w:pPr>
      <w:r w:rsidRPr="00931947">
        <w:rPr>
          <w:rFonts w:ascii="Times New Roman" w:hAnsi="Times New Roman"/>
          <w:sz w:val="22"/>
          <w:szCs w:val="22"/>
          <w:lang w:eastAsia="en-US"/>
        </w:rPr>
        <w:fldChar w:fldCharType="begin"/>
      </w:r>
      <w:r w:rsidRPr="00931947">
        <w:rPr>
          <w:rFonts w:ascii="Times New Roman" w:hAnsi="Times New Roman"/>
          <w:sz w:val="22"/>
          <w:szCs w:val="22"/>
          <w:lang w:eastAsia="en-US"/>
        </w:rPr>
        <w:instrText xml:space="preserve"> ADDIN EN.REFLIST </w:instrText>
      </w:r>
      <w:r w:rsidRPr="00931947">
        <w:rPr>
          <w:rFonts w:ascii="Times New Roman" w:hAnsi="Times New Roman"/>
          <w:sz w:val="22"/>
          <w:szCs w:val="22"/>
          <w:lang w:eastAsia="en-US"/>
        </w:rPr>
        <w:fldChar w:fldCharType="separate"/>
      </w:r>
      <w:r w:rsidRPr="00931947">
        <w:rPr>
          <w:rFonts w:ascii="Times New Roman" w:hAnsi="Times New Roman"/>
          <w:sz w:val="22"/>
          <w:szCs w:val="22"/>
        </w:rPr>
        <w:t>1.</w:t>
      </w:r>
      <w:r w:rsidRPr="00931947">
        <w:rPr>
          <w:rFonts w:ascii="Times New Roman" w:hAnsi="Times New Roman"/>
          <w:sz w:val="22"/>
          <w:szCs w:val="22"/>
        </w:rPr>
        <w:tab/>
        <w:t xml:space="preserve">Ainsworth BE, Haskell WL, Whitt MC, Irwin ML, Swartz AM, Strath SJ, O Brien WL, Bassett DR, Schmitz KH, Emplaincourt PO: </w:t>
      </w:r>
      <w:r w:rsidRPr="00931947">
        <w:rPr>
          <w:rFonts w:ascii="Times New Roman" w:hAnsi="Times New Roman"/>
          <w:b/>
          <w:sz w:val="22"/>
          <w:szCs w:val="22"/>
        </w:rPr>
        <w:t>Compendium of physical activities: an update of activity codes and MET intensities</w:t>
      </w:r>
      <w:r w:rsidRPr="00931947">
        <w:rPr>
          <w:rFonts w:ascii="Times New Roman" w:hAnsi="Times New Roman"/>
          <w:sz w:val="22"/>
          <w:szCs w:val="22"/>
        </w:rPr>
        <w:t xml:space="preserve">. </w:t>
      </w:r>
      <w:r w:rsidRPr="00931947">
        <w:rPr>
          <w:rFonts w:ascii="Times New Roman" w:hAnsi="Times New Roman"/>
          <w:i/>
          <w:sz w:val="22"/>
          <w:szCs w:val="22"/>
        </w:rPr>
        <w:t xml:space="preserve">Medicine and science in sports and exercise </w:t>
      </w:r>
      <w:r w:rsidRPr="00931947">
        <w:rPr>
          <w:rFonts w:ascii="Times New Roman" w:hAnsi="Times New Roman"/>
          <w:sz w:val="22"/>
          <w:szCs w:val="22"/>
        </w:rPr>
        <w:t xml:space="preserve">2000, </w:t>
      </w:r>
      <w:r w:rsidRPr="00931947">
        <w:rPr>
          <w:rFonts w:ascii="Times New Roman" w:hAnsi="Times New Roman"/>
          <w:b/>
          <w:sz w:val="22"/>
          <w:szCs w:val="22"/>
        </w:rPr>
        <w:t>32</w:t>
      </w:r>
      <w:r w:rsidRPr="00931947">
        <w:rPr>
          <w:rFonts w:ascii="Times New Roman" w:hAnsi="Times New Roman"/>
          <w:sz w:val="22"/>
          <w:szCs w:val="22"/>
        </w:rPr>
        <w:t>(9; SUPP/1):S498-S504.</w:t>
      </w:r>
    </w:p>
    <w:p w:rsidR="009477FD" w:rsidRPr="00931947" w:rsidRDefault="009477FD" w:rsidP="00CC1190">
      <w:pPr>
        <w:pStyle w:val="EndNoteBibliography"/>
        <w:spacing w:after="120"/>
        <w:ind w:left="720" w:hanging="720"/>
        <w:rPr>
          <w:rFonts w:ascii="Times New Roman" w:hAnsi="Times New Roman"/>
          <w:sz w:val="22"/>
          <w:szCs w:val="22"/>
        </w:rPr>
      </w:pPr>
      <w:r w:rsidRPr="00931947">
        <w:rPr>
          <w:rFonts w:ascii="Times New Roman" w:hAnsi="Times New Roman"/>
          <w:sz w:val="22"/>
          <w:szCs w:val="22"/>
        </w:rPr>
        <w:t>2.</w:t>
      </w:r>
      <w:r w:rsidRPr="00931947">
        <w:rPr>
          <w:rFonts w:ascii="Times New Roman" w:hAnsi="Times New Roman"/>
          <w:sz w:val="22"/>
          <w:szCs w:val="22"/>
        </w:rPr>
        <w:tab/>
      </w:r>
      <w:r w:rsidRPr="00931947">
        <w:rPr>
          <w:rFonts w:ascii="Times New Roman" w:hAnsi="Times New Roman"/>
          <w:b/>
          <w:sz w:val="22"/>
          <w:szCs w:val="22"/>
        </w:rPr>
        <w:t xml:space="preserve">IPAQ scoring protocol - International Physical Activity Questionnaire </w:t>
      </w:r>
      <w:r w:rsidRPr="00931947">
        <w:rPr>
          <w:rFonts w:ascii="Times New Roman" w:hAnsi="Times New Roman"/>
          <w:sz w:val="22"/>
          <w:szCs w:val="22"/>
        </w:rPr>
        <w:t>[</w:t>
      </w:r>
      <w:hyperlink r:id="rId11" w:history="1">
        <w:r w:rsidRPr="00931947">
          <w:rPr>
            <w:rStyle w:val="Hyperlink"/>
            <w:rFonts w:ascii="Times New Roman" w:hAnsi="Times New Roman"/>
            <w:sz w:val="22"/>
            <w:szCs w:val="22"/>
          </w:rPr>
          <w:t>https://sites.google.com/site/theipaq/scoring-protocol</w:t>
        </w:r>
      </w:hyperlink>
      <w:r w:rsidRPr="00931947">
        <w:rPr>
          <w:rFonts w:ascii="Times New Roman" w:hAnsi="Times New Roman"/>
          <w:sz w:val="22"/>
          <w:szCs w:val="22"/>
        </w:rPr>
        <w:t>]</w:t>
      </w:r>
    </w:p>
    <w:p w:rsidR="009477FD" w:rsidRPr="00931947" w:rsidRDefault="009477FD" w:rsidP="00CC1190">
      <w:pPr>
        <w:pStyle w:val="EndNoteBibliography"/>
        <w:spacing w:after="120"/>
        <w:ind w:left="720" w:hanging="720"/>
        <w:rPr>
          <w:rFonts w:ascii="Times New Roman" w:hAnsi="Times New Roman"/>
          <w:sz w:val="22"/>
          <w:szCs w:val="22"/>
        </w:rPr>
      </w:pPr>
      <w:r w:rsidRPr="00931947">
        <w:rPr>
          <w:rFonts w:ascii="Times New Roman" w:hAnsi="Times New Roman"/>
          <w:sz w:val="22"/>
          <w:szCs w:val="22"/>
        </w:rPr>
        <w:t>3.</w:t>
      </w:r>
      <w:r w:rsidRPr="00931947">
        <w:rPr>
          <w:rFonts w:ascii="Times New Roman" w:hAnsi="Times New Roman"/>
          <w:sz w:val="22"/>
          <w:szCs w:val="22"/>
        </w:rPr>
        <w:tab/>
      </w:r>
      <w:r w:rsidRPr="00931947">
        <w:rPr>
          <w:rFonts w:ascii="Times New Roman" w:hAnsi="Times New Roman"/>
          <w:b/>
          <w:sz w:val="22"/>
          <w:szCs w:val="22"/>
        </w:rPr>
        <w:t xml:space="preserve">UK Biobank Physical activity monitor (accelerometer) </w:t>
      </w:r>
      <w:r w:rsidRPr="00931947">
        <w:rPr>
          <w:rFonts w:ascii="Times New Roman" w:hAnsi="Times New Roman"/>
          <w:sz w:val="22"/>
          <w:szCs w:val="22"/>
        </w:rPr>
        <w:t>[</w:t>
      </w:r>
      <w:hyperlink r:id="rId12" w:history="1">
        <w:r w:rsidRPr="00931947">
          <w:rPr>
            <w:rStyle w:val="Hyperlink"/>
            <w:rFonts w:ascii="Times New Roman" w:hAnsi="Times New Roman"/>
            <w:sz w:val="22"/>
            <w:szCs w:val="22"/>
          </w:rPr>
          <w:t>https://biobank.ctsu.ox.ac.uk/crystal/docs/PhysicalActivityMonitor.pdf</w:t>
        </w:r>
      </w:hyperlink>
      <w:r w:rsidRPr="00931947">
        <w:rPr>
          <w:rFonts w:ascii="Times New Roman" w:hAnsi="Times New Roman"/>
          <w:sz w:val="22"/>
          <w:szCs w:val="22"/>
        </w:rPr>
        <w:t>]</w:t>
      </w:r>
    </w:p>
    <w:p w:rsidR="009477FD" w:rsidRPr="00931947" w:rsidRDefault="009477FD" w:rsidP="00CC1190">
      <w:pPr>
        <w:pStyle w:val="EndNoteBibliography"/>
        <w:spacing w:after="120"/>
        <w:ind w:left="720" w:hanging="720"/>
        <w:rPr>
          <w:rFonts w:ascii="Times New Roman" w:hAnsi="Times New Roman"/>
          <w:sz w:val="22"/>
          <w:szCs w:val="22"/>
        </w:rPr>
      </w:pPr>
      <w:r w:rsidRPr="00931947">
        <w:rPr>
          <w:rFonts w:ascii="Times New Roman" w:hAnsi="Times New Roman"/>
          <w:sz w:val="22"/>
          <w:szCs w:val="22"/>
        </w:rPr>
        <w:t>4.</w:t>
      </w:r>
      <w:r w:rsidRPr="00931947">
        <w:rPr>
          <w:rFonts w:ascii="Times New Roman" w:hAnsi="Times New Roman"/>
          <w:sz w:val="22"/>
          <w:szCs w:val="22"/>
        </w:rPr>
        <w:tab/>
        <w:t xml:space="preserve">Doherty A, Jackson D, Hammerla N, Plötz T, Olivier P, Granat MH, White T, van Hees VT, Trenell MI, Owen CG: </w:t>
      </w:r>
      <w:r w:rsidRPr="00931947">
        <w:rPr>
          <w:rFonts w:ascii="Times New Roman" w:hAnsi="Times New Roman"/>
          <w:b/>
          <w:sz w:val="22"/>
          <w:szCs w:val="22"/>
        </w:rPr>
        <w:t>Large scale population assessment of physical activity using wrist worn accelerometers: the UK Biobank study</w:t>
      </w:r>
      <w:r w:rsidRPr="00931947">
        <w:rPr>
          <w:rFonts w:ascii="Times New Roman" w:hAnsi="Times New Roman"/>
          <w:sz w:val="22"/>
          <w:szCs w:val="22"/>
        </w:rPr>
        <w:t xml:space="preserve">. </w:t>
      </w:r>
      <w:r w:rsidRPr="00931947">
        <w:rPr>
          <w:rFonts w:ascii="Times New Roman" w:hAnsi="Times New Roman"/>
          <w:i/>
          <w:sz w:val="22"/>
          <w:szCs w:val="22"/>
        </w:rPr>
        <w:t xml:space="preserve">PloS one </w:t>
      </w:r>
      <w:r w:rsidRPr="00931947">
        <w:rPr>
          <w:rFonts w:ascii="Times New Roman" w:hAnsi="Times New Roman"/>
          <w:sz w:val="22"/>
          <w:szCs w:val="22"/>
        </w:rPr>
        <w:t xml:space="preserve">2017, </w:t>
      </w:r>
      <w:r w:rsidRPr="00931947">
        <w:rPr>
          <w:rFonts w:ascii="Times New Roman" w:hAnsi="Times New Roman"/>
          <w:b/>
          <w:sz w:val="22"/>
          <w:szCs w:val="22"/>
        </w:rPr>
        <w:t>12</w:t>
      </w:r>
      <w:r w:rsidRPr="00931947">
        <w:rPr>
          <w:rFonts w:ascii="Times New Roman" w:hAnsi="Times New Roman"/>
          <w:sz w:val="22"/>
          <w:szCs w:val="22"/>
        </w:rPr>
        <w:t>(2):e0169649.</w:t>
      </w:r>
    </w:p>
    <w:p w:rsidR="009477FD" w:rsidRPr="00931947" w:rsidRDefault="009477FD" w:rsidP="00CC1190">
      <w:pPr>
        <w:pStyle w:val="EndNoteBibliography"/>
        <w:spacing w:after="120"/>
        <w:ind w:left="720" w:hanging="720"/>
        <w:rPr>
          <w:rFonts w:ascii="Times New Roman" w:hAnsi="Times New Roman"/>
          <w:sz w:val="22"/>
          <w:szCs w:val="22"/>
        </w:rPr>
      </w:pPr>
      <w:r w:rsidRPr="00931947">
        <w:rPr>
          <w:rFonts w:ascii="Times New Roman" w:hAnsi="Times New Roman"/>
          <w:sz w:val="22"/>
          <w:szCs w:val="22"/>
        </w:rPr>
        <w:t>5.</w:t>
      </w:r>
      <w:r w:rsidRPr="00931947">
        <w:rPr>
          <w:rFonts w:ascii="Times New Roman" w:hAnsi="Times New Roman"/>
          <w:sz w:val="22"/>
          <w:szCs w:val="22"/>
        </w:rPr>
        <w:tab/>
        <w:t xml:space="preserve">van Hees VT, Renström F, Wright A, Gradmark A, Catt M, Chen KY, Löf M, Bluck L, Pomeroy J, Wareham NJ: </w:t>
      </w:r>
      <w:r w:rsidRPr="00931947">
        <w:rPr>
          <w:rFonts w:ascii="Times New Roman" w:hAnsi="Times New Roman"/>
          <w:b/>
          <w:sz w:val="22"/>
          <w:szCs w:val="22"/>
        </w:rPr>
        <w:t>Estimation of daily energy expenditure in pregnant and non-pregnant women using a wrist-worn tri-axial accelerometer</w:t>
      </w:r>
      <w:r w:rsidRPr="00931947">
        <w:rPr>
          <w:rFonts w:ascii="Times New Roman" w:hAnsi="Times New Roman"/>
          <w:sz w:val="22"/>
          <w:szCs w:val="22"/>
        </w:rPr>
        <w:t xml:space="preserve">. </w:t>
      </w:r>
      <w:r w:rsidRPr="00931947">
        <w:rPr>
          <w:rFonts w:ascii="Times New Roman" w:hAnsi="Times New Roman"/>
          <w:i/>
          <w:sz w:val="22"/>
          <w:szCs w:val="22"/>
        </w:rPr>
        <w:t xml:space="preserve">PloS one </w:t>
      </w:r>
      <w:r w:rsidRPr="00931947">
        <w:rPr>
          <w:rFonts w:ascii="Times New Roman" w:hAnsi="Times New Roman"/>
          <w:sz w:val="22"/>
          <w:szCs w:val="22"/>
        </w:rPr>
        <w:t xml:space="preserve">2011, </w:t>
      </w:r>
      <w:r w:rsidRPr="00931947">
        <w:rPr>
          <w:rFonts w:ascii="Times New Roman" w:hAnsi="Times New Roman"/>
          <w:b/>
          <w:sz w:val="22"/>
          <w:szCs w:val="22"/>
        </w:rPr>
        <w:t>6</w:t>
      </w:r>
      <w:r w:rsidRPr="00931947">
        <w:rPr>
          <w:rFonts w:ascii="Times New Roman" w:hAnsi="Times New Roman"/>
          <w:sz w:val="22"/>
          <w:szCs w:val="22"/>
        </w:rPr>
        <w:t>(7):e22922.</w:t>
      </w:r>
    </w:p>
    <w:p w:rsidR="009477FD" w:rsidRPr="00931947" w:rsidRDefault="009477FD" w:rsidP="00CC1190">
      <w:pPr>
        <w:pStyle w:val="EndNoteBibliography"/>
        <w:spacing w:after="120"/>
        <w:ind w:left="720" w:hanging="720"/>
        <w:rPr>
          <w:rFonts w:ascii="Times New Roman" w:hAnsi="Times New Roman"/>
          <w:sz w:val="22"/>
          <w:szCs w:val="22"/>
        </w:rPr>
      </w:pPr>
      <w:r w:rsidRPr="00931947">
        <w:rPr>
          <w:rFonts w:ascii="Times New Roman" w:hAnsi="Times New Roman"/>
          <w:sz w:val="22"/>
          <w:szCs w:val="22"/>
        </w:rPr>
        <w:t>6.</w:t>
      </w:r>
      <w:r w:rsidRPr="00931947">
        <w:rPr>
          <w:rFonts w:ascii="Times New Roman" w:hAnsi="Times New Roman"/>
          <w:sz w:val="22"/>
          <w:szCs w:val="22"/>
        </w:rPr>
        <w:tab/>
        <w:t xml:space="preserve">Hildebrand M VHV, Hansen BH, Ekelund U.: </w:t>
      </w:r>
      <w:r w:rsidRPr="00931947">
        <w:rPr>
          <w:rFonts w:ascii="Times New Roman" w:hAnsi="Times New Roman"/>
          <w:b/>
          <w:sz w:val="22"/>
          <w:szCs w:val="22"/>
        </w:rPr>
        <w:t>Age-group comparibility of raw accelerometer output from wrist- and hip-worn monitors</w:t>
      </w:r>
      <w:r w:rsidRPr="00931947">
        <w:rPr>
          <w:rFonts w:ascii="Times New Roman" w:hAnsi="Times New Roman"/>
          <w:sz w:val="22"/>
          <w:szCs w:val="22"/>
        </w:rPr>
        <w:t xml:space="preserve">. </w:t>
      </w:r>
      <w:r w:rsidRPr="00931947">
        <w:rPr>
          <w:rFonts w:ascii="Times New Roman" w:hAnsi="Times New Roman"/>
          <w:i/>
          <w:sz w:val="22"/>
          <w:szCs w:val="22"/>
        </w:rPr>
        <w:t xml:space="preserve">Medicine and Science in Sports and Exercise </w:t>
      </w:r>
      <w:r w:rsidRPr="00931947">
        <w:rPr>
          <w:rFonts w:ascii="Times New Roman" w:hAnsi="Times New Roman"/>
          <w:sz w:val="22"/>
          <w:szCs w:val="22"/>
        </w:rPr>
        <w:t xml:space="preserve">2014, </w:t>
      </w:r>
      <w:r w:rsidRPr="00931947">
        <w:rPr>
          <w:rFonts w:ascii="Times New Roman" w:hAnsi="Times New Roman"/>
          <w:b/>
          <w:sz w:val="22"/>
          <w:szCs w:val="22"/>
        </w:rPr>
        <w:t>46</w:t>
      </w:r>
      <w:r w:rsidRPr="00931947">
        <w:rPr>
          <w:rFonts w:ascii="Times New Roman" w:hAnsi="Times New Roman"/>
          <w:sz w:val="22"/>
          <w:szCs w:val="22"/>
        </w:rPr>
        <w:t>(9):1816-1824.</w:t>
      </w:r>
    </w:p>
    <w:p w:rsidR="006B27A8" w:rsidRPr="003E2B52" w:rsidRDefault="009477FD" w:rsidP="00CC1190">
      <w:pPr>
        <w:pStyle w:val="Heading1"/>
        <w:spacing w:after="120"/>
        <w:ind w:left="284" w:hanging="284"/>
        <w:rPr>
          <w:rFonts w:eastAsiaTheme="minorHAnsi" w:cs="Times New Roman"/>
          <w:b w:val="0"/>
          <w:bCs w:val="0"/>
          <w:szCs w:val="22"/>
          <w:lang w:val="en-GB" w:eastAsia="en-GB"/>
        </w:rPr>
      </w:pPr>
      <w:r w:rsidRPr="00931947">
        <w:rPr>
          <w:rFonts w:eastAsiaTheme="minorHAnsi" w:cs="Times New Roman"/>
          <w:b w:val="0"/>
          <w:bCs w:val="0"/>
          <w:szCs w:val="22"/>
          <w:lang w:val="en-GB"/>
        </w:rPr>
        <w:fldChar w:fldCharType="end"/>
      </w:r>
      <w:r w:rsidR="006B27A8" w:rsidRPr="003E2B52">
        <w:rPr>
          <w:rFonts w:eastAsiaTheme="minorHAnsi" w:cs="Times New Roman"/>
          <w:b w:val="0"/>
          <w:bCs w:val="0"/>
          <w:szCs w:val="22"/>
          <w:lang w:val="en-GB" w:eastAsia="en-GB"/>
        </w:rPr>
        <w:t xml:space="preserve"> </w:t>
      </w:r>
    </w:p>
    <w:p w:rsidR="006B27A8" w:rsidRPr="00F1467A" w:rsidRDefault="006B27A8" w:rsidP="006B27A8"/>
    <w:p w:rsidR="006B27A8" w:rsidRDefault="006B27A8" w:rsidP="006B27A8">
      <w:pPr>
        <w:pStyle w:val="Heading1"/>
        <w:rPr>
          <w:rFonts w:eastAsiaTheme="minorHAnsi" w:cs="Times New Roman"/>
          <w:b w:val="0"/>
          <w:bCs w:val="0"/>
          <w:sz w:val="24"/>
          <w:szCs w:val="24"/>
          <w:lang w:val="en-GB" w:eastAsia="en-GB"/>
        </w:rPr>
        <w:sectPr w:rsidR="006B27A8">
          <w:pgSz w:w="11906" w:h="16838"/>
          <w:pgMar w:top="1440" w:right="1440" w:bottom="1440" w:left="1440" w:header="708" w:footer="708" w:gutter="0"/>
          <w:cols w:space="708"/>
          <w:docGrid w:linePitch="360"/>
        </w:sectPr>
      </w:pPr>
    </w:p>
    <w:p w:rsidR="006B27A8" w:rsidRPr="00D33635" w:rsidRDefault="006B27A8" w:rsidP="006B27A8">
      <w:pPr>
        <w:pStyle w:val="Heading1"/>
        <w:ind w:left="284" w:hanging="284"/>
        <w:rPr>
          <w:rFonts w:eastAsia="Cambria" w:cs="Times New Roman"/>
          <w:b w:val="0"/>
        </w:rPr>
      </w:pPr>
      <w:bookmarkStart w:id="3" w:name="_Toc517269223"/>
      <w:r w:rsidRPr="00D33635">
        <w:rPr>
          <w:rFonts w:eastAsia="Cambria" w:cs="Times New Roman"/>
        </w:rPr>
        <w:lastRenderedPageBreak/>
        <w:t xml:space="preserve">Methods </w:t>
      </w:r>
      <w:r>
        <w:rPr>
          <w:rFonts w:eastAsia="Cambria" w:cs="Times New Roman"/>
        </w:rPr>
        <w:t>S</w:t>
      </w:r>
      <w:r w:rsidRPr="00D33635">
        <w:rPr>
          <w:rFonts w:eastAsia="Cambria" w:cs="Times New Roman"/>
        </w:rPr>
        <w:t xml:space="preserve">3. </w:t>
      </w:r>
      <w:r w:rsidRPr="00D33635">
        <w:rPr>
          <w:rFonts w:eastAsia="Cambria" w:cs="Times New Roman"/>
          <w:b w:val="0"/>
        </w:rPr>
        <w:t>Additional methods for sociodemographic and lifestyle factors</w:t>
      </w:r>
      <w:bookmarkEnd w:id="3"/>
    </w:p>
    <w:p w:rsidR="006B27A8" w:rsidRPr="00A16FC3" w:rsidRDefault="006B27A8" w:rsidP="006B27A8">
      <w:pPr>
        <w:pStyle w:val="Heading1"/>
        <w:rPr>
          <w:rFonts w:eastAsia="Cambria" w:cs="Times New Roman"/>
          <w:sz w:val="24"/>
        </w:rPr>
      </w:pPr>
    </w:p>
    <w:p w:rsidR="006B27A8" w:rsidRPr="00A16FC3" w:rsidRDefault="006B27A8" w:rsidP="006B27A8">
      <w:pPr>
        <w:keepNext/>
        <w:numPr>
          <w:ilvl w:val="3"/>
          <w:numId w:val="0"/>
        </w:numPr>
        <w:tabs>
          <w:tab w:val="left" w:pos="879"/>
          <w:tab w:val="num" w:pos="1080"/>
        </w:tabs>
        <w:ind w:left="879" w:hanging="879"/>
        <w:outlineLvl w:val="3"/>
        <w:rPr>
          <w:rFonts w:eastAsia="Calibri"/>
          <w:b/>
          <w:kern w:val="22"/>
          <w:sz w:val="10"/>
          <w:szCs w:val="22"/>
        </w:rPr>
      </w:pPr>
      <w:bookmarkStart w:id="4" w:name="_Toc497472990"/>
    </w:p>
    <w:bookmarkEnd w:id="4"/>
    <w:p w:rsidR="006B27A8" w:rsidRPr="004B2D30" w:rsidRDefault="006B27A8" w:rsidP="006B27A8">
      <w:pPr>
        <w:keepNext/>
        <w:numPr>
          <w:ilvl w:val="3"/>
          <w:numId w:val="0"/>
        </w:numPr>
        <w:tabs>
          <w:tab w:val="left" w:pos="879"/>
          <w:tab w:val="num" w:pos="1080"/>
        </w:tabs>
        <w:spacing w:line="360" w:lineRule="auto"/>
        <w:ind w:left="879" w:hanging="879"/>
        <w:outlineLvl w:val="3"/>
        <w:rPr>
          <w:rFonts w:eastAsia="Calibri"/>
          <w:b/>
          <w:kern w:val="22"/>
          <w:sz w:val="22"/>
          <w:szCs w:val="22"/>
        </w:rPr>
      </w:pPr>
      <w:r w:rsidRPr="004B2D30">
        <w:rPr>
          <w:rFonts w:eastAsia="Calibri"/>
          <w:b/>
          <w:kern w:val="22"/>
          <w:sz w:val="22"/>
          <w:szCs w:val="22"/>
        </w:rPr>
        <w:t>Smoking</w:t>
      </w:r>
    </w:p>
    <w:p w:rsidR="006B27A8" w:rsidRPr="004B2D30" w:rsidRDefault="006B27A8" w:rsidP="006B27A8">
      <w:pPr>
        <w:shd w:val="clear" w:color="auto" w:fill="FFFFFF"/>
        <w:spacing w:line="360" w:lineRule="auto"/>
        <w:textAlignment w:val="baseline"/>
        <w:rPr>
          <w:rFonts w:eastAsia="Calibri"/>
          <w:kern w:val="22"/>
          <w:sz w:val="22"/>
          <w:szCs w:val="22"/>
        </w:rPr>
      </w:pPr>
      <w:r w:rsidRPr="004B2D30">
        <w:rPr>
          <w:rFonts w:eastAsia="Calibri"/>
          <w:kern w:val="22"/>
          <w:sz w:val="22"/>
          <w:szCs w:val="22"/>
        </w:rPr>
        <w:t xml:space="preserve">Participants were asked about their smoking status during the assessment; responses were categorised as current, former, never smoked, and missing. </w:t>
      </w:r>
    </w:p>
    <w:p w:rsidR="006B27A8" w:rsidRPr="004B2D30" w:rsidRDefault="006B27A8" w:rsidP="006B27A8">
      <w:pPr>
        <w:shd w:val="clear" w:color="auto" w:fill="FFFFFF"/>
        <w:spacing w:line="360" w:lineRule="auto"/>
        <w:textAlignment w:val="baseline"/>
        <w:rPr>
          <w:rFonts w:eastAsia="Calibri"/>
          <w:b/>
          <w:kern w:val="22"/>
          <w:sz w:val="22"/>
          <w:szCs w:val="22"/>
        </w:rPr>
      </w:pPr>
    </w:p>
    <w:p w:rsidR="006B27A8" w:rsidRPr="004B2D30" w:rsidRDefault="006B27A8" w:rsidP="006B27A8">
      <w:pPr>
        <w:keepNext/>
        <w:numPr>
          <w:ilvl w:val="3"/>
          <w:numId w:val="0"/>
        </w:numPr>
        <w:tabs>
          <w:tab w:val="left" w:pos="879"/>
          <w:tab w:val="num" w:pos="1080"/>
        </w:tabs>
        <w:spacing w:line="360" w:lineRule="auto"/>
        <w:ind w:left="879" w:hanging="879"/>
        <w:outlineLvl w:val="3"/>
        <w:rPr>
          <w:rFonts w:eastAsia="Calibri"/>
          <w:b/>
          <w:kern w:val="22"/>
          <w:sz w:val="22"/>
          <w:szCs w:val="22"/>
        </w:rPr>
      </w:pPr>
      <w:bookmarkStart w:id="5" w:name="_Toc497472991"/>
      <w:r w:rsidRPr="004B2D30">
        <w:rPr>
          <w:rFonts w:eastAsia="Calibri"/>
          <w:b/>
          <w:kern w:val="22"/>
          <w:sz w:val="22"/>
          <w:szCs w:val="22"/>
        </w:rPr>
        <w:t>Body Mass Index</w:t>
      </w:r>
      <w:bookmarkEnd w:id="5"/>
    </w:p>
    <w:p w:rsidR="006B27A8" w:rsidRPr="004B2D30" w:rsidRDefault="006B27A8" w:rsidP="006B27A8">
      <w:pPr>
        <w:shd w:val="clear" w:color="auto" w:fill="FFFFFF"/>
        <w:spacing w:line="360" w:lineRule="auto"/>
        <w:textAlignment w:val="baseline"/>
        <w:rPr>
          <w:rFonts w:eastAsia="Calibri"/>
          <w:kern w:val="22"/>
          <w:sz w:val="22"/>
          <w:szCs w:val="22"/>
        </w:rPr>
      </w:pPr>
      <w:r w:rsidRPr="004B2D30">
        <w:rPr>
          <w:rFonts w:eastAsia="Calibri"/>
          <w:kern w:val="22"/>
          <w:sz w:val="22"/>
          <w:szCs w:val="22"/>
        </w:rPr>
        <w:t>The body mass index (BMI) value was constructed from the height (cm) and weight (kg) measured during the physical assessments (weight divided by the square of the height in metres). BMI was categorised as: underweight (&lt;18.5 kg/m</w:t>
      </w:r>
      <w:r w:rsidRPr="004B2D30">
        <w:rPr>
          <w:rFonts w:eastAsia="Calibri"/>
          <w:kern w:val="22"/>
          <w:sz w:val="22"/>
          <w:szCs w:val="22"/>
          <w:vertAlign w:val="superscript"/>
        </w:rPr>
        <w:t>2</w:t>
      </w:r>
      <w:r w:rsidRPr="004B2D30">
        <w:rPr>
          <w:rFonts w:eastAsia="Calibri"/>
          <w:kern w:val="22"/>
          <w:sz w:val="22"/>
          <w:szCs w:val="22"/>
        </w:rPr>
        <w:t>), normal (between ≥18.5 and &lt;25 kg/m</w:t>
      </w:r>
      <w:r w:rsidRPr="004B2D30">
        <w:rPr>
          <w:rFonts w:eastAsia="Calibri"/>
          <w:kern w:val="22"/>
          <w:sz w:val="22"/>
          <w:szCs w:val="22"/>
          <w:vertAlign w:val="superscript"/>
        </w:rPr>
        <w:t>2</w:t>
      </w:r>
      <w:r w:rsidRPr="004B2D30">
        <w:rPr>
          <w:rFonts w:eastAsia="Calibri"/>
          <w:kern w:val="22"/>
          <w:sz w:val="22"/>
          <w:szCs w:val="22"/>
        </w:rPr>
        <w:t>), overweight (between ≥25 and &lt;30 kg/m</w:t>
      </w:r>
      <w:r w:rsidRPr="004B2D30">
        <w:rPr>
          <w:rFonts w:eastAsia="Calibri"/>
          <w:kern w:val="22"/>
          <w:sz w:val="22"/>
          <w:szCs w:val="22"/>
          <w:vertAlign w:val="superscript"/>
        </w:rPr>
        <w:t>2</w:t>
      </w:r>
      <w:r w:rsidRPr="004B2D30">
        <w:rPr>
          <w:rFonts w:eastAsia="Calibri"/>
          <w:kern w:val="22"/>
          <w:sz w:val="22"/>
          <w:szCs w:val="22"/>
        </w:rPr>
        <w:t>), obese (≥30 kg/m</w:t>
      </w:r>
      <w:r w:rsidRPr="004B2D30">
        <w:rPr>
          <w:rFonts w:eastAsia="Calibri"/>
          <w:kern w:val="22"/>
          <w:sz w:val="22"/>
          <w:szCs w:val="22"/>
          <w:vertAlign w:val="superscript"/>
        </w:rPr>
        <w:t>2</w:t>
      </w:r>
      <w:r w:rsidRPr="004B2D30">
        <w:rPr>
          <w:rFonts w:eastAsia="Calibri"/>
          <w:kern w:val="22"/>
          <w:sz w:val="22"/>
          <w:szCs w:val="22"/>
        </w:rPr>
        <w:t xml:space="preserve">), and missing. </w:t>
      </w:r>
    </w:p>
    <w:p w:rsidR="006B27A8" w:rsidRPr="004B2D30" w:rsidRDefault="006B27A8" w:rsidP="006B27A8">
      <w:pPr>
        <w:shd w:val="clear" w:color="auto" w:fill="FFFFFF"/>
        <w:spacing w:line="360" w:lineRule="auto"/>
        <w:ind w:firstLine="284"/>
        <w:textAlignment w:val="baseline"/>
        <w:rPr>
          <w:rFonts w:eastAsia="Calibri"/>
          <w:kern w:val="22"/>
          <w:sz w:val="22"/>
          <w:szCs w:val="22"/>
        </w:rPr>
      </w:pPr>
    </w:p>
    <w:p w:rsidR="006B27A8" w:rsidRPr="004B2D30" w:rsidRDefault="006B27A8" w:rsidP="006B27A8">
      <w:pPr>
        <w:keepNext/>
        <w:numPr>
          <w:ilvl w:val="3"/>
          <w:numId w:val="0"/>
        </w:numPr>
        <w:tabs>
          <w:tab w:val="left" w:pos="879"/>
          <w:tab w:val="num" w:pos="1080"/>
        </w:tabs>
        <w:spacing w:line="360" w:lineRule="auto"/>
        <w:ind w:left="879" w:hanging="879"/>
        <w:outlineLvl w:val="3"/>
        <w:rPr>
          <w:rFonts w:eastAsia="Calibri"/>
          <w:b/>
          <w:kern w:val="22"/>
          <w:sz w:val="22"/>
          <w:szCs w:val="22"/>
        </w:rPr>
      </w:pPr>
      <w:bookmarkStart w:id="6" w:name="_Toc497472992"/>
      <w:r w:rsidRPr="004B2D30">
        <w:rPr>
          <w:rFonts w:eastAsia="Calibri"/>
          <w:b/>
          <w:kern w:val="22"/>
          <w:sz w:val="22"/>
          <w:szCs w:val="22"/>
        </w:rPr>
        <w:t>Diet</w:t>
      </w:r>
      <w:bookmarkEnd w:id="6"/>
    </w:p>
    <w:p w:rsidR="006B27A8" w:rsidRPr="004B2D30" w:rsidRDefault="006B27A8" w:rsidP="006B27A8">
      <w:pPr>
        <w:shd w:val="clear" w:color="auto" w:fill="FFFFFF"/>
        <w:spacing w:line="360" w:lineRule="auto"/>
        <w:textAlignment w:val="baseline"/>
        <w:rPr>
          <w:rFonts w:eastAsia="Calibri"/>
          <w:kern w:val="22"/>
          <w:sz w:val="22"/>
          <w:szCs w:val="22"/>
        </w:rPr>
      </w:pPr>
      <w:r w:rsidRPr="004B2D30">
        <w:rPr>
          <w:rFonts w:eastAsia="Calibri"/>
          <w:kern w:val="22"/>
          <w:sz w:val="22"/>
          <w:szCs w:val="22"/>
        </w:rPr>
        <w:t>Participant’s diet was assessed by their consumption of fruit, vegetable, meat, and fish. To calculate the fruit and vegetable intake, the combined responses for fresh fruit (pieces), dried fruit (pieces), salad/raw vegetable (heaped tablespoons), and cooked vegetable (heaped tablespoons), were converted into proportions and grouped to indicate whether participants ate &lt;5 or ≥5 portions/day, based on the NHS guidelines,</w:t>
      </w:r>
      <w:r w:rsidRPr="004B2D30">
        <w:rPr>
          <w:rFonts w:eastAsia="Calibri"/>
          <w:kern w:val="22"/>
          <w:sz w:val="22"/>
          <w:szCs w:val="22"/>
        </w:rPr>
        <w:fldChar w:fldCharType="begin"/>
      </w:r>
      <w:r>
        <w:rPr>
          <w:rFonts w:eastAsia="Calibri"/>
          <w:kern w:val="22"/>
          <w:sz w:val="22"/>
          <w:szCs w:val="22"/>
        </w:rPr>
        <w:instrText xml:space="preserve"> ADDIN EN.CITE &lt;EndNote&gt;&lt;Cite&gt;&lt;RecNum&gt;139&lt;/RecNum&gt;&lt;DisplayText&gt;[1]&lt;/DisplayText&gt;&lt;record&gt;&lt;rec-number&gt;139&lt;/rec-number&gt;&lt;foreign-keys&gt;&lt;key app="EN" db-id="e9ress05gdfw5vepa54xfew5f9adxaxw552z" timestamp="1494948344"&gt;139&lt;/key&gt;&lt;/foreign-keys&gt;&lt;ref-type name="Web Page"&gt;12&lt;/ref-type&gt;&lt;contributors&gt;&lt;/contributors&gt;&lt;titles&gt;&lt;title&gt;5 A Day portion sizes&lt;/title&gt;&lt;/titles&gt;&lt;number&gt;April 11, 2017&lt;/number&gt;&lt;dates&gt;&lt;/dates&gt;&lt;publisher&gt;NHS Choices&lt;/publisher&gt;&lt;urls&gt;&lt;related-urls&gt;&lt;url&gt;http://www.nhs.uk/Livewell/5ADAY/Pages/Portionsizes.aspx&lt;/url&gt;&lt;/related-urls&gt;&lt;/urls&gt;&lt;/record&gt;&lt;/Cite&gt;&lt;/EndNote&gt;</w:instrText>
      </w:r>
      <w:r w:rsidRPr="004B2D30">
        <w:rPr>
          <w:rFonts w:eastAsia="Calibri"/>
          <w:kern w:val="22"/>
          <w:sz w:val="22"/>
          <w:szCs w:val="22"/>
        </w:rPr>
        <w:fldChar w:fldCharType="separate"/>
      </w:r>
      <w:r>
        <w:rPr>
          <w:rFonts w:eastAsia="Calibri"/>
          <w:noProof/>
          <w:kern w:val="22"/>
          <w:sz w:val="22"/>
          <w:szCs w:val="22"/>
        </w:rPr>
        <w:t>[1]</w:t>
      </w:r>
      <w:r w:rsidRPr="004B2D30">
        <w:rPr>
          <w:rFonts w:eastAsia="Calibri"/>
          <w:kern w:val="22"/>
          <w:sz w:val="22"/>
          <w:szCs w:val="22"/>
        </w:rPr>
        <w:fldChar w:fldCharType="end"/>
      </w:r>
      <w:r w:rsidRPr="004B2D30">
        <w:rPr>
          <w:rFonts w:eastAsia="Calibri"/>
          <w:kern w:val="22"/>
          <w:sz w:val="22"/>
          <w:szCs w:val="22"/>
        </w:rPr>
        <w:t xml:space="preserve"> or had missing information. Two types of fish were recorded, oily (e.g. sardines, salmon, mackerel, herring) and non-oily (e.g. cod, tinned tuna, haddock). Participants were asked how often these were consumed. The answers were categorised as less than once a week, more than once a week, or missing. Similarly, the overall red meat consumption consisted of pork, lamb and beef. The three meats were combined and categorised as less than two a week, more than two a week, or missing. Likewise, the processed meat intake was categorised as less than two a week, more than two a week, or missing.</w:t>
      </w:r>
    </w:p>
    <w:p w:rsidR="006B27A8" w:rsidRPr="004B2D30" w:rsidRDefault="006B27A8" w:rsidP="006B27A8">
      <w:pPr>
        <w:shd w:val="clear" w:color="auto" w:fill="FFFFFF"/>
        <w:spacing w:line="360" w:lineRule="auto"/>
        <w:ind w:firstLine="284"/>
        <w:textAlignment w:val="baseline"/>
        <w:rPr>
          <w:rFonts w:eastAsia="Calibri"/>
          <w:b/>
          <w:kern w:val="22"/>
          <w:sz w:val="22"/>
          <w:szCs w:val="22"/>
        </w:rPr>
      </w:pPr>
    </w:p>
    <w:p w:rsidR="006B27A8" w:rsidRPr="004B2D30" w:rsidRDefault="006B27A8" w:rsidP="006B27A8">
      <w:pPr>
        <w:keepNext/>
        <w:numPr>
          <w:ilvl w:val="3"/>
          <w:numId w:val="0"/>
        </w:numPr>
        <w:tabs>
          <w:tab w:val="left" w:pos="879"/>
          <w:tab w:val="num" w:pos="1080"/>
        </w:tabs>
        <w:spacing w:line="360" w:lineRule="auto"/>
        <w:ind w:left="879" w:hanging="879"/>
        <w:outlineLvl w:val="3"/>
        <w:rPr>
          <w:rFonts w:eastAsia="Calibri"/>
          <w:b/>
          <w:kern w:val="22"/>
          <w:sz w:val="22"/>
          <w:szCs w:val="22"/>
        </w:rPr>
      </w:pPr>
      <w:bookmarkStart w:id="7" w:name="_Toc497472993"/>
      <w:r w:rsidRPr="004B2D30">
        <w:rPr>
          <w:rFonts w:eastAsia="Calibri"/>
          <w:b/>
          <w:kern w:val="22"/>
          <w:sz w:val="22"/>
          <w:szCs w:val="22"/>
        </w:rPr>
        <w:t>Alcohol</w:t>
      </w:r>
      <w:bookmarkEnd w:id="7"/>
    </w:p>
    <w:p w:rsidR="006B27A8" w:rsidRPr="004B2D30" w:rsidRDefault="006B27A8" w:rsidP="006B27A8">
      <w:pPr>
        <w:shd w:val="clear" w:color="auto" w:fill="FFFFFF"/>
        <w:spacing w:line="360" w:lineRule="auto"/>
        <w:textAlignment w:val="baseline"/>
        <w:rPr>
          <w:rFonts w:eastAsia="Calibri"/>
          <w:kern w:val="22"/>
          <w:sz w:val="22"/>
          <w:szCs w:val="22"/>
        </w:rPr>
      </w:pPr>
      <w:r w:rsidRPr="004B2D30">
        <w:rPr>
          <w:rFonts w:eastAsia="Calibri"/>
          <w:kern w:val="22"/>
          <w:sz w:val="22"/>
          <w:szCs w:val="22"/>
        </w:rPr>
        <w:t>The UK Biobank asked participants for the number of pints of beer, glasses of wine, and measures of spirit consumed in the last week. Alcoholic drinks differ in the amount of alcohol content, therefore each drink was converted into equivalent standard units, where 1 unit contained 10 ml of ethyl alcohol.</w:t>
      </w:r>
      <w:r w:rsidRPr="004B2D30">
        <w:rPr>
          <w:rFonts w:eastAsia="Calibri"/>
          <w:kern w:val="22"/>
          <w:sz w:val="22"/>
          <w:szCs w:val="22"/>
        </w:rPr>
        <w:fldChar w:fldCharType="begin"/>
      </w:r>
      <w:r>
        <w:rPr>
          <w:rFonts w:eastAsia="Calibri"/>
          <w:kern w:val="22"/>
          <w:sz w:val="22"/>
          <w:szCs w:val="22"/>
        </w:rPr>
        <w:instrText xml:space="preserve"> ADDIN EN.CITE &lt;EndNote&gt;&lt;Cite&gt;&lt;Author&gt;Goddard&lt;/Author&gt;&lt;Year&gt;2007&lt;/Year&gt;&lt;RecNum&gt;140&lt;/RecNum&gt;&lt;DisplayText&gt;[2]&lt;/DisplayText&gt;&lt;record&gt;&lt;rec-number&gt;140&lt;/rec-number&gt;&lt;foreign-keys&gt;&lt;key app="EN" db-id="e9ress05gdfw5vepa54xfew5f9adxaxw552z" timestamp="1494948724"&gt;140&lt;/key&gt;&lt;/foreign-keys&gt;&lt;ref-type name="Book"&gt;6&lt;/ref-type&gt;&lt;contributors&gt;&lt;authors&gt;&lt;author&gt;Goddard, Eileen&lt;/author&gt;&lt;/authors&gt;&lt;/contributors&gt;&lt;titles&gt;&lt;title&gt;Estimating alcohol consumption from survey data: updated method of converting volumes to units&lt;/title&gt;&lt;/titles&gt;&lt;number&gt;37&lt;/number&gt;&lt;dates&gt;&lt;year&gt;2007&lt;/year&gt;&lt;/dates&gt;&lt;publisher&gt;Office for National Statistics Newport&lt;/publisher&gt;&lt;urls&gt;&lt;/urls&gt;&lt;/record&gt;&lt;/Cite&gt;&lt;/EndNote&gt;</w:instrText>
      </w:r>
      <w:r w:rsidRPr="004B2D30">
        <w:rPr>
          <w:rFonts w:eastAsia="Calibri"/>
          <w:kern w:val="22"/>
          <w:sz w:val="22"/>
          <w:szCs w:val="22"/>
        </w:rPr>
        <w:fldChar w:fldCharType="separate"/>
      </w:r>
      <w:r>
        <w:rPr>
          <w:rFonts w:eastAsia="Calibri"/>
          <w:noProof/>
          <w:kern w:val="22"/>
          <w:sz w:val="22"/>
          <w:szCs w:val="22"/>
        </w:rPr>
        <w:t>[2]</w:t>
      </w:r>
      <w:r w:rsidRPr="004B2D30">
        <w:rPr>
          <w:rFonts w:eastAsia="Calibri"/>
          <w:kern w:val="22"/>
          <w:sz w:val="22"/>
          <w:szCs w:val="22"/>
        </w:rPr>
        <w:fldChar w:fldCharType="end"/>
      </w:r>
      <w:r w:rsidRPr="004B2D30">
        <w:rPr>
          <w:rFonts w:eastAsia="Calibri"/>
          <w:kern w:val="22"/>
          <w:sz w:val="22"/>
          <w:szCs w:val="22"/>
        </w:rPr>
        <w:t xml:space="preserve"> The guidelines from the Office for National Statistics (ONS) were used as this was the most updated method of converting volumes to units.</w:t>
      </w:r>
      <w:r w:rsidRPr="004B2D30">
        <w:rPr>
          <w:rFonts w:eastAsia="Calibri"/>
          <w:kern w:val="22"/>
          <w:sz w:val="22"/>
          <w:szCs w:val="22"/>
        </w:rPr>
        <w:fldChar w:fldCharType="begin"/>
      </w:r>
      <w:r>
        <w:rPr>
          <w:rFonts w:eastAsia="Calibri"/>
          <w:kern w:val="22"/>
          <w:sz w:val="22"/>
          <w:szCs w:val="22"/>
        </w:rPr>
        <w:instrText xml:space="preserve"> ADDIN EN.CITE &lt;EndNote&gt;&lt;Cite&gt;&lt;Author&gt;Goddard&lt;/Author&gt;&lt;Year&gt;2007&lt;/Year&gt;&lt;RecNum&gt;140&lt;/RecNum&gt;&lt;DisplayText&gt;[2]&lt;/DisplayText&gt;&lt;record&gt;&lt;rec-number&gt;140&lt;/rec-number&gt;&lt;foreign-keys&gt;&lt;key app="EN" db-id="e9ress05gdfw5vepa54xfew5f9adxaxw552z" timestamp="1494948724"&gt;140&lt;/key&gt;&lt;/foreign-keys&gt;&lt;ref-type name="Book"&gt;6&lt;/ref-type&gt;&lt;contributors&gt;&lt;authors&gt;&lt;author&gt;Goddard, Eileen&lt;/author&gt;&lt;/authors&gt;&lt;/contributors&gt;&lt;titles&gt;&lt;title&gt;Estimating alcohol consumption from survey data: updated method of converting volumes to units&lt;/title&gt;&lt;/titles&gt;&lt;number&gt;37&lt;/number&gt;&lt;dates&gt;&lt;year&gt;2007&lt;/year&gt;&lt;/dates&gt;&lt;publisher&gt;Office for National Statistics Newport&lt;/publisher&gt;&lt;urls&gt;&lt;/urls&gt;&lt;/record&gt;&lt;/Cite&gt;&lt;/EndNote&gt;</w:instrText>
      </w:r>
      <w:r w:rsidRPr="004B2D30">
        <w:rPr>
          <w:rFonts w:eastAsia="Calibri"/>
          <w:kern w:val="22"/>
          <w:sz w:val="22"/>
          <w:szCs w:val="22"/>
        </w:rPr>
        <w:fldChar w:fldCharType="separate"/>
      </w:r>
      <w:r>
        <w:rPr>
          <w:rFonts w:eastAsia="Calibri"/>
          <w:noProof/>
          <w:kern w:val="22"/>
          <w:sz w:val="22"/>
          <w:szCs w:val="22"/>
        </w:rPr>
        <w:t>[2]</w:t>
      </w:r>
      <w:r w:rsidRPr="004B2D30">
        <w:rPr>
          <w:rFonts w:eastAsia="Calibri"/>
          <w:kern w:val="22"/>
          <w:sz w:val="22"/>
          <w:szCs w:val="22"/>
        </w:rPr>
        <w:fldChar w:fldCharType="end"/>
      </w:r>
      <w:r w:rsidRPr="004B2D30">
        <w:rPr>
          <w:rFonts w:eastAsia="Calibri"/>
          <w:kern w:val="22"/>
          <w:sz w:val="22"/>
          <w:szCs w:val="22"/>
        </w:rPr>
        <w:t xml:space="preserve"> Total weekly units of alcohol were calculated by adding the units of beer, wine, and spirits. Excess alcohol consumption was defined as more than 14 units of alcohol a week based on the NHS guidelines.</w:t>
      </w:r>
      <w:r w:rsidRPr="004B2D30">
        <w:rPr>
          <w:rFonts w:eastAsia="Calibri"/>
          <w:kern w:val="22"/>
          <w:sz w:val="22"/>
          <w:szCs w:val="22"/>
        </w:rPr>
        <w:fldChar w:fldCharType="begin"/>
      </w:r>
      <w:r>
        <w:rPr>
          <w:rFonts w:eastAsia="Calibri"/>
          <w:kern w:val="22"/>
          <w:sz w:val="22"/>
          <w:szCs w:val="22"/>
        </w:rPr>
        <w:instrText xml:space="preserve"> ADDIN EN.CITE &lt;EndNote&gt;&lt;Cite&gt;&lt;Year&gt;2015&lt;/Year&gt;&lt;RecNum&gt;225&lt;/RecNum&gt;&lt;DisplayText&gt;[3]&lt;/DisplayText&gt;&lt;record&gt;&lt;rec-number&gt;225&lt;/rec-number&gt;&lt;foreign-keys&gt;&lt;key app="EN" db-id="e9ress05gdfw5vepa54xfew5f9adxaxw552z" timestamp="1508338773"&gt;225&lt;/key&gt;&lt;/foreign-keys&gt;&lt;ref-type name="Web Page"&gt;12&lt;/ref-type&gt;&lt;contributors&gt;&lt;/contributors&gt;&lt;titles&gt;&lt;title&gt;Alcohol units&lt;/title&gt;&lt;/titles&gt;&lt;dates&gt;&lt;year&gt;2015&lt;/year&gt;&lt;/dates&gt;&lt;publisher&gt;NHS Choices&lt;/publisher&gt;&lt;urls&gt;&lt;related-urls&gt;&lt;url&gt;https://www.nhs.uk/Livewell/alcohol/Pages/alcohol-units.aspx&lt;/url&gt;&lt;/related-urls&gt;&lt;/urls&gt;&lt;/record&gt;&lt;/Cite&gt;&lt;/EndNote&gt;</w:instrText>
      </w:r>
      <w:r w:rsidRPr="004B2D30">
        <w:rPr>
          <w:rFonts w:eastAsia="Calibri"/>
          <w:kern w:val="22"/>
          <w:sz w:val="22"/>
          <w:szCs w:val="22"/>
        </w:rPr>
        <w:fldChar w:fldCharType="separate"/>
      </w:r>
      <w:r>
        <w:rPr>
          <w:rFonts w:eastAsia="Calibri"/>
          <w:noProof/>
          <w:kern w:val="22"/>
          <w:sz w:val="22"/>
          <w:szCs w:val="22"/>
        </w:rPr>
        <w:t>[3]</w:t>
      </w:r>
      <w:r w:rsidRPr="004B2D30">
        <w:rPr>
          <w:rFonts w:eastAsia="Calibri"/>
          <w:kern w:val="22"/>
          <w:sz w:val="22"/>
          <w:szCs w:val="22"/>
        </w:rPr>
        <w:fldChar w:fldCharType="end"/>
      </w:r>
    </w:p>
    <w:p w:rsidR="006B27A8" w:rsidRPr="004B2D30" w:rsidRDefault="006B27A8" w:rsidP="006B27A8">
      <w:pPr>
        <w:shd w:val="clear" w:color="auto" w:fill="FFFFFF"/>
        <w:spacing w:line="360" w:lineRule="auto"/>
        <w:textAlignment w:val="baseline"/>
        <w:rPr>
          <w:rFonts w:eastAsia="Calibri"/>
          <w:kern w:val="22"/>
          <w:sz w:val="22"/>
          <w:szCs w:val="22"/>
        </w:rPr>
      </w:pPr>
    </w:p>
    <w:p w:rsidR="006B27A8" w:rsidRPr="004B2D30" w:rsidRDefault="006B27A8" w:rsidP="006B27A8">
      <w:pPr>
        <w:keepNext/>
        <w:numPr>
          <w:ilvl w:val="3"/>
          <w:numId w:val="0"/>
        </w:numPr>
        <w:tabs>
          <w:tab w:val="left" w:pos="879"/>
          <w:tab w:val="num" w:pos="1080"/>
        </w:tabs>
        <w:spacing w:line="360" w:lineRule="auto"/>
        <w:ind w:left="879" w:hanging="879"/>
        <w:outlineLvl w:val="3"/>
        <w:rPr>
          <w:rFonts w:eastAsia="Calibri"/>
          <w:b/>
          <w:kern w:val="22"/>
          <w:sz w:val="22"/>
          <w:szCs w:val="22"/>
        </w:rPr>
      </w:pPr>
      <w:bookmarkStart w:id="8" w:name="_Toc497472994"/>
      <w:r w:rsidRPr="004B2D30">
        <w:rPr>
          <w:rFonts w:eastAsia="Calibri"/>
          <w:b/>
          <w:kern w:val="22"/>
          <w:sz w:val="22"/>
          <w:szCs w:val="22"/>
        </w:rPr>
        <w:lastRenderedPageBreak/>
        <w:t>Sedentary behaviour</w:t>
      </w:r>
      <w:bookmarkEnd w:id="8"/>
      <w:r w:rsidRPr="004B2D30">
        <w:rPr>
          <w:rFonts w:eastAsia="Calibri"/>
          <w:b/>
          <w:kern w:val="22"/>
          <w:sz w:val="22"/>
          <w:szCs w:val="22"/>
        </w:rPr>
        <w:t xml:space="preserve"> </w:t>
      </w:r>
    </w:p>
    <w:p w:rsidR="006B27A8" w:rsidRPr="004B2D30" w:rsidRDefault="006B27A8" w:rsidP="006B27A8">
      <w:pPr>
        <w:shd w:val="clear" w:color="auto" w:fill="FFFFFF"/>
        <w:spacing w:line="360" w:lineRule="auto"/>
        <w:textAlignment w:val="baseline"/>
        <w:rPr>
          <w:rFonts w:eastAsia="Calibri"/>
          <w:kern w:val="22"/>
          <w:sz w:val="22"/>
          <w:szCs w:val="22"/>
        </w:rPr>
      </w:pPr>
      <w:r w:rsidRPr="004B2D30">
        <w:rPr>
          <w:rFonts w:eastAsia="Calibri"/>
          <w:kern w:val="22"/>
          <w:sz w:val="22"/>
          <w:szCs w:val="22"/>
        </w:rPr>
        <w:t>To measure the total sedentary time, the sum of self-reported hours spent watching television (TV), using the computer, and driving were derived on a typical day. Values greater than 24 hours per day were excluded, and those reporting over 16 hours were re-coded to 16 hours. Tertiles based on the sample population was used to categorise sedentary time into low (0 to 4 hours), medium (5 to 6 hours), and high (more than 6 hours) levels of sedentary behaviour.</w:t>
      </w:r>
    </w:p>
    <w:p w:rsidR="006B27A8" w:rsidRPr="004B2D30" w:rsidRDefault="006B27A8" w:rsidP="006B27A8">
      <w:pPr>
        <w:shd w:val="clear" w:color="auto" w:fill="FFFFFF"/>
        <w:spacing w:line="360" w:lineRule="auto"/>
        <w:textAlignment w:val="baseline"/>
        <w:rPr>
          <w:rFonts w:eastAsia="Calibri"/>
          <w:kern w:val="22"/>
          <w:sz w:val="22"/>
          <w:szCs w:val="22"/>
        </w:rPr>
      </w:pPr>
    </w:p>
    <w:p w:rsidR="006B27A8" w:rsidRPr="004B2D30" w:rsidRDefault="006B27A8" w:rsidP="006B27A8">
      <w:pPr>
        <w:keepNext/>
        <w:numPr>
          <w:ilvl w:val="3"/>
          <w:numId w:val="0"/>
        </w:numPr>
        <w:tabs>
          <w:tab w:val="left" w:pos="879"/>
          <w:tab w:val="num" w:pos="1080"/>
        </w:tabs>
        <w:spacing w:line="360" w:lineRule="auto"/>
        <w:ind w:left="879" w:hanging="879"/>
        <w:outlineLvl w:val="3"/>
        <w:rPr>
          <w:rFonts w:eastAsia="Calibri"/>
          <w:b/>
          <w:kern w:val="22"/>
          <w:sz w:val="22"/>
          <w:szCs w:val="22"/>
        </w:rPr>
      </w:pPr>
      <w:bookmarkStart w:id="9" w:name="_Toc497472995"/>
      <w:r w:rsidRPr="004B2D30">
        <w:rPr>
          <w:rFonts w:eastAsia="Calibri"/>
          <w:b/>
          <w:kern w:val="22"/>
          <w:sz w:val="22"/>
          <w:szCs w:val="22"/>
        </w:rPr>
        <w:t>Education level</w:t>
      </w:r>
      <w:bookmarkEnd w:id="9"/>
    </w:p>
    <w:p w:rsidR="006B27A8" w:rsidRPr="004B2D30" w:rsidRDefault="006B27A8" w:rsidP="006B27A8">
      <w:pPr>
        <w:shd w:val="clear" w:color="auto" w:fill="FFFFFF"/>
        <w:spacing w:line="360" w:lineRule="auto"/>
        <w:textAlignment w:val="baseline"/>
        <w:rPr>
          <w:rFonts w:eastAsia="Calibri"/>
          <w:kern w:val="22"/>
          <w:sz w:val="22"/>
          <w:szCs w:val="22"/>
        </w:rPr>
      </w:pPr>
      <w:r w:rsidRPr="004B2D30">
        <w:rPr>
          <w:rFonts w:eastAsia="Calibri"/>
          <w:kern w:val="22"/>
          <w:sz w:val="22"/>
          <w:szCs w:val="22"/>
        </w:rPr>
        <w:t xml:space="preserve">Education level was categorised as having a College or University degree, A levels/AS levels or equivalent, O levels/GCSEs or equivalent, or other qualification (CSEs, NVQ, HND, HNC, professional qualifications (e.g. nursing, teaching) and if the information was missing). The first entered qualification was assessed as the highest qualification. </w:t>
      </w:r>
    </w:p>
    <w:p w:rsidR="006B27A8" w:rsidRPr="004B2D30" w:rsidRDefault="006B27A8" w:rsidP="006B27A8">
      <w:pPr>
        <w:shd w:val="clear" w:color="auto" w:fill="FFFFFF"/>
        <w:spacing w:line="360" w:lineRule="auto"/>
        <w:textAlignment w:val="baseline"/>
        <w:rPr>
          <w:rFonts w:eastAsia="Calibri"/>
          <w:kern w:val="22"/>
          <w:sz w:val="22"/>
          <w:szCs w:val="22"/>
        </w:rPr>
      </w:pPr>
    </w:p>
    <w:p w:rsidR="006B27A8" w:rsidRPr="004B2D30" w:rsidRDefault="006B27A8" w:rsidP="006B27A8">
      <w:pPr>
        <w:keepNext/>
        <w:numPr>
          <w:ilvl w:val="3"/>
          <w:numId w:val="0"/>
        </w:numPr>
        <w:tabs>
          <w:tab w:val="left" w:pos="879"/>
          <w:tab w:val="num" w:pos="1080"/>
        </w:tabs>
        <w:spacing w:line="360" w:lineRule="auto"/>
        <w:ind w:left="879" w:hanging="879"/>
        <w:outlineLvl w:val="3"/>
        <w:rPr>
          <w:rFonts w:eastAsia="Calibri"/>
          <w:b/>
          <w:kern w:val="22"/>
          <w:sz w:val="22"/>
          <w:szCs w:val="22"/>
        </w:rPr>
      </w:pPr>
      <w:bookmarkStart w:id="10" w:name="_Toc497472996"/>
      <w:r w:rsidRPr="004B2D30">
        <w:rPr>
          <w:rFonts w:eastAsia="Calibri"/>
          <w:b/>
          <w:kern w:val="22"/>
          <w:sz w:val="22"/>
          <w:szCs w:val="22"/>
        </w:rPr>
        <w:t>Employment status</w:t>
      </w:r>
      <w:bookmarkEnd w:id="10"/>
      <w:r w:rsidRPr="004B2D30">
        <w:rPr>
          <w:rFonts w:eastAsia="Calibri"/>
          <w:b/>
          <w:kern w:val="22"/>
          <w:sz w:val="22"/>
          <w:szCs w:val="22"/>
        </w:rPr>
        <w:t xml:space="preserve"> </w:t>
      </w:r>
    </w:p>
    <w:p w:rsidR="006B27A8" w:rsidRPr="004B2D30" w:rsidRDefault="006B27A8" w:rsidP="006B27A8">
      <w:pPr>
        <w:shd w:val="clear" w:color="auto" w:fill="FFFFFF"/>
        <w:spacing w:line="360" w:lineRule="auto"/>
        <w:textAlignment w:val="baseline"/>
        <w:rPr>
          <w:rFonts w:eastAsia="Calibri"/>
          <w:kern w:val="22"/>
          <w:sz w:val="22"/>
          <w:szCs w:val="22"/>
        </w:rPr>
      </w:pPr>
      <w:r w:rsidRPr="004B2D30">
        <w:rPr>
          <w:rFonts w:eastAsia="Calibri"/>
          <w:kern w:val="22"/>
          <w:sz w:val="22"/>
          <w:szCs w:val="22"/>
        </w:rPr>
        <w:t xml:space="preserve">Employment status was grouped as working (in paid employment or self-employed), unemployed, retired, or other (looking after home and/or family, unable to work because of sickness or disability, doing unpaid or voluntary work, full or part time student, or did not provide an answer). The first entered employment was assumed as their most current employment status. </w:t>
      </w:r>
    </w:p>
    <w:p w:rsidR="006B27A8" w:rsidRPr="004B2D30" w:rsidRDefault="006B27A8" w:rsidP="006B27A8">
      <w:pPr>
        <w:keepNext/>
        <w:numPr>
          <w:ilvl w:val="3"/>
          <w:numId w:val="0"/>
        </w:numPr>
        <w:tabs>
          <w:tab w:val="left" w:pos="879"/>
          <w:tab w:val="num" w:pos="1080"/>
        </w:tabs>
        <w:spacing w:line="360" w:lineRule="auto"/>
        <w:ind w:left="879" w:hanging="879"/>
        <w:outlineLvl w:val="3"/>
        <w:rPr>
          <w:rFonts w:eastAsia="Calibri"/>
          <w:b/>
          <w:kern w:val="22"/>
          <w:sz w:val="22"/>
          <w:szCs w:val="22"/>
        </w:rPr>
      </w:pPr>
      <w:bookmarkStart w:id="11" w:name="_Toc497472997"/>
    </w:p>
    <w:p w:rsidR="006B27A8" w:rsidRPr="004B2D30" w:rsidRDefault="006B27A8" w:rsidP="006B27A8">
      <w:pPr>
        <w:keepNext/>
        <w:numPr>
          <w:ilvl w:val="3"/>
          <w:numId w:val="0"/>
        </w:numPr>
        <w:tabs>
          <w:tab w:val="left" w:pos="879"/>
          <w:tab w:val="num" w:pos="1080"/>
        </w:tabs>
        <w:spacing w:line="360" w:lineRule="auto"/>
        <w:ind w:left="879" w:hanging="879"/>
        <w:outlineLvl w:val="3"/>
        <w:rPr>
          <w:rFonts w:eastAsia="Calibri"/>
          <w:b/>
          <w:kern w:val="22"/>
          <w:sz w:val="22"/>
          <w:szCs w:val="22"/>
        </w:rPr>
      </w:pPr>
      <w:r w:rsidRPr="004B2D30">
        <w:rPr>
          <w:rFonts w:eastAsia="Calibri"/>
          <w:b/>
          <w:kern w:val="22"/>
          <w:sz w:val="22"/>
          <w:szCs w:val="22"/>
        </w:rPr>
        <w:t>Socioeconomic status</w:t>
      </w:r>
      <w:bookmarkEnd w:id="11"/>
    </w:p>
    <w:p w:rsidR="006B27A8" w:rsidRDefault="006B27A8" w:rsidP="006B27A8">
      <w:pPr>
        <w:shd w:val="clear" w:color="auto" w:fill="FFFFFF"/>
        <w:spacing w:line="360" w:lineRule="auto"/>
        <w:textAlignment w:val="baseline"/>
        <w:rPr>
          <w:rFonts w:eastAsia="Calibri"/>
          <w:kern w:val="22"/>
          <w:sz w:val="22"/>
          <w:szCs w:val="22"/>
        </w:rPr>
      </w:pPr>
      <w:r w:rsidRPr="004B2D30">
        <w:rPr>
          <w:rFonts w:eastAsia="Calibri"/>
          <w:kern w:val="22"/>
          <w:sz w:val="22"/>
          <w:szCs w:val="22"/>
        </w:rPr>
        <w:t>Townsend deprivation index was used as a measure of socioeconomic status. This measure combines census data on housing, employment, social class, and car availability based on the postal code of participants. The Townsend deprivation index has been validated for use in a UK-based population.</w:t>
      </w:r>
      <w:r w:rsidRPr="004B2D30">
        <w:rPr>
          <w:rFonts w:eastAsia="Calibri"/>
          <w:kern w:val="22"/>
          <w:sz w:val="22"/>
          <w:szCs w:val="22"/>
        </w:rPr>
        <w:fldChar w:fldCharType="begin"/>
      </w:r>
      <w:r>
        <w:rPr>
          <w:rFonts w:eastAsia="Calibri"/>
          <w:kern w:val="22"/>
          <w:sz w:val="22"/>
          <w:szCs w:val="22"/>
        </w:rPr>
        <w:instrText xml:space="preserve"> ADDIN EN.CITE &lt;EndNote&gt;&lt;Cite&gt;&lt;Author&gt;Townsend &lt;/Author&gt;&lt;Year&gt;1979&lt;/Year&gt;&lt;RecNum&gt;143&lt;/RecNum&gt;&lt;IDText&gt;Poverty in the United Kingdom   &lt;/IDText&gt;&lt;DisplayText&gt;[4]&lt;/DisplayText&gt;&lt;record&gt;&lt;rec-number&gt;143&lt;/rec-number&gt;&lt;foreign-keys&gt;&lt;key app="EN" db-id="e9ress05gdfw5vepa54xfew5f9adxaxw552z" timestamp="1495022196"&gt;143&lt;/key&gt;&lt;/foreign-keys&gt;&lt;ref-type name="Generic"&gt;13&lt;/ref-type&gt;&lt;contributors&gt;&lt;authors&gt;&lt;author&gt;Townsend , Peter&lt;/author&gt;&lt;/authors&gt;&lt;/contributors&gt;&lt;titles&gt;&lt;title&gt;Poverty in the United Kingdom   &lt;/title&gt;&lt;/titles&gt;&lt;dates&gt;&lt;year&gt;1979&lt;/year&gt;&lt;/dates&gt;&lt;pub-location&gt;London&lt;/pub-location&gt;&lt;publisher&gt;Allen Lane and Penguin Books’&lt;/publisher&gt;&lt;urls&gt;&lt;/urls&gt;&lt;/record&gt;&lt;/Cite&gt;&lt;/EndNote&gt;</w:instrText>
      </w:r>
      <w:r w:rsidRPr="004B2D30">
        <w:rPr>
          <w:rFonts w:eastAsia="Calibri"/>
          <w:kern w:val="22"/>
          <w:sz w:val="22"/>
          <w:szCs w:val="22"/>
        </w:rPr>
        <w:fldChar w:fldCharType="separate"/>
      </w:r>
      <w:r>
        <w:rPr>
          <w:rFonts w:eastAsia="Calibri"/>
          <w:noProof/>
          <w:kern w:val="22"/>
          <w:sz w:val="22"/>
          <w:szCs w:val="22"/>
        </w:rPr>
        <w:t>[4]</w:t>
      </w:r>
      <w:r w:rsidRPr="004B2D30">
        <w:rPr>
          <w:rFonts w:eastAsia="Calibri"/>
          <w:kern w:val="22"/>
          <w:sz w:val="22"/>
          <w:szCs w:val="22"/>
        </w:rPr>
        <w:fldChar w:fldCharType="end"/>
      </w:r>
      <w:r w:rsidRPr="004B2D30">
        <w:rPr>
          <w:rFonts w:eastAsia="Calibri"/>
          <w:kern w:val="22"/>
          <w:sz w:val="22"/>
          <w:szCs w:val="22"/>
        </w:rPr>
        <w:t xml:space="preserve"> The index was categorised into quintiles from the sample population, with the least deprived (quintile 1) to the most deprived (quintile 5).</w:t>
      </w:r>
    </w:p>
    <w:p w:rsidR="006B27A8" w:rsidRPr="004B2D30" w:rsidRDefault="006B27A8" w:rsidP="006B27A8">
      <w:pPr>
        <w:shd w:val="clear" w:color="auto" w:fill="FFFFFF"/>
        <w:spacing w:line="360" w:lineRule="auto"/>
        <w:textAlignment w:val="baseline"/>
        <w:rPr>
          <w:rFonts w:eastAsia="Calibri"/>
          <w:kern w:val="22"/>
          <w:sz w:val="22"/>
          <w:szCs w:val="22"/>
        </w:rPr>
      </w:pPr>
    </w:p>
    <w:p w:rsidR="006B27A8" w:rsidRPr="004B2D30" w:rsidRDefault="006B27A8" w:rsidP="006B27A8"/>
    <w:p w:rsidR="006B27A8" w:rsidRPr="003E2B52" w:rsidRDefault="006B27A8" w:rsidP="006B27A8">
      <w:pPr>
        <w:rPr>
          <w:b/>
          <w:sz w:val="22"/>
          <w:szCs w:val="22"/>
        </w:rPr>
      </w:pPr>
      <w:r w:rsidRPr="003E2B52">
        <w:rPr>
          <w:b/>
          <w:sz w:val="22"/>
          <w:szCs w:val="22"/>
        </w:rPr>
        <w:t>References</w:t>
      </w:r>
    </w:p>
    <w:p w:rsidR="006B27A8" w:rsidRPr="00F1467A" w:rsidRDefault="006B27A8" w:rsidP="006B27A8"/>
    <w:p w:rsidR="006B27A8" w:rsidRPr="003824C2" w:rsidRDefault="006B27A8" w:rsidP="006B27A8">
      <w:pPr>
        <w:pStyle w:val="EndNoteBibliography"/>
        <w:spacing w:after="0"/>
        <w:ind w:left="720" w:hanging="720"/>
        <w:rPr>
          <w:rFonts w:ascii="Times New Roman" w:hAnsi="Times New Roman"/>
          <w:sz w:val="22"/>
          <w:szCs w:val="22"/>
        </w:rPr>
      </w:pPr>
      <w:r w:rsidRPr="003824C2">
        <w:rPr>
          <w:rFonts w:ascii="Times New Roman" w:hAnsi="Times New Roman"/>
          <w:sz w:val="22"/>
          <w:szCs w:val="22"/>
        </w:rPr>
        <w:fldChar w:fldCharType="begin"/>
      </w:r>
      <w:r w:rsidRPr="003824C2">
        <w:rPr>
          <w:rFonts w:ascii="Times New Roman" w:hAnsi="Times New Roman"/>
          <w:sz w:val="22"/>
          <w:szCs w:val="22"/>
        </w:rPr>
        <w:instrText xml:space="preserve"> ADDIN EN.REFLIST </w:instrText>
      </w:r>
      <w:r w:rsidRPr="003824C2">
        <w:rPr>
          <w:rFonts w:ascii="Times New Roman" w:hAnsi="Times New Roman"/>
          <w:sz w:val="22"/>
          <w:szCs w:val="22"/>
        </w:rPr>
        <w:fldChar w:fldCharType="separate"/>
      </w:r>
      <w:r w:rsidRPr="003824C2">
        <w:rPr>
          <w:rFonts w:ascii="Times New Roman" w:hAnsi="Times New Roman"/>
          <w:sz w:val="22"/>
          <w:szCs w:val="22"/>
        </w:rPr>
        <w:t>1.</w:t>
      </w:r>
      <w:r w:rsidRPr="003824C2">
        <w:rPr>
          <w:rFonts w:ascii="Times New Roman" w:hAnsi="Times New Roman"/>
          <w:sz w:val="22"/>
          <w:szCs w:val="22"/>
        </w:rPr>
        <w:tab/>
      </w:r>
      <w:r w:rsidR="00462B96">
        <w:rPr>
          <w:rFonts w:ascii="Times New Roman" w:hAnsi="Times New Roman"/>
          <w:sz w:val="22"/>
          <w:szCs w:val="22"/>
        </w:rPr>
        <w:t xml:space="preserve">NHS, </w:t>
      </w:r>
      <w:r w:rsidRPr="003824C2">
        <w:rPr>
          <w:rFonts w:ascii="Times New Roman" w:hAnsi="Times New Roman"/>
          <w:b/>
          <w:sz w:val="22"/>
          <w:szCs w:val="22"/>
        </w:rPr>
        <w:t>5 A Day portion sizes</w:t>
      </w:r>
      <w:r w:rsidR="00462B96">
        <w:rPr>
          <w:rFonts w:ascii="Times New Roman" w:hAnsi="Times New Roman"/>
          <w:b/>
          <w:sz w:val="22"/>
          <w:szCs w:val="22"/>
        </w:rPr>
        <w:t xml:space="preserve">, </w:t>
      </w:r>
      <w:r w:rsidR="00462B96" w:rsidRPr="00462B96">
        <w:rPr>
          <w:rFonts w:ascii="Times New Roman" w:hAnsi="Times New Roman"/>
          <w:sz w:val="22"/>
          <w:szCs w:val="22"/>
        </w:rPr>
        <w:t>Available at:</w:t>
      </w:r>
      <w:r w:rsidRPr="00462B96">
        <w:rPr>
          <w:rFonts w:ascii="Times New Roman" w:hAnsi="Times New Roman"/>
          <w:sz w:val="22"/>
          <w:szCs w:val="22"/>
        </w:rPr>
        <w:t xml:space="preserve"> </w:t>
      </w:r>
      <w:r w:rsidRPr="003824C2">
        <w:rPr>
          <w:rFonts w:ascii="Times New Roman" w:hAnsi="Times New Roman"/>
          <w:sz w:val="22"/>
          <w:szCs w:val="22"/>
        </w:rPr>
        <w:t>[</w:t>
      </w:r>
      <w:hyperlink r:id="rId13" w:history="1">
        <w:r w:rsidRPr="003824C2">
          <w:rPr>
            <w:rStyle w:val="Hyperlink"/>
            <w:rFonts w:ascii="Times New Roman" w:hAnsi="Times New Roman"/>
            <w:sz w:val="22"/>
            <w:szCs w:val="22"/>
          </w:rPr>
          <w:t>http://www.nhs.uk/Livewell/5ADAY/Pages/Portionsizes.aspx</w:t>
        </w:r>
      </w:hyperlink>
      <w:r w:rsidRPr="003824C2">
        <w:rPr>
          <w:rFonts w:ascii="Times New Roman" w:hAnsi="Times New Roman"/>
          <w:sz w:val="22"/>
          <w:szCs w:val="22"/>
        </w:rPr>
        <w:t>]</w:t>
      </w:r>
    </w:p>
    <w:p w:rsidR="006B27A8" w:rsidRPr="003824C2" w:rsidRDefault="006B27A8" w:rsidP="006B27A8">
      <w:pPr>
        <w:pStyle w:val="EndNoteBibliography"/>
        <w:spacing w:after="0"/>
        <w:ind w:left="720" w:hanging="720"/>
        <w:rPr>
          <w:rFonts w:ascii="Times New Roman" w:hAnsi="Times New Roman"/>
          <w:sz w:val="22"/>
          <w:szCs w:val="22"/>
        </w:rPr>
      </w:pPr>
      <w:r w:rsidRPr="003824C2">
        <w:rPr>
          <w:rFonts w:ascii="Times New Roman" w:hAnsi="Times New Roman"/>
          <w:sz w:val="22"/>
          <w:szCs w:val="22"/>
        </w:rPr>
        <w:t>2.</w:t>
      </w:r>
      <w:r w:rsidRPr="003824C2">
        <w:rPr>
          <w:rFonts w:ascii="Times New Roman" w:hAnsi="Times New Roman"/>
          <w:sz w:val="22"/>
          <w:szCs w:val="22"/>
        </w:rPr>
        <w:tab/>
        <w:t xml:space="preserve">Goddard E: </w:t>
      </w:r>
      <w:r w:rsidRPr="003824C2">
        <w:rPr>
          <w:rFonts w:ascii="Times New Roman" w:hAnsi="Times New Roman"/>
          <w:b/>
          <w:sz w:val="22"/>
          <w:szCs w:val="22"/>
        </w:rPr>
        <w:t>Estimating alcohol consumption from survey data: updated method of converting volumes to units</w:t>
      </w:r>
      <w:r w:rsidRPr="003824C2">
        <w:rPr>
          <w:rFonts w:ascii="Times New Roman" w:hAnsi="Times New Roman"/>
          <w:sz w:val="22"/>
          <w:szCs w:val="22"/>
        </w:rPr>
        <w:t>: Office for National Statistics Newport; 2007.</w:t>
      </w:r>
    </w:p>
    <w:p w:rsidR="006B27A8" w:rsidRPr="003824C2" w:rsidRDefault="006B27A8" w:rsidP="006B27A8">
      <w:pPr>
        <w:pStyle w:val="EndNoteBibliography"/>
        <w:spacing w:after="0"/>
        <w:ind w:left="720" w:hanging="720"/>
        <w:rPr>
          <w:rFonts w:ascii="Times New Roman" w:hAnsi="Times New Roman"/>
          <w:sz w:val="22"/>
          <w:szCs w:val="22"/>
        </w:rPr>
      </w:pPr>
      <w:r w:rsidRPr="003824C2">
        <w:rPr>
          <w:rFonts w:ascii="Times New Roman" w:hAnsi="Times New Roman"/>
          <w:sz w:val="22"/>
          <w:szCs w:val="22"/>
        </w:rPr>
        <w:t>3.</w:t>
      </w:r>
      <w:r w:rsidRPr="003824C2">
        <w:rPr>
          <w:rFonts w:ascii="Times New Roman" w:hAnsi="Times New Roman"/>
          <w:sz w:val="22"/>
          <w:szCs w:val="22"/>
        </w:rPr>
        <w:tab/>
      </w:r>
      <w:r w:rsidR="00462B96">
        <w:rPr>
          <w:rFonts w:ascii="Times New Roman" w:hAnsi="Times New Roman"/>
          <w:sz w:val="22"/>
          <w:szCs w:val="22"/>
        </w:rPr>
        <w:t xml:space="preserve">NHS, </w:t>
      </w:r>
      <w:r w:rsidRPr="003824C2">
        <w:rPr>
          <w:rFonts w:ascii="Times New Roman" w:hAnsi="Times New Roman"/>
          <w:b/>
          <w:sz w:val="22"/>
          <w:szCs w:val="22"/>
        </w:rPr>
        <w:t>Alcohol units</w:t>
      </w:r>
      <w:r w:rsidR="00462B96">
        <w:rPr>
          <w:rFonts w:ascii="Times New Roman" w:hAnsi="Times New Roman"/>
          <w:b/>
          <w:sz w:val="22"/>
          <w:szCs w:val="22"/>
        </w:rPr>
        <w:t xml:space="preserve">, </w:t>
      </w:r>
      <w:r w:rsidR="00462B96" w:rsidRPr="00462B96">
        <w:rPr>
          <w:rFonts w:ascii="Times New Roman" w:hAnsi="Times New Roman"/>
          <w:sz w:val="22"/>
          <w:szCs w:val="22"/>
        </w:rPr>
        <w:t>Available at:</w:t>
      </w:r>
      <w:r w:rsidRPr="003824C2">
        <w:rPr>
          <w:rFonts w:ascii="Times New Roman" w:hAnsi="Times New Roman"/>
          <w:b/>
          <w:sz w:val="22"/>
          <w:szCs w:val="22"/>
        </w:rPr>
        <w:t xml:space="preserve"> </w:t>
      </w:r>
      <w:r w:rsidRPr="003824C2">
        <w:rPr>
          <w:rFonts w:ascii="Times New Roman" w:hAnsi="Times New Roman"/>
          <w:sz w:val="22"/>
          <w:szCs w:val="22"/>
        </w:rPr>
        <w:t>[</w:t>
      </w:r>
      <w:hyperlink r:id="rId14" w:history="1">
        <w:r w:rsidRPr="003824C2">
          <w:rPr>
            <w:rStyle w:val="Hyperlink"/>
            <w:rFonts w:ascii="Times New Roman" w:hAnsi="Times New Roman"/>
            <w:sz w:val="22"/>
            <w:szCs w:val="22"/>
          </w:rPr>
          <w:t>https://www.nhs.uk/Livewell/alcohol/Pages/alcohol-units.aspx</w:t>
        </w:r>
      </w:hyperlink>
      <w:r w:rsidRPr="003824C2">
        <w:rPr>
          <w:rFonts w:ascii="Times New Roman" w:hAnsi="Times New Roman"/>
          <w:sz w:val="22"/>
          <w:szCs w:val="22"/>
        </w:rPr>
        <w:t>]</w:t>
      </w:r>
    </w:p>
    <w:p w:rsidR="005B0600" w:rsidRDefault="006B27A8" w:rsidP="00FA1266">
      <w:pPr>
        <w:pStyle w:val="EndNoteBibliography"/>
        <w:ind w:left="720" w:hanging="720"/>
        <w:rPr>
          <w:b/>
          <w:sz w:val="22"/>
        </w:rPr>
        <w:sectPr w:rsidR="005B0600" w:rsidSect="00FA1266">
          <w:footerReference w:type="even" r:id="rId15"/>
          <w:footerReference w:type="default" r:id="rId16"/>
          <w:pgSz w:w="11905" w:h="16440"/>
          <w:pgMar w:top="1440" w:right="1440" w:bottom="1440" w:left="1440" w:header="720" w:footer="720" w:gutter="0"/>
          <w:cols w:space="708"/>
          <w:docGrid w:linePitch="326"/>
        </w:sectPr>
      </w:pPr>
      <w:r w:rsidRPr="003824C2">
        <w:rPr>
          <w:rFonts w:ascii="Times New Roman" w:hAnsi="Times New Roman"/>
          <w:sz w:val="22"/>
          <w:szCs w:val="22"/>
        </w:rPr>
        <w:t>4.</w:t>
      </w:r>
      <w:r w:rsidRPr="003824C2">
        <w:rPr>
          <w:rFonts w:ascii="Times New Roman" w:hAnsi="Times New Roman"/>
          <w:sz w:val="22"/>
          <w:szCs w:val="22"/>
        </w:rPr>
        <w:tab/>
        <w:t xml:space="preserve">Townsend  P: </w:t>
      </w:r>
      <w:r w:rsidRPr="003824C2">
        <w:rPr>
          <w:rFonts w:ascii="Times New Roman" w:hAnsi="Times New Roman"/>
          <w:b/>
          <w:sz w:val="22"/>
          <w:szCs w:val="22"/>
        </w:rPr>
        <w:t xml:space="preserve">Poverty in the United Kingdom </w:t>
      </w:r>
      <w:r w:rsidRPr="003824C2">
        <w:rPr>
          <w:rFonts w:ascii="Times New Roman" w:hAnsi="Times New Roman"/>
          <w:sz w:val="22"/>
          <w:szCs w:val="22"/>
        </w:rPr>
        <w:t>In</w:t>
      </w:r>
      <w:r w:rsidRPr="003824C2">
        <w:rPr>
          <w:rFonts w:ascii="Times New Roman" w:hAnsi="Times New Roman"/>
          <w:i/>
          <w:sz w:val="22"/>
          <w:szCs w:val="22"/>
        </w:rPr>
        <w:t>.</w:t>
      </w:r>
      <w:r w:rsidRPr="003824C2">
        <w:rPr>
          <w:rFonts w:ascii="Times New Roman" w:hAnsi="Times New Roman"/>
          <w:sz w:val="22"/>
          <w:szCs w:val="22"/>
        </w:rPr>
        <w:t xml:space="preserve"> London: Allen Lane and Penguin Books; 1979.</w:t>
      </w:r>
      <w:r w:rsidRPr="003824C2">
        <w:rPr>
          <w:rFonts w:eastAsiaTheme="minorHAnsi"/>
          <w:b/>
          <w:bCs/>
          <w:szCs w:val="22"/>
        </w:rPr>
        <w:fldChar w:fldCharType="end"/>
      </w:r>
    </w:p>
    <w:p w:rsidR="005B0600" w:rsidRPr="007F7400" w:rsidRDefault="005B0600" w:rsidP="00CC1190">
      <w:pPr>
        <w:pStyle w:val="Heading1"/>
        <w:tabs>
          <w:tab w:val="center" w:pos="4513"/>
        </w:tabs>
        <w:ind w:left="-851" w:hanging="283"/>
        <w:rPr>
          <w:rFonts w:cs="Times New Roman"/>
          <w:b w:val="0"/>
          <w:sz w:val="24"/>
          <w:szCs w:val="22"/>
        </w:rPr>
      </w:pPr>
      <w:r>
        <w:rPr>
          <w:rFonts w:cs="Times New Roman"/>
          <w:sz w:val="24"/>
          <w:szCs w:val="22"/>
        </w:rPr>
        <w:lastRenderedPageBreak/>
        <w:tab/>
      </w:r>
      <w:r w:rsidR="00FA1266">
        <w:rPr>
          <w:rFonts w:cs="Times New Roman"/>
          <w:sz w:val="24"/>
          <w:szCs w:val="22"/>
        </w:rPr>
        <w:t>Methods S4</w:t>
      </w:r>
      <w:r w:rsidRPr="007F7400">
        <w:rPr>
          <w:rFonts w:cs="Times New Roman"/>
          <w:sz w:val="24"/>
          <w:szCs w:val="22"/>
        </w:rPr>
        <w:t xml:space="preserve">. </w:t>
      </w:r>
      <w:r w:rsidRPr="007F7400">
        <w:rPr>
          <w:rFonts w:cs="Times New Roman"/>
          <w:b w:val="0"/>
          <w:sz w:val="24"/>
          <w:szCs w:val="22"/>
        </w:rPr>
        <w:t>Summary of main and sensitivity analyses</w:t>
      </w:r>
    </w:p>
    <w:p w:rsidR="005B0600" w:rsidRPr="00464C94" w:rsidRDefault="005B0600" w:rsidP="005B0600">
      <w:pPr>
        <w:rPr>
          <w:rFonts w:ascii="Segoe UI Symbol" w:hAnsi="Segoe UI Symbol" w:cs="Segoe UI Symbol"/>
          <w:color w:val="222222"/>
          <w:sz w:val="20"/>
          <w:shd w:val="clear" w:color="auto" w:fill="FFFFFF"/>
        </w:rPr>
      </w:pPr>
    </w:p>
    <w:p w:rsidR="005B0600" w:rsidRPr="00464C94" w:rsidRDefault="005B0600" w:rsidP="00CC1190">
      <w:pPr>
        <w:ind w:left="-851"/>
        <w:rPr>
          <w:sz w:val="20"/>
        </w:rPr>
      </w:pPr>
      <w:r w:rsidRPr="00464C94">
        <w:rPr>
          <w:rFonts w:ascii="Segoe UI Symbol" w:hAnsi="Segoe UI Symbol" w:cs="Segoe UI Symbol"/>
          <w:color w:val="222222"/>
          <w:sz w:val="20"/>
          <w:shd w:val="clear" w:color="auto" w:fill="FFFFFF"/>
        </w:rPr>
        <w:t xml:space="preserve">✓ </w:t>
      </w:r>
      <w:r w:rsidRPr="00464C94">
        <w:rPr>
          <w:sz w:val="20"/>
        </w:rPr>
        <w:t xml:space="preserve">Main analyses; </w:t>
      </w:r>
    </w:p>
    <w:p w:rsidR="005B0600" w:rsidRPr="00464C94" w:rsidRDefault="005B0600" w:rsidP="00CC1190">
      <w:pPr>
        <w:ind w:left="-851"/>
        <w:rPr>
          <w:sz w:val="20"/>
        </w:rPr>
      </w:pPr>
      <w:r w:rsidRPr="00464C94">
        <w:rPr>
          <w:sz w:val="20"/>
        </w:rPr>
        <w:t>X</w:t>
      </w:r>
      <w:r w:rsidRPr="00464C94">
        <w:rPr>
          <w:b/>
          <w:sz w:val="20"/>
        </w:rPr>
        <w:t xml:space="preserve">  </w:t>
      </w:r>
      <w:r w:rsidRPr="00464C94">
        <w:rPr>
          <w:sz w:val="20"/>
        </w:rPr>
        <w:t>Sensitivity analyses;</w:t>
      </w:r>
    </w:p>
    <w:p w:rsidR="005B0600" w:rsidRPr="00464C94" w:rsidRDefault="005B0600" w:rsidP="00CC1190">
      <w:pPr>
        <w:ind w:left="-851"/>
        <w:rPr>
          <w:sz w:val="20"/>
        </w:rPr>
      </w:pPr>
      <w:r w:rsidRPr="00464C94">
        <w:rPr>
          <w:sz w:val="20"/>
        </w:rPr>
        <w:t>– Analysis not performed</w:t>
      </w:r>
    </w:p>
    <w:p w:rsidR="005B0600" w:rsidRPr="00464C94" w:rsidRDefault="005B0600" w:rsidP="00CC1190">
      <w:pPr>
        <w:ind w:left="-851"/>
        <w:rPr>
          <w:sz w:val="10"/>
        </w:rPr>
      </w:pPr>
      <w:r w:rsidRPr="00464C94">
        <w:rPr>
          <w:sz w:val="20"/>
        </w:rPr>
        <w:t xml:space="preserve"> LTPA=Leisure-time physical activity; TPA=Total physical activity; PA=physical activity; HR=hazard ratio; LE=Life expectancy.</w:t>
      </w:r>
    </w:p>
    <w:p w:rsidR="005B0600" w:rsidRPr="005B0600" w:rsidRDefault="005B0600" w:rsidP="006B27A8">
      <w:pPr>
        <w:spacing w:line="480" w:lineRule="auto"/>
        <w:rPr>
          <w:b/>
          <w:sz w:val="16"/>
        </w:rPr>
      </w:pPr>
    </w:p>
    <w:p w:rsidR="005B0600" w:rsidRDefault="005B0600" w:rsidP="006B27A8">
      <w:pPr>
        <w:spacing w:line="480" w:lineRule="auto"/>
        <w:rPr>
          <w:b/>
          <w:sz w:val="22"/>
        </w:rPr>
      </w:pPr>
    </w:p>
    <w:tbl>
      <w:tblPr>
        <w:tblStyle w:val="TableGrid"/>
        <w:tblpPr w:leftFromText="180" w:rightFromText="180" w:vertAnchor="page" w:horzAnchor="margin" w:tblpXSpec="center" w:tblpY="2094"/>
        <w:tblW w:w="15162" w:type="dxa"/>
        <w:tblLayout w:type="fixed"/>
        <w:tblLook w:val="04A0" w:firstRow="1" w:lastRow="0" w:firstColumn="1" w:lastColumn="0" w:noHBand="0" w:noVBand="1"/>
      </w:tblPr>
      <w:tblGrid>
        <w:gridCol w:w="2263"/>
        <w:gridCol w:w="1560"/>
        <w:gridCol w:w="1275"/>
        <w:gridCol w:w="1412"/>
        <w:gridCol w:w="1418"/>
        <w:gridCol w:w="1418"/>
        <w:gridCol w:w="1417"/>
        <w:gridCol w:w="1417"/>
        <w:gridCol w:w="1417"/>
        <w:gridCol w:w="1565"/>
      </w:tblGrid>
      <w:tr w:rsidR="00FA1266" w:rsidRPr="008B3FEA" w:rsidTr="00FA1266">
        <w:trPr>
          <w:trHeight w:val="737"/>
        </w:trPr>
        <w:tc>
          <w:tcPr>
            <w:tcW w:w="2263" w:type="dxa"/>
            <w:tcBorders>
              <w:right w:val="single" w:sz="18" w:space="0" w:color="auto"/>
            </w:tcBorders>
            <w:shd w:val="clear" w:color="auto" w:fill="F2F2F2" w:themeFill="background1" w:themeFillShade="F2"/>
            <w:vAlign w:val="center"/>
          </w:tcPr>
          <w:p w:rsidR="00FA1266" w:rsidRPr="00006558" w:rsidRDefault="00FA1266" w:rsidP="00AB6439">
            <w:pPr>
              <w:rPr>
                <w:rFonts w:cstheme="minorHAnsi"/>
                <w:b/>
                <w:sz w:val="20"/>
              </w:rPr>
            </w:pPr>
            <w:r w:rsidRPr="00006558">
              <w:rPr>
                <w:rFonts w:cstheme="minorHAnsi"/>
                <w:b/>
                <w:sz w:val="20"/>
              </w:rPr>
              <w:t xml:space="preserve">Multimorbidity </w:t>
            </w:r>
          </w:p>
          <w:p w:rsidR="00FA1266" w:rsidRPr="00006558" w:rsidRDefault="00FA1266" w:rsidP="00AB6439">
            <w:pPr>
              <w:rPr>
                <w:rFonts w:cstheme="minorHAnsi"/>
                <w:b/>
                <w:sz w:val="20"/>
              </w:rPr>
            </w:pPr>
            <w:r w:rsidRPr="00006558">
              <w:rPr>
                <w:rFonts w:cstheme="minorHAnsi"/>
                <w:b/>
                <w:sz w:val="20"/>
              </w:rPr>
              <w:t xml:space="preserve">definition </w:t>
            </w:r>
          </w:p>
        </w:tc>
        <w:tc>
          <w:tcPr>
            <w:tcW w:w="1560" w:type="dxa"/>
            <w:tcBorders>
              <w:left w:val="single" w:sz="18" w:space="0" w:color="auto"/>
            </w:tcBorders>
            <w:shd w:val="clear" w:color="auto" w:fill="FFFFFF" w:themeFill="background1"/>
            <w:vAlign w:val="center"/>
          </w:tcPr>
          <w:p w:rsidR="00FA1266" w:rsidRPr="00006558" w:rsidRDefault="00FA1266" w:rsidP="00AB6439">
            <w:pPr>
              <w:jc w:val="center"/>
              <w:rPr>
                <w:rFonts w:cstheme="minorHAnsi"/>
                <w:b/>
                <w:sz w:val="20"/>
              </w:rPr>
            </w:pPr>
            <w:r w:rsidRPr="00006558">
              <w:rPr>
                <w:rFonts w:cstheme="minorHAnsi"/>
                <w:b/>
                <w:sz w:val="20"/>
              </w:rPr>
              <w:t>Baseline characteristics</w:t>
            </w:r>
          </w:p>
        </w:tc>
        <w:tc>
          <w:tcPr>
            <w:tcW w:w="1275" w:type="dxa"/>
            <w:tcBorders>
              <w:right w:val="single" w:sz="18" w:space="0" w:color="auto"/>
            </w:tcBorders>
            <w:shd w:val="clear" w:color="auto" w:fill="FFFFFF" w:themeFill="background1"/>
            <w:vAlign w:val="center"/>
          </w:tcPr>
          <w:p w:rsidR="00FA1266" w:rsidRPr="00006558" w:rsidRDefault="00FA1266" w:rsidP="00AB6439">
            <w:pPr>
              <w:jc w:val="center"/>
              <w:rPr>
                <w:rFonts w:cstheme="minorHAnsi"/>
                <w:b/>
                <w:sz w:val="20"/>
              </w:rPr>
            </w:pPr>
            <w:r w:rsidRPr="00006558">
              <w:rPr>
                <w:rFonts w:cstheme="minorHAnsi"/>
                <w:b/>
                <w:sz w:val="20"/>
              </w:rPr>
              <w:t>Pattern of comorbidity</w:t>
            </w:r>
          </w:p>
        </w:tc>
        <w:tc>
          <w:tcPr>
            <w:tcW w:w="1412" w:type="dxa"/>
            <w:tcBorders>
              <w:left w:val="single" w:sz="18" w:space="0" w:color="auto"/>
            </w:tcBorders>
            <w:shd w:val="clear" w:color="auto" w:fill="FFFFFF" w:themeFill="background1"/>
            <w:vAlign w:val="center"/>
          </w:tcPr>
          <w:p w:rsidR="00FA1266" w:rsidRPr="00006558" w:rsidRDefault="00FA1266" w:rsidP="00AB6439">
            <w:pPr>
              <w:jc w:val="center"/>
              <w:rPr>
                <w:rFonts w:cstheme="minorHAnsi"/>
                <w:b/>
                <w:sz w:val="20"/>
              </w:rPr>
            </w:pPr>
            <w:r w:rsidRPr="00006558">
              <w:rPr>
                <w:rFonts w:cstheme="minorHAnsi"/>
                <w:b/>
                <w:sz w:val="20"/>
              </w:rPr>
              <w:t>Self-reported LTPA</w:t>
            </w:r>
          </w:p>
          <w:p w:rsidR="00FA1266" w:rsidRPr="00006558" w:rsidRDefault="00FA1266" w:rsidP="00AB6439">
            <w:pPr>
              <w:jc w:val="center"/>
              <w:rPr>
                <w:rFonts w:cstheme="minorHAnsi"/>
                <w:b/>
                <w:sz w:val="20"/>
              </w:rPr>
            </w:pPr>
            <w:r w:rsidRPr="00006558">
              <w:rPr>
                <w:rFonts w:cstheme="minorHAnsi"/>
                <w:b/>
                <w:sz w:val="20"/>
              </w:rPr>
              <w:t>(HR and LE)</w:t>
            </w:r>
          </w:p>
        </w:tc>
        <w:tc>
          <w:tcPr>
            <w:tcW w:w="1418" w:type="dxa"/>
            <w:tcBorders>
              <w:right w:val="single" w:sz="18" w:space="0" w:color="auto"/>
            </w:tcBorders>
            <w:shd w:val="clear" w:color="auto" w:fill="FFFFFF" w:themeFill="background1"/>
            <w:vAlign w:val="center"/>
          </w:tcPr>
          <w:p w:rsidR="00FA1266" w:rsidRPr="00006558" w:rsidRDefault="00FA1266" w:rsidP="00AB6439">
            <w:pPr>
              <w:jc w:val="center"/>
              <w:rPr>
                <w:rFonts w:cstheme="minorHAnsi"/>
                <w:b/>
                <w:sz w:val="20"/>
              </w:rPr>
            </w:pPr>
            <w:r w:rsidRPr="00006558">
              <w:rPr>
                <w:rFonts w:cstheme="minorHAnsi"/>
                <w:b/>
                <w:sz w:val="20"/>
              </w:rPr>
              <w:t>Self-reported LTPA tertiles</w:t>
            </w:r>
          </w:p>
          <w:p w:rsidR="00FA1266" w:rsidRPr="00006558" w:rsidRDefault="00FA1266" w:rsidP="00AB6439">
            <w:pPr>
              <w:jc w:val="center"/>
              <w:rPr>
                <w:rFonts w:cstheme="minorHAnsi"/>
                <w:b/>
                <w:sz w:val="20"/>
              </w:rPr>
            </w:pPr>
            <w:r w:rsidRPr="00006558">
              <w:rPr>
                <w:rFonts w:cstheme="minorHAnsi"/>
                <w:b/>
                <w:sz w:val="20"/>
              </w:rPr>
              <w:t>(HR and LE)</w:t>
            </w:r>
          </w:p>
        </w:tc>
        <w:tc>
          <w:tcPr>
            <w:tcW w:w="1418" w:type="dxa"/>
            <w:tcBorders>
              <w:left w:val="single" w:sz="18" w:space="0" w:color="auto"/>
            </w:tcBorders>
            <w:shd w:val="clear" w:color="auto" w:fill="FFFFFF" w:themeFill="background1"/>
            <w:vAlign w:val="center"/>
          </w:tcPr>
          <w:p w:rsidR="00FA1266" w:rsidRPr="00006558" w:rsidRDefault="00FA1266" w:rsidP="00AB6439">
            <w:pPr>
              <w:jc w:val="center"/>
              <w:rPr>
                <w:rFonts w:cstheme="minorHAnsi"/>
                <w:b/>
                <w:sz w:val="20"/>
              </w:rPr>
            </w:pPr>
            <w:r w:rsidRPr="00006558">
              <w:rPr>
                <w:rFonts w:cstheme="minorHAnsi"/>
                <w:b/>
                <w:sz w:val="20"/>
              </w:rPr>
              <w:t>Self-reported TPA</w:t>
            </w:r>
          </w:p>
          <w:p w:rsidR="00FA1266" w:rsidRPr="00006558" w:rsidRDefault="00FA1266" w:rsidP="00AB6439">
            <w:pPr>
              <w:jc w:val="center"/>
              <w:rPr>
                <w:rFonts w:cstheme="minorHAnsi"/>
                <w:b/>
                <w:sz w:val="20"/>
              </w:rPr>
            </w:pPr>
            <w:r w:rsidRPr="00006558">
              <w:rPr>
                <w:rFonts w:cstheme="minorHAnsi"/>
                <w:b/>
                <w:sz w:val="20"/>
              </w:rPr>
              <w:t>(HR and LE)</w:t>
            </w:r>
          </w:p>
        </w:tc>
        <w:tc>
          <w:tcPr>
            <w:tcW w:w="1417" w:type="dxa"/>
            <w:tcBorders>
              <w:right w:val="single" w:sz="18" w:space="0" w:color="auto"/>
            </w:tcBorders>
            <w:shd w:val="clear" w:color="auto" w:fill="FFFFFF" w:themeFill="background1"/>
            <w:vAlign w:val="center"/>
          </w:tcPr>
          <w:p w:rsidR="00FA1266" w:rsidRPr="00006558" w:rsidRDefault="00FA1266" w:rsidP="00AB6439">
            <w:pPr>
              <w:jc w:val="center"/>
              <w:rPr>
                <w:rFonts w:cstheme="minorHAnsi"/>
                <w:b/>
                <w:sz w:val="20"/>
              </w:rPr>
            </w:pPr>
            <w:r w:rsidRPr="00006558">
              <w:rPr>
                <w:rFonts w:cstheme="minorHAnsi"/>
                <w:b/>
                <w:sz w:val="20"/>
              </w:rPr>
              <w:t>Self-reported TPA tertiles</w:t>
            </w:r>
          </w:p>
          <w:p w:rsidR="00FA1266" w:rsidRPr="00006558" w:rsidRDefault="00FA1266" w:rsidP="00AB6439">
            <w:pPr>
              <w:jc w:val="center"/>
              <w:rPr>
                <w:rFonts w:cstheme="minorHAnsi"/>
                <w:b/>
                <w:sz w:val="20"/>
              </w:rPr>
            </w:pPr>
            <w:r w:rsidRPr="00006558">
              <w:rPr>
                <w:rFonts w:cstheme="minorHAnsi"/>
                <w:b/>
                <w:sz w:val="20"/>
              </w:rPr>
              <w:t>(HR and LE)</w:t>
            </w:r>
          </w:p>
        </w:tc>
        <w:tc>
          <w:tcPr>
            <w:tcW w:w="1417" w:type="dxa"/>
            <w:tcBorders>
              <w:left w:val="single" w:sz="18" w:space="0" w:color="auto"/>
            </w:tcBorders>
            <w:shd w:val="clear" w:color="auto" w:fill="auto"/>
            <w:vAlign w:val="center"/>
          </w:tcPr>
          <w:p w:rsidR="00FA1266" w:rsidRPr="00006558" w:rsidRDefault="00FA1266" w:rsidP="00AB6439">
            <w:pPr>
              <w:jc w:val="center"/>
              <w:rPr>
                <w:rFonts w:cstheme="minorHAnsi"/>
                <w:b/>
                <w:sz w:val="20"/>
              </w:rPr>
            </w:pPr>
            <w:r w:rsidRPr="00006558">
              <w:rPr>
                <w:rFonts w:cstheme="minorHAnsi"/>
                <w:b/>
                <w:sz w:val="20"/>
              </w:rPr>
              <w:t>Objective PA tertiles</w:t>
            </w:r>
          </w:p>
          <w:p w:rsidR="00FA1266" w:rsidRPr="00006558" w:rsidRDefault="00FA1266" w:rsidP="00AB6439">
            <w:pPr>
              <w:jc w:val="center"/>
              <w:rPr>
                <w:rFonts w:cstheme="minorHAnsi"/>
                <w:b/>
                <w:sz w:val="20"/>
              </w:rPr>
            </w:pPr>
            <w:r w:rsidRPr="00006558">
              <w:rPr>
                <w:rFonts w:cstheme="minorHAnsi"/>
                <w:b/>
                <w:sz w:val="20"/>
              </w:rPr>
              <w:t>(HR and LE)</w:t>
            </w:r>
          </w:p>
        </w:tc>
        <w:tc>
          <w:tcPr>
            <w:tcW w:w="1417" w:type="dxa"/>
            <w:shd w:val="clear" w:color="auto" w:fill="FFFFFF" w:themeFill="background1"/>
            <w:vAlign w:val="center"/>
          </w:tcPr>
          <w:p w:rsidR="00FA1266" w:rsidRPr="00006558" w:rsidRDefault="00FA1266" w:rsidP="00AB6439">
            <w:pPr>
              <w:jc w:val="center"/>
              <w:rPr>
                <w:rFonts w:cstheme="minorHAnsi"/>
                <w:b/>
                <w:sz w:val="20"/>
              </w:rPr>
            </w:pPr>
            <w:r>
              <w:rPr>
                <w:rFonts w:cstheme="minorHAnsi"/>
                <w:b/>
                <w:sz w:val="20"/>
              </w:rPr>
              <w:t>All three</w:t>
            </w:r>
            <w:r w:rsidRPr="00006558">
              <w:rPr>
                <w:rFonts w:cstheme="minorHAnsi"/>
                <w:b/>
                <w:sz w:val="20"/>
              </w:rPr>
              <w:t xml:space="preserve"> PA continuous</w:t>
            </w:r>
          </w:p>
          <w:p w:rsidR="00FA1266" w:rsidRPr="00006558" w:rsidRDefault="00FA1266" w:rsidP="00AB6439">
            <w:pPr>
              <w:jc w:val="center"/>
              <w:rPr>
                <w:rFonts w:cstheme="minorHAnsi"/>
                <w:b/>
                <w:sz w:val="20"/>
              </w:rPr>
            </w:pPr>
            <w:r w:rsidRPr="00006558">
              <w:rPr>
                <w:rFonts w:cstheme="minorHAnsi"/>
                <w:b/>
                <w:sz w:val="20"/>
              </w:rPr>
              <w:t>(HR)</w:t>
            </w:r>
          </w:p>
        </w:tc>
        <w:tc>
          <w:tcPr>
            <w:tcW w:w="1565" w:type="dxa"/>
            <w:shd w:val="clear" w:color="auto" w:fill="FFFFFF" w:themeFill="background1"/>
            <w:vAlign w:val="center"/>
          </w:tcPr>
          <w:p w:rsidR="00FA1266" w:rsidRPr="00006558" w:rsidRDefault="00FA1266" w:rsidP="00AB6439">
            <w:pPr>
              <w:jc w:val="center"/>
              <w:rPr>
                <w:rFonts w:eastAsia="Calibri" w:cstheme="minorHAnsi"/>
                <w:b/>
                <w:sz w:val="20"/>
              </w:rPr>
            </w:pPr>
            <w:r w:rsidRPr="00006558">
              <w:rPr>
                <w:rFonts w:cstheme="minorHAnsi"/>
                <w:b/>
                <w:sz w:val="20"/>
              </w:rPr>
              <w:t xml:space="preserve">Objective PA </w:t>
            </w:r>
            <w:r w:rsidRPr="00006558">
              <w:rPr>
                <w:rFonts w:eastAsia="Calibri" w:cstheme="minorHAnsi"/>
                <w:b/>
                <w:sz w:val="20"/>
              </w:rPr>
              <w:t>tertiles &gt;250m</w:t>
            </w:r>
            <w:r w:rsidRPr="00006558">
              <w:rPr>
                <w:rFonts w:eastAsia="Calibri" w:cstheme="minorHAnsi"/>
                <w:b/>
                <w:i/>
                <w:sz w:val="20"/>
              </w:rPr>
              <w:t>g</w:t>
            </w:r>
          </w:p>
          <w:p w:rsidR="00FA1266" w:rsidRPr="00006558" w:rsidRDefault="00FA1266" w:rsidP="00AB6439">
            <w:pPr>
              <w:jc w:val="center"/>
              <w:rPr>
                <w:rFonts w:cstheme="minorHAnsi"/>
                <w:b/>
                <w:sz w:val="20"/>
              </w:rPr>
            </w:pPr>
            <w:r w:rsidRPr="00006558">
              <w:rPr>
                <w:rFonts w:cstheme="minorHAnsi"/>
                <w:b/>
                <w:sz w:val="20"/>
              </w:rPr>
              <w:t>(HR)</w:t>
            </w:r>
          </w:p>
        </w:tc>
      </w:tr>
      <w:tr w:rsidR="00FA1266" w:rsidRPr="008B3FEA" w:rsidTr="00FA1266">
        <w:trPr>
          <w:trHeight w:val="794"/>
        </w:trPr>
        <w:tc>
          <w:tcPr>
            <w:tcW w:w="2263" w:type="dxa"/>
            <w:tcBorders>
              <w:right w:val="single" w:sz="18" w:space="0" w:color="auto"/>
            </w:tcBorders>
            <w:shd w:val="clear" w:color="auto" w:fill="F2F2F2" w:themeFill="background1" w:themeFillShade="F2"/>
            <w:vAlign w:val="center"/>
          </w:tcPr>
          <w:p w:rsidR="00FA1266" w:rsidRPr="00006558" w:rsidRDefault="00FA1266" w:rsidP="00AB6439">
            <w:pPr>
              <w:rPr>
                <w:rFonts w:cstheme="minorHAnsi"/>
                <w:b/>
                <w:sz w:val="20"/>
              </w:rPr>
            </w:pPr>
            <w:r w:rsidRPr="00006558">
              <w:rPr>
                <w:rFonts w:eastAsia="Calibri" w:cstheme="minorHAnsi"/>
                <w:b/>
                <w:sz w:val="20"/>
              </w:rPr>
              <w:t>2 or more conditions</w:t>
            </w:r>
          </w:p>
        </w:tc>
        <w:tc>
          <w:tcPr>
            <w:tcW w:w="1560" w:type="dxa"/>
            <w:tcBorders>
              <w:left w:val="single" w:sz="18" w:space="0" w:color="auto"/>
            </w:tcBorders>
            <w:shd w:val="clear" w:color="auto" w:fill="A8D08D" w:themeFill="accent6" w:themeFillTint="99"/>
            <w:vAlign w:val="center"/>
          </w:tcPr>
          <w:p w:rsidR="00FA1266" w:rsidRPr="00006558" w:rsidRDefault="00FA1266" w:rsidP="005B0600">
            <w:pPr>
              <w:pStyle w:val="ListParagraph"/>
              <w:numPr>
                <w:ilvl w:val="0"/>
                <w:numId w:val="3"/>
              </w:numPr>
              <w:spacing w:after="0" w:line="240" w:lineRule="auto"/>
              <w:contextualSpacing w:val="0"/>
              <w:jc w:val="center"/>
              <w:rPr>
                <w:rFonts w:cstheme="minorHAnsi"/>
                <w:b/>
                <w:sz w:val="20"/>
                <w:szCs w:val="24"/>
              </w:rPr>
            </w:pPr>
          </w:p>
        </w:tc>
        <w:tc>
          <w:tcPr>
            <w:tcW w:w="1275" w:type="dxa"/>
            <w:tcBorders>
              <w:right w:val="single" w:sz="18" w:space="0" w:color="auto"/>
            </w:tcBorders>
            <w:shd w:val="clear" w:color="auto" w:fill="A8D08D" w:themeFill="accent6" w:themeFillTint="99"/>
            <w:vAlign w:val="center"/>
          </w:tcPr>
          <w:p w:rsidR="00FA1266" w:rsidRPr="00006558" w:rsidRDefault="00FA1266" w:rsidP="005B0600">
            <w:pPr>
              <w:pStyle w:val="ListParagraph"/>
              <w:numPr>
                <w:ilvl w:val="0"/>
                <w:numId w:val="3"/>
              </w:numPr>
              <w:spacing w:after="0" w:line="240" w:lineRule="auto"/>
              <w:contextualSpacing w:val="0"/>
              <w:jc w:val="center"/>
              <w:rPr>
                <w:rFonts w:cstheme="minorHAnsi"/>
                <w:b/>
                <w:sz w:val="20"/>
                <w:szCs w:val="24"/>
              </w:rPr>
            </w:pPr>
          </w:p>
        </w:tc>
        <w:tc>
          <w:tcPr>
            <w:tcW w:w="1412" w:type="dxa"/>
            <w:tcBorders>
              <w:left w:val="single" w:sz="18" w:space="0" w:color="auto"/>
            </w:tcBorders>
            <w:shd w:val="clear" w:color="auto" w:fill="A8D08D" w:themeFill="accent6" w:themeFillTint="99"/>
            <w:vAlign w:val="center"/>
          </w:tcPr>
          <w:p w:rsidR="00FA1266" w:rsidRPr="00006558" w:rsidRDefault="00FA1266" w:rsidP="005B0600">
            <w:pPr>
              <w:pStyle w:val="ListParagraph"/>
              <w:numPr>
                <w:ilvl w:val="0"/>
                <w:numId w:val="3"/>
              </w:numPr>
              <w:spacing w:after="0" w:line="240" w:lineRule="auto"/>
              <w:contextualSpacing w:val="0"/>
              <w:jc w:val="center"/>
              <w:rPr>
                <w:rFonts w:cstheme="minorHAnsi"/>
                <w:b/>
                <w:sz w:val="20"/>
                <w:szCs w:val="24"/>
              </w:rPr>
            </w:pPr>
          </w:p>
        </w:tc>
        <w:tc>
          <w:tcPr>
            <w:tcW w:w="1418" w:type="dxa"/>
            <w:tcBorders>
              <w:right w:val="single" w:sz="18" w:space="0" w:color="auto"/>
            </w:tcBorders>
            <w:shd w:val="clear" w:color="auto" w:fill="FFE599" w:themeFill="accent4" w:themeFillTint="66"/>
            <w:vAlign w:val="center"/>
          </w:tcPr>
          <w:p w:rsidR="00FA1266" w:rsidRPr="00006558" w:rsidRDefault="00FA1266" w:rsidP="00AB6439">
            <w:pPr>
              <w:jc w:val="center"/>
              <w:rPr>
                <w:rFonts w:cstheme="minorHAnsi"/>
                <w:b/>
                <w:sz w:val="20"/>
              </w:rPr>
            </w:pPr>
            <w:r w:rsidRPr="00006558">
              <w:rPr>
                <w:rFonts w:cstheme="minorHAnsi"/>
                <w:b/>
                <w:sz w:val="20"/>
              </w:rPr>
              <w:t>X</w:t>
            </w:r>
          </w:p>
        </w:tc>
        <w:tc>
          <w:tcPr>
            <w:tcW w:w="1418" w:type="dxa"/>
            <w:tcBorders>
              <w:left w:val="single" w:sz="18" w:space="0" w:color="auto"/>
            </w:tcBorders>
            <w:shd w:val="clear" w:color="auto" w:fill="A8D08D" w:themeFill="accent6" w:themeFillTint="99"/>
            <w:vAlign w:val="center"/>
          </w:tcPr>
          <w:p w:rsidR="00FA1266" w:rsidRPr="00006558" w:rsidRDefault="00FA1266" w:rsidP="005B0600">
            <w:pPr>
              <w:pStyle w:val="ListParagraph"/>
              <w:numPr>
                <w:ilvl w:val="0"/>
                <w:numId w:val="3"/>
              </w:numPr>
              <w:spacing w:after="0" w:line="240" w:lineRule="auto"/>
              <w:contextualSpacing w:val="0"/>
              <w:jc w:val="center"/>
              <w:rPr>
                <w:rFonts w:cstheme="minorHAnsi"/>
                <w:b/>
                <w:sz w:val="20"/>
                <w:szCs w:val="24"/>
              </w:rPr>
            </w:pPr>
          </w:p>
        </w:tc>
        <w:tc>
          <w:tcPr>
            <w:tcW w:w="1417" w:type="dxa"/>
            <w:tcBorders>
              <w:right w:val="single" w:sz="18" w:space="0" w:color="auto"/>
            </w:tcBorders>
            <w:shd w:val="clear" w:color="auto" w:fill="FFE599" w:themeFill="accent4" w:themeFillTint="66"/>
            <w:vAlign w:val="center"/>
          </w:tcPr>
          <w:p w:rsidR="00FA1266" w:rsidRPr="00006558" w:rsidRDefault="00FA1266" w:rsidP="00AB6439">
            <w:pPr>
              <w:jc w:val="center"/>
              <w:rPr>
                <w:rFonts w:cstheme="minorHAnsi"/>
                <w:b/>
                <w:sz w:val="20"/>
              </w:rPr>
            </w:pPr>
            <w:r w:rsidRPr="00006558">
              <w:rPr>
                <w:rFonts w:cstheme="minorHAnsi"/>
                <w:b/>
                <w:sz w:val="20"/>
              </w:rPr>
              <w:t>X</w:t>
            </w:r>
          </w:p>
        </w:tc>
        <w:tc>
          <w:tcPr>
            <w:tcW w:w="1417" w:type="dxa"/>
            <w:tcBorders>
              <w:left w:val="single" w:sz="18" w:space="0" w:color="auto"/>
            </w:tcBorders>
            <w:shd w:val="clear" w:color="auto" w:fill="A8D08D" w:themeFill="accent6" w:themeFillTint="99"/>
            <w:vAlign w:val="center"/>
          </w:tcPr>
          <w:p w:rsidR="00FA1266" w:rsidRPr="00006558" w:rsidRDefault="00FA1266" w:rsidP="005B0600">
            <w:pPr>
              <w:pStyle w:val="ListParagraph"/>
              <w:numPr>
                <w:ilvl w:val="0"/>
                <w:numId w:val="3"/>
              </w:numPr>
              <w:spacing w:after="0" w:line="240" w:lineRule="auto"/>
              <w:contextualSpacing w:val="0"/>
              <w:jc w:val="center"/>
              <w:rPr>
                <w:rFonts w:cstheme="minorHAnsi"/>
                <w:b/>
                <w:sz w:val="20"/>
                <w:szCs w:val="24"/>
              </w:rPr>
            </w:pPr>
          </w:p>
        </w:tc>
        <w:tc>
          <w:tcPr>
            <w:tcW w:w="1417" w:type="dxa"/>
            <w:shd w:val="clear" w:color="auto" w:fill="FFE599" w:themeFill="accent4" w:themeFillTint="66"/>
            <w:vAlign w:val="center"/>
          </w:tcPr>
          <w:p w:rsidR="00FA1266" w:rsidRPr="007469CC" w:rsidRDefault="00FA1266" w:rsidP="00AB6439">
            <w:pPr>
              <w:jc w:val="center"/>
              <w:rPr>
                <w:rFonts w:cstheme="minorHAnsi"/>
                <w:b/>
                <w:sz w:val="20"/>
              </w:rPr>
            </w:pPr>
            <w:r w:rsidRPr="007469CC">
              <w:rPr>
                <w:rFonts w:cstheme="minorHAnsi"/>
                <w:b/>
                <w:sz w:val="20"/>
              </w:rPr>
              <w:t>X</w:t>
            </w:r>
          </w:p>
        </w:tc>
        <w:tc>
          <w:tcPr>
            <w:tcW w:w="1565" w:type="dxa"/>
            <w:shd w:val="clear" w:color="auto" w:fill="FFE599" w:themeFill="accent4" w:themeFillTint="66"/>
            <w:vAlign w:val="center"/>
          </w:tcPr>
          <w:p w:rsidR="00FA1266" w:rsidRPr="00006558" w:rsidRDefault="00FA1266" w:rsidP="00AB6439">
            <w:pPr>
              <w:jc w:val="center"/>
              <w:rPr>
                <w:rFonts w:cstheme="minorHAnsi"/>
                <w:b/>
                <w:sz w:val="20"/>
              </w:rPr>
            </w:pPr>
            <w:r w:rsidRPr="00006558">
              <w:rPr>
                <w:rFonts w:cstheme="minorHAnsi"/>
                <w:b/>
                <w:sz w:val="20"/>
              </w:rPr>
              <w:t>X</w:t>
            </w:r>
          </w:p>
        </w:tc>
      </w:tr>
      <w:tr w:rsidR="00FA1266" w:rsidRPr="008B3FEA" w:rsidTr="00FA1266">
        <w:trPr>
          <w:trHeight w:val="794"/>
        </w:trPr>
        <w:tc>
          <w:tcPr>
            <w:tcW w:w="2263" w:type="dxa"/>
            <w:tcBorders>
              <w:right w:val="single" w:sz="18" w:space="0" w:color="auto"/>
            </w:tcBorders>
            <w:shd w:val="clear" w:color="auto" w:fill="F2F2F2" w:themeFill="background1" w:themeFillShade="F2"/>
            <w:vAlign w:val="center"/>
          </w:tcPr>
          <w:p w:rsidR="00FA1266" w:rsidRPr="00006558" w:rsidRDefault="00FA1266" w:rsidP="00AB6439">
            <w:pPr>
              <w:rPr>
                <w:rFonts w:cstheme="minorHAnsi"/>
                <w:b/>
                <w:sz w:val="20"/>
              </w:rPr>
            </w:pPr>
            <w:r w:rsidRPr="00006558">
              <w:rPr>
                <w:rFonts w:eastAsia="Calibri" w:cstheme="minorHAnsi"/>
                <w:b/>
                <w:sz w:val="20"/>
              </w:rPr>
              <w:t>2 or more conditions combined with self-reported overall health</w:t>
            </w:r>
          </w:p>
        </w:tc>
        <w:tc>
          <w:tcPr>
            <w:tcW w:w="1560" w:type="dxa"/>
            <w:tcBorders>
              <w:left w:val="single" w:sz="18" w:space="0" w:color="auto"/>
            </w:tcBorders>
            <w:shd w:val="clear" w:color="auto" w:fill="FFE599" w:themeFill="accent4" w:themeFillTint="66"/>
            <w:vAlign w:val="center"/>
          </w:tcPr>
          <w:p w:rsidR="00FA1266" w:rsidRPr="00006558" w:rsidRDefault="00FA1266" w:rsidP="00AB6439">
            <w:pPr>
              <w:jc w:val="center"/>
              <w:rPr>
                <w:rFonts w:cstheme="minorHAnsi"/>
                <w:b/>
                <w:sz w:val="20"/>
              </w:rPr>
            </w:pPr>
            <w:r w:rsidRPr="00006558">
              <w:rPr>
                <w:rFonts w:cstheme="minorHAnsi"/>
                <w:b/>
                <w:sz w:val="20"/>
              </w:rPr>
              <w:t>X</w:t>
            </w:r>
          </w:p>
        </w:tc>
        <w:tc>
          <w:tcPr>
            <w:tcW w:w="1275" w:type="dxa"/>
            <w:tcBorders>
              <w:right w:val="single" w:sz="18" w:space="0" w:color="auto"/>
            </w:tcBorders>
            <w:shd w:val="clear" w:color="auto" w:fill="FFE599" w:themeFill="accent4" w:themeFillTint="66"/>
            <w:vAlign w:val="center"/>
          </w:tcPr>
          <w:p w:rsidR="00FA1266" w:rsidRPr="00006558" w:rsidRDefault="00FA1266" w:rsidP="00AB6439">
            <w:pPr>
              <w:jc w:val="center"/>
              <w:rPr>
                <w:rFonts w:cstheme="minorHAnsi"/>
                <w:b/>
                <w:sz w:val="20"/>
              </w:rPr>
            </w:pPr>
            <w:r w:rsidRPr="00006558">
              <w:rPr>
                <w:rFonts w:cstheme="minorHAnsi"/>
                <w:b/>
                <w:sz w:val="20"/>
              </w:rPr>
              <w:t>X</w:t>
            </w:r>
          </w:p>
        </w:tc>
        <w:tc>
          <w:tcPr>
            <w:tcW w:w="1412" w:type="dxa"/>
            <w:tcBorders>
              <w:left w:val="single" w:sz="18" w:space="0" w:color="auto"/>
            </w:tcBorders>
            <w:shd w:val="clear" w:color="auto" w:fill="FFE599" w:themeFill="accent4" w:themeFillTint="66"/>
            <w:vAlign w:val="center"/>
          </w:tcPr>
          <w:p w:rsidR="00FA1266" w:rsidRPr="00006558" w:rsidRDefault="00FA1266" w:rsidP="00AB6439">
            <w:pPr>
              <w:jc w:val="center"/>
              <w:rPr>
                <w:rFonts w:cstheme="minorHAnsi"/>
                <w:b/>
                <w:sz w:val="20"/>
              </w:rPr>
            </w:pPr>
            <w:r w:rsidRPr="00006558">
              <w:rPr>
                <w:rFonts w:cstheme="minorHAnsi"/>
                <w:b/>
                <w:sz w:val="20"/>
              </w:rPr>
              <w:t>X</w:t>
            </w:r>
          </w:p>
        </w:tc>
        <w:tc>
          <w:tcPr>
            <w:tcW w:w="1418" w:type="dxa"/>
            <w:tcBorders>
              <w:right w:val="single" w:sz="18" w:space="0" w:color="auto"/>
            </w:tcBorders>
            <w:shd w:val="clear" w:color="auto" w:fill="D5DCE4" w:themeFill="text2" w:themeFillTint="33"/>
            <w:vAlign w:val="center"/>
          </w:tcPr>
          <w:p w:rsidR="00FA1266" w:rsidRPr="00006558" w:rsidRDefault="00FA1266" w:rsidP="00AB6439">
            <w:pPr>
              <w:jc w:val="center"/>
              <w:rPr>
                <w:rFonts w:cstheme="minorHAnsi"/>
                <w:b/>
                <w:sz w:val="20"/>
              </w:rPr>
            </w:pPr>
            <w:r w:rsidRPr="00006558">
              <w:rPr>
                <w:rFonts w:cstheme="minorHAnsi"/>
                <w:sz w:val="20"/>
              </w:rPr>
              <w:t>–</w:t>
            </w:r>
          </w:p>
        </w:tc>
        <w:tc>
          <w:tcPr>
            <w:tcW w:w="1418" w:type="dxa"/>
            <w:tcBorders>
              <w:left w:val="single" w:sz="18" w:space="0" w:color="auto"/>
            </w:tcBorders>
            <w:shd w:val="clear" w:color="auto" w:fill="FFE599" w:themeFill="accent4" w:themeFillTint="66"/>
            <w:vAlign w:val="center"/>
          </w:tcPr>
          <w:p w:rsidR="00FA1266" w:rsidRPr="00006558" w:rsidRDefault="00FA1266" w:rsidP="00AB6439">
            <w:pPr>
              <w:jc w:val="center"/>
              <w:rPr>
                <w:rFonts w:cstheme="minorHAnsi"/>
                <w:b/>
                <w:sz w:val="20"/>
              </w:rPr>
            </w:pPr>
            <w:r w:rsidRPr="00006558">
              <w:rPr>
                <w:rFonts w:cstheme="minorHAnsi"/>
                <w:b/>
                <w:sz w:val="20"/>
              </w:rPr>
              <w:t>X</w:t>
            </w:r>
          </w:p>
        </w:tc>
        <w:tc>
          <w:tcPr>
            <w:tcW w:w="1417" w:type="dxa"/>
            <w:tcBorders>
              <w:right w:val="single" w:sz="18" w:space="0" w:color="auto"/>
            </w:tcBorders>
            <w:shd w:val="clear" w:color="auto" w:fill="D5DCE4" w:themeFill="text2" w:themeFillTint="33"/>
            <w:vAlign w:val="center"/>
          </w:tcPr>
          <w:p w:rsidR="00FA1266" w:rsidRPr="00006558" w:rsidRDefault="00FA1266" w:rsidP="00AB6439">
            <w:pPr>
              <w:jc w:val="center"/>
              <w:rPr>
                <w:rFonts w:cstheme="minorHAnsi"/>
                <w:b/>
                <w:sz w:val="20"/>
              </w:rPr>
            </w:pPr>
            <w:r w:rsidRPr="00006558">
              <w:rPr>
                <w:rFonts w:cstheme="minorHAnsi"/>
                <w:sz w:val="20"/>
              </w:rPr>
              <w:t xml:space="preserve">– </w:t>
            </w:r>
          </w:p>
        </w:tc>
        <w:tc>
          <w:tcPr>
            <w:tcW w:w="1417" w:type="dxa"/>
            <w:tcBorders>
              <w:left w:val="single" w:sz="18" w:space="0" w:color="auto"/>
            </w:tcBorders>
            <w:shd w:val="clear" w:color="auto" w:fill="FFE599" w:themeFill="accent4" w:themeFillTint="66"/>
            <w:vAlign w:val="center"/>
          </w:tcPr>
          <w:p w:rsidR="00FA1266" w:rsidRPr="00006558" w:rsidRDefault="00FA1266" w:rsidP="00AB6439">
            <w:pPr>
              <w:jc w:val="center"/>
              <w:rPr>
                <w:rFonts w:cstheme="minorHAnsi"/>
                <w:b/>
                <w:sz w:val="20"/>
              </w:rPr>
            </w:pPr>
            <w:r w:rsidRPr="00006558">
              <w:rPr>
                <w:rFonts w:cstheme="minorHAnsi"/>
                <w:b/>
                <w:sz w:val="20"/>
              </w:rPr>
              <w:t>X</w:t>
            </w:r>
          </w:p>
        </w:tc>
        <w:tc>
          <w:tcPr>
            <w:tcW w:w="1417" w:type="dxa"/>
            <w:shd w:val="clear" w:color="auto" w:fill="D5DCE4" w:themeFill="text2" w:themeFillTint="33"/>
            <w:vAlign w:val="center"/>
          </w:tcPr>
          <w:p w:rsidR="00FA1266" w:rsidRPr="00006558" w:rsidRDefault="00FA1266" w:rsidP="00AB6439">
            <w:pPr>
              <w:jc w:val="center"/>
              <w:rPr>
                <w:rFonts w:cstheme="minorHAnsi"/>
                <w:b/>
                <w:sz w:val="20"/>
              </w:rPr>
            </w:pPr>
            <w:r w:rsidRPr="00006558">
              <w:rPr>
                <w:rFonts w:cstheme="minorHAnsi"/>
                <w:sz w:val="20"/>
              </w:rPr>
              <w:t xml:space="preserve">– </w:t>
            </w:r>
          </w:p>
        </w:tc>
        <w:tc>
          <w:tcPr>
            <w:tcW w:w="1565" w:type="dxa"/>
            <w:shd w:val="clear" w:color="auto" w:fill="D5DCE4" w:themeFill="text2" w:themeFillTint="33"/>
            <w:vAlign w:val="center"/>
          </w:tcPr>
          <w:p w:rsidR="00FA1266" w:rsidRPr="00006558" w:rsidRDefault="00FA1266" w:rsidP="00AB6439">
            <w:pPr>
              <w:jc w:val="center"/>
              <w:rPr>
                <w:rFonts w:cstheme="minorHAnsi"/>
                <w:sz w:val="20"/>
              </w:rPr>
            </w:pPr>
            <w:r w:rsidRPr="00006558">
              <w:rPr>
                <w:rFonts w:cstheme="minorHAnsi"/>
                <w:sz w:val="20"/>
              </w:rPr>
              <w:t xml:space="preserve">– </w:t>
            </w:r>
          </w:p>
        </w:tc>
      </w:tr>
      <w:tr w:rsidR="00FA1266" w:rsidRPr="008B3FEA" w:rsidTr="00FA1266">
        <w:trPr>
          <w:trHeight w:val="794"/>
        </w:trPr>
        <w:tc>
          <w:tcPr>
            <w:tcW w:w="2263" w:type="dxa"/>
            <w:tcBorders>
              <w:right w:val="single" w:sz="18" w:space="0" w:color="auto"/>
            </w:tcBorders>
            <w:shd w:val="clear" w:color="auto" w:fill="F2F2F2" w:themeFill="background1" w:themeFillShade="F2"/>
            <w:vAlign w:val="center"/>
          </w:tcPr>
          <w:p w:rsidR="00FA1266" w:rsidRPr="00006558" w:rsidRDefault="00FA1266" w:rsidP="00AB6439">
            <w:pPr>
              <w:rPr>
                <w:rFonts w:cstheme="minorHAnsi"/>
                <w:b/>
                <w:sz w:val="20"/>
              </w:rPr>
            </w:pPr>
            <w:r w:rsidRPr="00006558">
              <w:rPr>
                <w:rFonts w:eastAsia="Calibri" w:cstheme="minorHAnsi"/>
                <w:b/>
                <w:sz w:val="20"/>
              </w:rPr>
              <w:lastRenderedPageBreak/>
              <w:t>2 or more top-10 most common comorbidities</w:t>
            </w:r>
          </w:p>
        </w:tc>
        <w:tc>
          <w:tcPr>
            <w:tcW w:w="1560" w:type="dxa"/>
            <w:tcBorders>
              <w:left w:val="single" w:sz="18" w:space="0" w:color="auto"/>
            </w:tcBorders>
            <w:shd w:val="clear" w:color="auto" w:fill="FFE599" w:themeFill="accent4" w:themeFillTint="66"/>
            <w:vAlign w:val="center"/>
          </w:tcPr>
          <w:p w:rsidR="00FA1266" w:rsidRPr="00006558" w:rsidRDefault="00FA1266" w:rsidP="00AB6439">
            <w:pPr>
              <w:jc w:val="center"/>
              <w:rPr>
                <w:rFonts w:cstheme="minorHAnsi"/>
                <w:b/>
                <w:sz w:val="20"/>
              </w:rPr>
            </w:pPr>
            <w:r w:rsidRPr="00006558">
              <w:rPr>
                <w:rFonts w:cstheme="minorHAnsi"/>
                <w:b/>
                <w:sz w:val="20"/>
              </w:rPr>
              <w:t>X</w:t>
            </w:r>
          </w:p>
        </w:tc>
        <w:tc>
          <w:tcPr>
            <w:tcW w:w="1275" w:type="dxa"/>
            <w:tcBorders>
              <w:right w:val="single" w:sz="18" w:space="0" w:color="auto"/>
            </w:tcBorders>
            <w:shd w:val="clear" w:color="auto" w:fill="FFE599" w:themeFill="accent4" w:themeFillTint="66"/>
            <w:vAlign w:val="center"/>
          </w:tcPr>
          <w:p w:rsidR="00FA1266" w:rsidRPr="00006558" w:rsidRDefault="00FA1266" w:rsidP="00AB6439">
            <w:pPr>
              <w:jc w:val="center"/>
              <w:rPr>
                <w:rFonts w:cstheme="minorHAnsi"/>
                <w:b/>
                <w:sz w:val="20"/>
              </w:rPr>
            </w:pPr>
            <w:r w:rsidRPr="00006558">
              <w:rPr>
                <w:rFonts w:cstheme="minorHAnsi"/>
                <w:b/>
                <w:sz w:val="20"/>
              </w:rPr>
              <w:t>X</w:t>
            </w:r>
          </w:p>
        </w:tc>
        <w:tc>
          <w:tcPr>
            <w:tcW w:w="1412" w:type="dxa"/>
            <w:tcBorders>
              <w:left w:val="single" w:sz="18" w:space="0" w:color="auto"/>
            </w:tcBorders>
            <w:shd w:val="clear" w:color="auto" w:fill="FFE599" w:themeFill="accent4" w:themeFillTint="66"/>
            <w:vAlign w:val="center"/>
          </w:tcPr>
          <w:p w:rsidR="00FA1266" w:rsidRPr="00006558" w:rsidRDefault="00FA1266" w:rsidP="00AB6439">
            <w:pPr>
              <w:jc w:val="center"/>
              <w:rPr>
                <w:rFonts w:cstheme="minorHAnsi"/>
                <w:b/>
                <w:sz w:val="20"/>
              </w:rPr>
            </w:pPr>
            <w:r w:rsidRPr="00006558">
              <w:rPr>
                <w:rFonts w:cstheme="minorHAnsi"/>
                <w:b/>
                <w:sz w:val="20"/>
              </w:rPr>
              <w:t>X</w:t>
            </w:r>
          </w:p>
        </w:tc>
        <w:tc>
          <w:tcPr>
            <w:tcW w:w="1418" w:type="dxa"/>
            <w:tcBorders>
              <w:right w:val="single" w:sz="18" w:space="0" w:color="auto"/>
            </w:tcBorders>
            <w:shd w:val="clear" w:color="auto" w:fill="D5DCE4" w:themeFill="text2" w:themeFillTint="33"/>
            <w:vAlign w:val="center"/>
          </w:tcPr>
          <w:p w:rsidR="00FA1266" w:rsidRPr="00006558" w:rsidRDefault="00FA1266" w:rsidP="00AB6439">
            <w:pPr>
              <w:jc w:val="center"/>
              <w:rPr>
                <w:rFonts w:cstheme="minorHAnsi"/>
                <w:b/>
                <w:sz w:val="20"/>
              </w:rPr>
            </w:pPr>
            <w:r w:rsidRPr="00006558">
              <w:rPr>
                <w:rFonts w:cstheme="minorHAnsi"/>
                <w:sz w:val="20"/>
              </w:rPr>
              <w:t>–</w:t>
            </w:r>
          </w:p>
        </w:tc>
        <w:tc>
          <w:tcPr>
            <w:tcW w:w="1418" w:type="dxa"/>
            <w:tcBorders>
              <w:left w:val="single" w:sz="18" w:space="0" w:color="auto"/>
            </w:tcBorders>
            <w:shd w:val="clear" w:color="auto" w:fill="FFE599" w:themeFill="accent4" w:themeFillTint="66"/>
            <w:vAlign w:val="center"/>
          </w:tcPr>
          <w:p w:rsidR="00FA1266" w:rsidRPr="00006558" w:rsidRDefault="00FA1266" w:rsidP="00AB6439">
            <w:pPr>
              <w:jc w:val="center"/>
              <w:rPr>
                <w:rFonts w:cstheme="minorHAnsi"/>
                <w:b/>
                <w:sz w:val="20"/>
              </w:rPr>
            </w:pPr>
            <w:r w:rsidRPr="00006558">
              <w:rPr>
                <w:rFonts w:cstheme="minorHAnsi"/>
                <w:b/>
                <w:sz w:val="20"/>
              </w:rPr>
              <w:t>X</w:t>
            </w:r>
          </w:p>
        </w:tc>
        <w:tc>
          <w:tcPr>
            <w:tcW w:w="1417" w:type="dxa"/>
            <w:tcBorders>
              <w:right w:val="single" w:sz="18" w:space="0" w:color="auto"/>
            </w:tcBorders>
            <w:shd w:val="clear" w:color="auto" w:fill="D5DCE4" w:themeFill="text2" w:themeFillTint="33"/>
            <w:vAlign w:val="center"/>
          </w:tcPr>
          <w:p w:rsidR="00FA1266" w:rsidRPr="00006558" w:rsidRDefault="00FA1266" w:rsidP="00AB6439">
            <w:pPr>
              <w:jc w:val="center"/>
              <w:rPr>
                <w:rFonts w:cstheme="minorHAnsi"/>
                <w:b/>
                <w:sz w:val="20"/>
              </w:rPr>
            </w:pPr>
            <w:r w:rsidRPr="00006558">
              <w:rPr>
                <w:rFonts w:cstheme="minorHAnsi"/>
                <w:sz w:val="20"/>
              </w:rPr>
              <w:t xml:space="preserve">– </w:t>
            </w:r>
          </w:p>
        </w:tc>
        <w:tc>
          <w:tcPr>
            <w:tcW w:w="1417" w:type="dxa"/>
            <w:tcBorders>
              <w:left w:val="single" w:sz="18" w:space="0" w:color="auto"/>
            </w:tcBorders>
            <w:shd w:val="clear" w:color="auto" w:fill="FFE599" w:themeFill="accent4" w:themeFillTint="66"/>
            <w:vAlign w:val="center"/>
          </w:tcPr>
          <w:p w:rsidR="00FA1266" w:rsidRPr="00006558" w:rsidRDefault="00FA1266" w:rsidP="00AB6439">
            <w:pPr>
              <w:jc w:val="center"/>
              <w:rPr>
                <w:rFonts w:cstheme="minorHAnsi"/>
                <w:b/>
                <w:sz w:val="20"/>
              </w:rPr>
            </w:pPr>
            <w:r w:rsidRPr="00006558">
              <w:rPr>
                <w:rFonts w:cstheme="minorHAnsi"/>
                <w:b/>
                <w:sz w:val="20"/>
              </w:rPr>
              <w:t>X</w:t>
            </w:r>
          </w:p>
        </w:tc>
        <w:tc>
          <w:tcPr>
            <w:tcW w:w="1417" w:type="dxa"/>
            <w:shd w:val="clear" w:color="auto" w:fill="D5DCE4" w:themeFill="text2" w:themeFillTint="33"/>
            <w:vAlign w:val="center"/>
          </w:tcPr>
          <w:p w:rsidR="00FA1266" w:rsidRPr="00006558" w:rsidRDefault="00FA1266" w:rsidP="00AB6439">
            <w:pPr>
              <w:jc w:val="center"/>
              <w:rPr>
                <w:rFonts w:cstheme="minorHAnsi"/>
                <w:b/>
                <w:sz w:val="20"/>
              </w:rPr>
            </w:pPr>
            <w:r w:rsidRPr="00006558">
              <w:rPr>
                <w:rFonts w:cstheme="minorHAnsi"/>
                <w:sz w:val="20"/>
              </w:rPr>
              <w:t xml:space="preserve">– </w:t>
            </w:r>
          </w:p>
        </w:tc>
        <w:tc>
          <w:tcPr>
            <w:tcW w:w="1565" w:type="dxa"/>
            <w:shd w:val="clear" w:color="auto" w:fill="D5DCE4" w:themeFill="text2" w:themeFillTint="33"/>
            <w:vAlign w:val="center"/>
          </w:tcPr>
          <w:p w:rsidR="00FA1266" w:rsidRPr="00006558" w:rsidRDefault="00FA1266" w:rsidP="00AB6439">
            <w:pPr>
              <w:jc w:val="center"/>
              <w:rPr>
                <w:rFonts w:cstheme="minorHAnsi"/>
                <w:sz w:val="20"/>
              </w:rPr>
            </w:pPr>
            <w:r w:rsidRPr="00006558">
              <w:rPr>
                <w:rFonts w:cstheme="minorHAnsi"/>
                <w:sz w:val="20"/>
              </w:rPr>
              <w:t xml:space="preserve">– </w:t>
            </w:r>
          </w:p>
        </w:tc>
      </w:tr>
    </w:tbl>
    <w:p w:rsidR="005B0600" w:rsidRDefault="005B0600" w:rsidP="006B27A8">
      <w:pPr>
        <w:spacing w:line="480" w:lineRule="auto"/>
        <w:rPr>
          <w:b/>
          <w:sz w:val="22"/>
        </w:rPr>
      </w:pPr>
    </w:p>
    <w:p w:rsidR="005B0600" w:rsidRPr="00A16FC3" w:rsidRDefault="005B0600" w:rsidP="006B27A8">
      <w:pPr>
        <w:spacing w:line="480" w:lineRule="auto"/>
        <w:rPr>
          <w:b/>
          <w:sz w:val="22"/>
        </w:rPr>
      </w:pPr>
    </w:p>
    <w:p w:rsidR="003A2A5B" w:rsidRDefault="003A2A5B"/>
    <w:sectPr w:rsidR="003A2A5B" w:rsidSect="005B0600">
      <w:pgSz w:w="16440" w:h="11905" w:orient="landscape"/>
      <w:pgMar w:top="1440" w:right="1440" w:bottom="1440" w:left="144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DFC" w:rsidRDefault="00194DFC">
      <w:r>
        <w:separator/>
      </w:r>
    </w:p>
  </w:endnote>
  <w:endnote w:type="continuationSeparator" w:id="0">
    <w:p w:rsidR="00194DFC" w:rsidRDefault="0019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0B6" w:rsidRDefault="00C110B6" w:rsidP="00A656C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110B6" w:rsidRDefault="00C110B6" w:rsidP="00A656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913007410"/>
      <w:docPartObj>
        <w:docPartGallery w:val="Page Numbers (Bottom of Page)"/>
        <w:docPartUnique/>
      </w:docPartObj>
    </w:sdtPr>
    <w:sdtEndPr/>
    <w:sdtContent>
      <w:sdt>
        <w:sdtPr>
          <w:rPr>
            <w:sz w:val="18"/>
          </w:rPr>
          <w:id w:val="-255364728"/>
          <w:docPartObj>
            <w:docPartGallery w:val="Page Numbers (Top of Page)"/>
            <w:docPartUnique/>
          </w:docPartObj>
        </w:sdtPr>
        <w:sdtEndPr/>
        <w:sdtContent>
          <w:p w:rsidR="00C110B6" w:rsidRPr="007204C8" w:rsidRDefault="00C110B6" w:rsidP="00A656CF">
            <w:pPr>
              <w:pStyle w:val="Footer"/>
              <w:framePr w:wrap="none" w:vAnchor="text" w:hAnchor="margin" w:xAlign="right" w:y="1"/>
              <w:jc w:val="right"/>
              <w:rPr>
                <w:sz w:val="18"/>
              </w:rPr>
            </w:pPr>
            <w:r w:rsidRPr="007204C8">
              <w:rPr>
                <w:bCs/>
                <w:sz w:val="18"/>
              </w:rPr>
              <w:fldChar w:fldCharType="begin"/>
            </w:r>
            <w:r w:rsidRPr="007204C8">
              <w:rPr>
                <w:bCs/>
                <w:sz w:val="18"/>
              </w:rPr>
              <w:instrText xml:space="preserve"> PAGE </w:instrText>
            </w:r>
            <w:r w:rsidRPr="007204C8">
              <w:rPr>
                <w:bCs/>
                <w:sz w:val="18"/>
              </w:rPr>
              <w:fldChar w:fldCharType="separate"/>
            </w:r>
            <w:r w:rsidR="00BC39E8">
              <w:rPr>
                <w:bCs/>
                <w:noProof/>
                <w:sz w:val="18"/>
              </w:rPr>
              <w:t>4</w:t>
            </w:r>
            <w:r w:rsidRPr="007204C8">
              <w:rPr>
                <w:bCs/>
                <w:sz w:val="18"/>
              </w:rPr>
              <w:fldChar w:fldCharType="end"/>
            </w:r>
            <w:r w:rsidRPr="007204C8">
              <w:rPr>
                <w:sz w:val="18"/>
              </w:rPr>
              <w:t>/</w:t>
            </w:r>
            <w:r w:rsidRPr="007204C8">
              <w:rPr>
                <w:bCs/>
                <w:sz w:val="18"/>
              </w:rPr>
              <w:fldChar w:fldCharType="begin"/>
            </w:r>
            <w:r w:rsidRPr="007204C8">
              <w:rPr>
                <w:bCs/>
                <w:sz w:val="18"/>
              </w:rPr>
              <w:instrText xml:space="preserve"> NUMPAGES  </w:instrText>
            </w:r>
            <w:r w:rsidRPr="007204C8">
              <w:rPr>
                <w:bCs/>
                <w:sz w:val="18"/>
              </w:rPr>
              <w:fldChar w:fldCharType="separate"/>
            </w:r>
            <w:r w:rsidR="00BC39E8">
              <w:rPr>
                <w:bCs/>
                <w:noProof/>
                <w:sz w:val="18"/>
              </w:rPr>
              <w:t>8</w:t>
            </w:r>
            <w:r w:rsidRPr="007204C8">
              <w:rPr>
                <w:bCs/>
                <w:sz w:val="18"/>
              </w:rPr>
              <w:fldChar w:fldCharType="end"/>
            </w:r>
          </w:p>
        </w:sdtContent>
      </w:sdt>
    </w:sdtContent>
  </w:sdt>
  <w:p w:rsidR="00C110B6" w:rsidRPr="00232729" w:rsidRDefault="00C110B6" w:rsidP="00A656CF">
    <w:pPr>
      <w:pStyle w:val="Footer"/>
      <w:ind w:right="360"/>
      <w:jc w:val="right"/>
      <w:rPr>
        <w:sz w:val="16"/>
      </w:rPr>
    </w:pPr>
  </w:p>
  <w:p w:rsidR="00C110B6" w:rsidRPr="00232729" w:rsidRDefault="00C110B6">
    <w:pPr>
      <w:pStyle w:val="Footer"/>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0B6" w:rsidRDefault="00C110B6" w:rsidP="00A656C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10B6" w:rsidRDefault="00C110B6" w:rsidP="00A656C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491369073"/>
      <w:docPartObj>
        <w:docPartGallery w:val="Page Numbers (Bottom of Page)"/>
        <w:docPartUnique/>
      </w:docPartObj>
    </w:sdtPr>
    <w:sdtEndPr/>
    <w:sdtContent>
      <w:sdt>
        <w:sdtPr>
          <w:rPr>
            <w:sz w:val="18"/>
          </w:rPr>
          <w:id w:val="1150478394"/>
          <w:docPartObj>
            <w:docPartGallery w:val="Page Numbers (Top of Page)"/>
            <w:docPartUnique/>
          </w:docPartObj>
        </w:sdtPr>
        <w:sdtEndPr/>
        <w:sdtContent>
          <w:p w:rsidR="00C110B6" w:rsidRPr="007204C8" w:rsidRDefault="00C110B6">
            <w:pPr>
              <w:pStyle w:val="Footer"/>
              <w:jc w:val="right"/>
              <w:rPr>
                <w:sz w:val="18"/>
              </w:rPr>
            </w:pPr>
            <w:r w:rsidRPr="007204C8">
              <w:rPr>
                <w:bCs/>
                <w:sz w:val="18"/>
              </w:rPr>
              <w:fldChar w:fldCharType="begin"/>
            </w:r>
            <w:r w:rsidRPr="007204C8">
              <w:rPr>
                <w:bCs/>
                <w:sz w:val="18"/>
              </w:rPr>
              <w:instrText xml:space="preserve"> PAGE </w:instrText>
            </w:r>
            <w:r w:rsidRPr="007204C8">
              <w:rPr>
                <w:bCs/>
                <w:sz w:val="18"/>
              </w:rPr>
              <w:fldChar w:fldCharType="separate"/>
            </w:r>
            <w:r w:rsidR="00BC39E8">
              <w:rPr>
                <w:bCs/>
                <w:noProof/>
                <w:sz w:val="18"/>
              </w:rPr>
              <w:t>7</w:t>
            </w:r>
            <w:r w:rsidRPr="007204C8">
              <w:rPr>
                <w:bCs/>
                <w:sz w:val="18"/>
              </w:rPr>
              <w:fldChar w:fldCharType="end"/>
            </w:r>
            <w:r w:rsidRPr="007204C8">
              <w:rPr>
                <w:sz w:val="18"/>
              </w:rPr>
              <w:t>/</w:t>
            </w:r>
            <w:r w:rsidRPr="007204C8">
              <w:rPr>
                <w:bCs/>
                <w:sz w:val="18"/>
              </w:rPr>
              <w:fldChar w:fldCharType="begin"/>
            </w:r>
            <w:r w:rsidRPr="007204C8">
              <w:rPr>
                <w:bCs/>
                <w:sz w:val="18"/>
              </w:rPr>
              <w:instrText xml:space="preserve"> NUMPAGES  </w:instrText>
            </w:r>
            <w:r w:rsidRPr="007204C8">
              <w:rPr>
                <w:bCs/>
                <w:sz w:val="18"/>
              </w:rPr>
              <w:fldChar w:fldCharType="separate"/>
            </w:r>
            <w:r w:rsidR="00BC39E8">
              <w:rPr>
                <w:bCs/>
                <w:noProof/>
                <w:sz w:val="18"/>
              </w:rPr>
              <w:t>8</w:t>
            </w:r>
            <w:r w:rsidRPr="007204C8">
              <w:rPr>
                <w:bCs/>
                <w:sz w:val="18"/>
              </w:rPr>
              <w:fldChar w:fldCharType="end"/>
            </w:r>
          </w:p>
        </w:sdtContent>
      </w:sdt>
    </w:sdtContent>
  </w:sdt>
  <w:p w:rsidR="00C110B6" w:rsidRPr="00232729" w:rsidRDefault="00C110B6">
    <w:pPr>
      <w:pStyle w:val="Foo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DFC" w:rsidRDefault="00194DFC">
      <w:r>
        <w:separator/>
      </w:r>
    </w:p>
  </w:footnote>
  <w:footnote w:type="continuationSeparator" w:id="0">
    <w:p w:rsidR="00194DFC" w:rsidRDefault="00194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40C46"/>
    <w:multiLevelType w:val="hybridMultilevel"/>
    <w:tmpl w:val="0ADCF150"/>
    <w:lvl w:ilvl="0" w:tplc="4254241C">
      <w:start w:val="1"/>
      <w:numFmt w:val="bullet"/>
      <w:lvlText w:val=""/>
      <w:lvlJc w:val="left"/>
      <w:pPr>
        <w:ind w:left="0" w:firstLine="142"/>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935E01"/>
    <w:multiLevelType w:val="hybridMultilevel"/>
    <w:tmpl w:val="BCD01FBE"/>
    <w:lvl w:ilvl="0" w:tplc="F0408B52">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5E42FF"/>
    <w:multiLevelType w:val="hybridMultilevel"/>
    <w:tmpl w:val="C53E8AF6"/>
    <w:lvl w:ilvl="0" w:tplc="8EFE0F72">
      <w:start w:val="1"/>
      <w:numFmt w:val="bullet"/>
      <w:lvlText w:val=""/>
      <w:lvlJc w:val="left"/>
      <w:pPr>
        <w:ind w:left="720" w:hanging="360"/>
      </w:pPr>
      <w:rPr>
        <w:rFonts w:ascii="Wingdings" w:hAnsi="Wingdings" w:hint="default"/>
        <w:color w:val="2F5496" w:themeColor="accent5" w:themeShade="BF"/>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
  </w:docVars>
  <w:rsids>
    <w:rsidRoot w:val="006B27A8"/>
    <w:rsid w:val="00037DF4"/>
    <w:rsid w:val="000961C1"/>
    <w:rsid w:val="000C24F7"/>
    <w:rsid w:val="001753CE"/>
    <w:rsid w:val="00194DFC"/>
    <w:rsid w:val="001A4C72"/>
    <w:rsid w:val="00236EA4"/>
    <w:rsid w:val="0024101F"/>
    <w:rsid w:val="0025132C"/>
    <w:rsid w:val="00296039"/>
    <w:rsid w:val="00310D7D"/>
    <w:rsid w:val="003A2A5B"/>
    <w:rsid w:val="003B570D"/>
    <w:rsid w:val="003B60B6"/>
    <w:rsid w:val="003F12D5"/>
    <w:rsid w:val="004075FB"/>
    <w:rsid w:val="00437528"/>
    <w:rsid w:val="004564B6"/>
    <w:rsid w:val="00462B96"/>
    <w:rsid w:val="00463128"/>
    <w:rsid w:val="00464C94"/>
    <w:rsid w:val="00467AD5"/>
    <w:rsid w:val="0048624C"/>
    <w:rsid w:val="004A54D8"/>
    <w:rsid w:val="004A67E4"/>
    <w:rsid w:val="004D2501"/>
    <w:rsid w:val="00537A69"/>
    <w:rsid w:val="005B0600"/>
    <w:rsid w:val="005B2715"/>
    <w:rsid w:val="00602F67"/>
    <w:rsid w:val="006B27A8"/>
    <w:rsid w:val="00714A1C"/>
    <w:rsid w:val="00801C1C"/>
    <w:rsid w:val="00843020"/>
    <w:rsid w:val="00870E6F"/>
    <w:rsid w:val="00885201"/>
    <w:rsid w:val="008915E1"/>
    <w:rsid w:val="008B43B3"/>
    <w:rsid w:val="008D32E1"/>
    <w:rsid w:val="008E0A98"/>
    <w:rsid w:val="00900D64"/>
    <w:rsid w:val="0091178C"/>
    <w:rsid w:val="009477FD"/>
    <w:rsid w:val="00972822"/>
    <w:rsid w:val="009807FE"/>
    <w:rsid w:val="00983B73"/>
    <w:rsid w:val="00984A1B"/>
    <w:rsid w:val="009A0628"/>
    <w:rsid w:val="00A22656"/>
    <w:rsid w:val="00A44AAE"/>
    <w:rsid w:val="00A656CF"/>
    <w:rsid w:val="00AB3041"/>
    <w:rsid w:val="00AB6439"/>
    <w:rsid w:val="00AD4B82"/>
    <w:rsid w:val="00AE6017"/>
    <w:rsid w:val="00B973B2"/>
    <w:rsid w:val="00BC39E8"/>
    <w:rsid w:val="00BF40D2"/>
    <w:rsid w:val="00C110B6"/>
    <w:rsid w:val="00C12854"/>
    <w:rsid w:val="00CC1190"/>
    <w:rsid w:val="00CF0EC7"/>
    <w:rsid w:val="00D04558"/>
    <w:rsid w:val="00D47905"/>
    <w:rsid w:val="00D67D22"/>
    <w:rsid w:val="00D7193B"/>
    <w:rsid w:val="00D77BB7"/>
    <w:rsid w:val="00D91AC3"/>
    <w:rsid w:val="00E94739"/>
    <w:rsid w:val="00ED4C20"/>
    <w:rsid w:val="00F42818"/>
    <w:rsid w:val="00F4470B"/>
    <w:rsid w:val="00FA1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7A8"/>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1"/>
    <w:qFormat/>
    <w:rsid w:val="006B27A8"/>
    <w:pPr>
      <w:widowControl w:val="0"/>
      <w:autoSpaceDE w:val="0"/>
      <w:autoSpaceDN w:val="0"/>
      <w:spacing w:line="360" w:lineRule="auto"/>
      <w:outlineLvl w:val="0"/>
    </w:pPr>
    <w:rPr>
      <w:rFonts w:eastAsia="Calibri" w:cs="Calibri"/>
      <w:b/>
      <w:bCs/>
      <w:sz w:val="22"/>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B27A8"/>
    <w:rPr>
      <w:rFonts w:ascii="Times New Roman" w:eastAsia="Calibri" w:hAnsi="Times New Roman" w:cs="Calibri"/>
      <w:b/>
      <w:bCs/>
      <w:szCs w:val="28"/>
      <w:lang w:val="en-US"/>
    </w:rPr>
  </w:style>
  <w:style w:type="paragraph" w:styleId="Footer">
    <w:name w:val="footer"/>
    <w:basedOn w:val="Normal"/>
    <w:link w:val="FooterChar"/>
    <w:uiPriority w:val="99"/>
    <w:unhideWhenUsed/>
    <w:rsid w:val="006B27A8"/>
    <w:pPr>
      <w:tabs>
        <w:tab w:val="center" w:pos="4513"/>
        <w:tab w:val="right" w:pos="9026"/>
      </w:tabs>
    </w:pPr>
  </w:style>
  <w:style w:type="character" w:customStyle="1" w:styleId="FooterChar">
    <w:name w:val="Footer Char"/>
    <w:basedOn w:val="DefaultParagraphFont"/>
    <w:link w:val="Footer"/>
    <w:uiPriority w:val="99"/>
    <w:rsid w:val="006B27A8"/>
    <w:rPr>
      <w:rFonts w:ascii="Times New Roman" w:hAnsi="Times New Roman" w:cs="Times New Roman"/>
      <w:sz w:val="24"/>
      <w:szCs w:val="24"/>
      <w:lang w:eastAsia="en-GB"/>
    </w:rPr>
  </w:style>
  <w:style w:type="character" w:styleId="Hyperlink">
    <w:name w:val="Hyperlink"/>
    <w:basedOn w:val="DefaultParagraphFont"/>
    <w:uiPriority w:val="99"/>
    <w:unhideWhenUsed/>
    <w:rsid w:val="006B27A8"/>
    <w:rPr>
      <w:color w:val="0563C1" w:themeColor="hyperlink"/>
      <w:u w:val="single"/>
    </w:rPr>
  </w:style>
  <w:style w:type="character" w:styleId="PageNumber">
    <w:name w:val="page number"/>
    <w:basedOn w:val="DefaultParagraphFont"/>
    <w:unhideWhenUsed/>
    <w:rsid w:val="006B27A8"/>
  </w:style>
  <w:style w:type="paragraph" w:styleId="NormalWeb">
    <w:name w:val="Normal (Web)"/>
    <w:basedOn w:val="Normal"/>
    <w:link w:val="NormalWebChar"/>
    <w:uiPriority w:val="99"/>
    <w:unhideWhenUsed/>
    <w:rsid w:val="006B27A8"/>
    <w:pPr>
      <w:spacing w:before="100" w:beforeAutospacing="1" w:after="100" w:afterAutospacing="1"/>
    </w:pPr>
    <w:rPr>
      <w:rFonts w:eastAsia="Times New Roman"/>
    </w:rPr>
  </w:style>
  <w:style w:type="character" w:customStyle="1" w:styleId="NormalWebChar">
    <w:name w:val="Normal (Web) Char"/>
    <w:basedOn w:val="DefaultParagraphFont"/>
    <w:link w:val="NormalWeb"/>
    <w:uiPriority w:val="99"/>
    <w:rsid w:val="006B27A8"/>
    <w:rPr>
      <w:rFonts w:ascii="Times New Roman" w:eastAsia="Times New Roman" w:hAnsi="Times New Roman" w:cs="Times New Roman"/>
      <w:sz w:val="24"/>
      <w:szCs w:val="24"/>
      <w:lang w:eastAsia="en-GB"/>
    </w:rPr>
  </w:style>
  <w:style w:type="paragraph" w:customStyle="1" w:styleId="EndNoteBibliography">
    <w:name w:val="EndNote Bibliography"/>
    <w:basedOn w:val="Normal"/>
    <w:link w:val="EndNoteBibliographyChar"/>
    <w:rsid w:val="006B27A8"/>
    <w:pPr>
      <w:spacing w:after="200"/>
    </w:pPr>
    <w:rPr>
      <w:rFonts w:ascii="Calibri" w:eastAsia="Times New Roman" w:hAnsi="Calibri"/>
      <w:noProof/>
      <w:lang w:val="en-US"/>
    </w:rPr>
  </w:style>
  <w:style w:type="character" w:customStyle="1" w:styleId="EndNoteBibliographyChar">
    <w:name w:val="EndNote Bibliography Char"/>
    <w:basedOn w:val="NormalWebChar"/>
    <w:link w:val="EndNoteBibliography"/>
    <w:rsid w:val="006B27A8"/>
    <w:rPr>
      <w:rFonts w:ascii="Calibri" w:eastAsia="Times New Roman" w:hAnsi="Calibri" w:cs="Times New Roman"/>
      <w:noProof/>
      <w:sz w:val="24"/>
      <w:szCs w:val="24"/>
      <w:lang w:val="en-US" w:eastAsia="en-GB"/>
    </w:rPr>
  </w:style>
  <w:style w:type="table" w:customStyle="1" w:styleId="PlainTable21">
    <w:name w:val="Plain Table 21"/>
    <w:basedOn w:val="TableNormal"/>
    <w:next w:val="PlainTable2"/>
    <w:uiPriority w:val="42"/>
    <w:rsid w:val="006B27A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1">
    <w:name w:val="toc 1"/>
    <w:basedOn w:val="Normal"/>
    <w:next w:val="Normal"/>
    <w:autoRedefine/>
    <w:uiPriority w:val="39"/>
    <w:unhideWhenUsed/>
    <w:rsid w:val="006B27A8"/>
    <w:pPr>
      <w:tabs>
        <w:tab w:val="right" w:leader="dot" w:pos="9016"/>
      </w:tabs>
      <w:spacing w:line="360" w:lineRule="auto"/>
    </w:pPr>
  </w:style>
  <w:style w:type="table" w:customStyle="1" w:styleId="PlainTable2">
    <w:name w:val="Plain Table 2"/>
    <w:basedOn w:val="TableNormal"/>
    <w:uiPriority w:val="42"/>
    <w:rsid w:val="006B27A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8B43B3"/>
    <w:pPr>
      <w:tabs>
        <w:tab w:val="center" w:pos="4513"/>
        <w:tab w:val="right" w:pos="9026"/>
      </w:tabs>
    </w:pPr>
  </w:style>
  <w:style w:type="character" w:customStyle="1" w:styleId="HeaderChar">
    <w:name w:val="Header Char"/>
    <w:basedOn w:val="DefaultParagraphFont"/>
    <w:link w:val="Header"/>
    <w:uiPriority w:val="99"/>
    <w:rsid w:val="008B43B3"/>
    <w:rPr>
      <w:rFonts w:ascii="Times New Roman" w:hAnsi="Times New Roman" w:cs="Times New Roman"/>
      <w:sz w:val="24"/>
      <w:szCs w:val="24"/>
      <w:lang w:eastAsia="en-GB"/>
    </w:rPr>
  </w:style>
  <w:style w:type="table" w:styleId="TableGrid">
    <w:name w:val="Table Grid"/>
    <w:basedOn w:val="TableNormal"/>
    <w:uiPriority w:val="39"/>
    <w:rsid w:val="00A65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56CF"/>
    <w:pPr>
      <w:spacing w:after="160" w:line="259" w:lineRule="auto"/>
      <w:ind w:left="720"/>
      <w:contextualSpacing/>
    </w:pPr>
    <w:rPr>
      <w:rFonts w:ascii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801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C1C"/>
    <w:rPr>
      <w:rFonts w:ascii="Segoe UI" w:hAnsi="Segoe UI" w:cs="Segoe UI"/>
      <w:sz w:val="18"/>
      <w:szCs w:val="18"/>
      <w:lang w:eastAsia="en-GB"/>
    </w:rPr>
  </w:style>
  <w:style w:type="character" w:styleId="FollowedHyperlink">
    <w:name w:val="FollowedHyperlink"/>
    <w:basedOn w:val="DefaultParagraphFont"/>
    <w:uiPriority w:val="99"/>
    <w:semiHidden/>
    <w:unhideWhenUsed/>
    <w:rsid w:val="00462B9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7A8"/>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1"/>
    <w:qFormat/>
    <w:rsid w:val="006B27A8"/>
    <w:pPr>
      <w:widowControl w:val="0"/>
      <w:autoSpaceDE w:val="0"/>
      <w:autoSpaceDN w:val="0"/>
      <w:spacing w:line="360" w:lineRule="auto"/>
      <w:outlineLvl w:val="0"/>
    </w:pPr>
    <w:rPr>
      <w:rFonts w:eastAsia="Calibri" w:cs="Calibri"/>
      <w:b/>
      <w:bCs/>
      <w:sz w:val="22"/>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B27A8"/>
    <w:rPr>
      <w:rFonts w:ascii="Times New Roman" w:eastAsia="Calibri" w:hAnsi="Times New Roman" w:cs="Calibri"/>
      <w:b/>
      <w:bCs/>
      <w:szCs w:val="28"/>
      <w:lang w:val="en-US"/>
    </w:rPr>
  </w:style>
  <w:style w:type="paragraph" w:styleId="Footer">
    <w:name w:val="footer"/>
    <w:basedOn w:val="Normal"/>
    <w:link w:val="FooterChar"/>
    <w:uiPriority w:val="99"/>
    <w:unhideWhenUsed/>
    <w:rsid w:val="006B27A8"/>
    <w:pPr>
      <w:tabs>
        <w:tab w:val="center" w:pos="4513"/>
        <w:tab w:val="right" w:pos="9026"/>
      </w:tabs>
    </w:pPr>
  </w:style>
  <w:style w:type="character" w:customStyle="1" w:styleId="FooterChar">
    <w:name w:val="Footer Char"/>
    <w:basedOn w:val="DefaultParagraphFont"/>
    <w:link w:val="Footer"/>
    <w:uiPriority w:val="99"/>
    <w:rsid w:val="006B27A8"/>
    <w:rPr>
      <w:rFonts w:ascii="Times New Roman" w:hAnsi="Times New Roman" w:cs="Times New Roman"/>
      <w:sz w:val="24"/>
      <w:szCs w:val="24"/>
      <w:lang w:eastAsia="en-GB"/>
    </w:rPr>
  </w:style>
  <w:style w:type="character" w:styleId="Hyperlink">
    <w:name w:val="Hyperlink"/>
    <w:basedOn w:val="DefaultParagraphFont"/>
    <w:uiPriority w:val="99"/>
    <w:unhideWhenUsed/>
    <w:rsid w:val="006B27A8"/>
    <w:rPr>
      <w:color w:val="0563C1" w:themeColor="hyperlink"/>
      <w:u w:val="single"/>
    </w:rPr>
  </w:style>
  <w:style w:type="character" w:styleId="PageNumber">
    <w:name w:val="page number"/>
    <w:basedOn w:val="DefaultParagraphFont"/>
    <w:unhideWhenUsed/>
    <w:rsid w:val="006B27A8"/>
  </w:style>
  <w:style w:type="paragraph" w:styleId="NormalWeb">
    <w:name w:val="Normal (Web)"/>
    <w:basedOn w:val="Normal"/>
    <w:link w:val="NormalWebChar"/>
    <w:uiPriority w:val="99"/>
    <w:unhideWhenUsed/>
    <w:rsid w:val="006B27A8"/>
    <w:pPr>
      <w:spacing w:before="100" w:beforeAutospacing="1" w:after="100" w:afterAutospacing="1"/>
    </w:pPr>
    <w:rPr>
      <w:rFonts w:eastAsia="Times New Roman"/>
    </w:rPr>
  </w:style>
  <w:style w:type="character" w:customStyle="1" w:styleId="NormalWebChar">
    <w:name w:val="Normal (Web) Char"/>
    <w:basedOn w:val="DefaultParagraphFont"/>
    <w:link w:val="NormalWeb"/>
    <w:uiPriority w:val="99"/>
    <w:rsid w:val="006B27A8"/>
    <w:rPr>
      <w:rFonts w:ascii="Times New Roman" w:eastAsia="Times New Roman" w:hAnsi="Times New Roman" w:cs="Times New Roman"/>
      <w:sz w:val="24"/>
      <w:szCs w:val="24"/>
      <w:lang w:eastAsia="en-GB"/>
    </w:rPr>
  </w:style>
  <w:style w:type="paragraph" w:customStyle="1" w:styleId="EndNoteBibliography">
    <w:name w:val="EndNote Bibliography"/>
    <w:basedOn w:val="Normal"/>
    <w:link w:val="EndNoteBibliographyChar"/>
    <w:rsid w:val="006B27A8"/>
    <w:pPr>
      <w:spacing w:after="200"/>
    </w:pPr>
    <w:rPr>
      <w:rFonts w:ascii="Calibri" w:eastAsia="Times New Roman" w:hAnsi="Calibri"/>
      <w:noProof/>
      <w:lang w:val="en-US"/>
    </w:rPr>
  </w:style>
  <w:style w:type="character" w:customStyle="1" w:styleId="EndNoteBibliographyChar">
    <w:name w:val="EndNote Bibliography Char"/>
    <w:basedOn w:val="NormalWebChar"/>
    <w:link w:val="EndNoteBibliography"/>
    <w:rsid w:val="006B27A8"/>
    <w:rPr>
      <w:rFonts w:ascii="Calibri" w:eastAsia="Times New Roman" w:hAnsi="Calibri" w:cs="Times New Roman"/>
      <w:noProof/>
      <w:sz w:val="24"/>
      <w:szCs w:val="24"/>
      <w:lang w:val="en-US" w:eastAsia="en-GB"/>
    </w:rPr>
  </w:style>
  <w:style w:type="table" w:customStyle="1" w:styleId="PlainTable21">
    <w:name w:val="Plain Table 21"/>
    <w:basedOn w:val="TableNormal"/>
    <w:next w:val="PlainTable2"/>
    <w:uiPriority w:val="42"/>
    <w:rsid w:val="006B27A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1">
    <w:name w:val="toc 1"/>
    <w:basedOn w:val="Normal"/>
    <w:next w:val="Normal"/>
    <w:autoRedefine/>
    <w:uiPriority w:val="39"/>
    <w:unhideWhenUsed/>
    <w:rsid w:val="006B27A8"/>
    <w:pPr>
      <w:tabs>
        <w:tab w:val="right" w:leader="dot" w:pos="9016"/>
      </w:tabs>
      <w:spacing w:line="360" w:lineRule="auto"/>
    </w:pPr>
  </w:style>
  <w:style w:type="table" w:customStyle="1" w:styleId="PlainTable2">
    <w:name w:val="Plain Table 2"/>
    <w:basedOn w:val="TableNormal"/>
    <w:uiPriority w:val="42"/>
    <w:rsid w:val="006B27A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8B43B3"/>
    <w:pPr>
      <w:tabs>
        <w:tab w:val="center" w:pos="4513"/>
        <w:tab w:val="right" w:pos="9026"/>
      </w:tabs>
    </w:pPr>
  </w:style>
  <w:style w:type="character" w:customStyle="1" w:styleId="HeaderChar">
    <w:name w:val="Header Char"/>
    <w:basedOn w:val="DefaultParagraphFont"/>
    <w:link w:val="Header"/>
    <w:uiPriority w:val="99"/>
    <w:rsid w:val="008B43B3"/>
    <w:rPr>
      <w:rFonts w:ascii="Times New Roman" w:hAnsi="Times New Roman" w:cs="Times New Roman"/>
      <w:sz w:val="24"/>
      <w:szCs w:val="24"/>
      <w:lang w:eastAsia="en-GB"/>
    </w:rPr>
  </w:style>
  <w:style w:type="table" w:styleId="TableGrid">
    <w:name w:val="Table Grid"/>
    <w:basedOn w:val="TableNormal"/>
    <w:uiPriority w:val="39"/>
    <w:rsid w:val="00A65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56CF"/>
    <w:pPr>
      <w:spacing w:after="160" w:line="259" w:lineRule="auto"/>
      <w:ind w:left="720"/>
      <w:contextualSpacing/>
    </w:pPr>
    <w:rPr>
      <w:rFonts w:ascii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801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C1C"/>
    <w:rPr>
      <w:rFonts w:ascii="Segoe UI" w:hAnsi="Segoe UI" w:cs="Segoe UI"/>
      <w:sz w:val="18"/>
      <w:szCs w:val="18"/>
      <w:lang w:eastAsia="en-GB"/>
    </w:rPr>
  </w:style>
  <w:style w:type="character" w:styleId="FollowedHyperlink">
    <w:name w:val="FollowedHyperlink"/>
    <w:basedOn w:val="DefaultParagraphFont"/>
    <w:uiPriority w:val="99"/>
    <w:semiHidden/>
    <w:unhideWhenUsed/>
    <w:rsid w:val="00462B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hs.uk/Livewell/5ADAY/Pages/Portionsizes.asp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iobank.ctsu.ox.ac.uk/crystal/docs/PhysicalActivityMonitor.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tes.google.com/site/theipaq/scoring-protoco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nhs.uk/live-well/exercis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nhs.uk/Livewell/alcohol/Pages/alcohol-uni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8</Pages>
  <Words>4251</Words>
  <Characters>24530</Characters>
  <Application>Microsoft Office Word</Application>
  <DocSecurity>0</DocSecurity>
  <Lines>584</Lines>
  <Paragraphs>319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Chudasama, Yogini</dc:creator>
  <cp:keywords/>
  <dc:description/>
  <cp:lastModifiedBy>S3G_Reference_Citation_Sequence</cp:lastModifiedBy>
  <cp:revision>5</cp:revision>
  <cp:lastPrinted>2018-09-26T14:38:00Z</cp:lastPrinted>
  <dcterms:created xsi:type="dcterms:W3CDTF">2019-02-25T15:24:00Z</dcterms:created>
  <dcterms:modified xsi:type="dcterms:W3CDTF">2019-05-04T17:18:00Z</dcterms:modified>
</cp:coreProperties>
</file>