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B" w:rsidRDefault="0094165B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Additional file 1</w:t>
      </w:r>
      <w:bookmarkStart w:id="0" w:name="_GoBack"/>
      <w:bookmarkEnd w:id="0"/>
    </w:p>
    <w:p w:rsidR="00802FD4" w:rsidRPr="0091765B" w:rsidRDefault="0091765B">
      <w:pPr>
        <w:rPr>
          <w:rFonts w:ascii="Times New Roman" w:hAnsi="Times New Roman"/>
          <w:b/>
          <w:sz w:val="16"/>
          <w:szCs w:val="16"/>
        </w:rPr>
      </w:pPr>
      <w:r w:rsidRPr="0091765B">
        <w:rPr>
          <w:rFonts w:ascii="Times New Roman" w:hAnsi="Times New Roman"/>
          <w:b/>
          <w:sz w:val="16"/>
          <w:szCs w:val="16"/>
        </w:rPr>
        <w:t xml:space="preserve">Table </w:t>
      </w:r>
      <w:r w:rsidR="00CB4986">
        <w:rPr>
          <w:rFonts w:ascii="Times New Roman" w:hAnsi="Times New Roman"/>
          <w:b/>
          <w:sz w:val="16"/>
          <w:szCs w:val="16"/>
        </w:rPr>
        <w:t>S</w:t>
      </w:r>
      <w:r w:rsidRPr="0091765B">
        <w:rPr>
          <w:rFonts w:ascii="Times New Roman" w:hAnsi="Times New Roman"/>
          <w:b/>
          <w:sz w:val="16"/>
          <w:szCs w:val="16"/>
        </w:rPr>
        <w:t xml:space="preserve">1 Result for the </w:t>
      </w:r>
      <w:r w:rsidR="00FE4507">
        <w:rPr>
          <w:rFonts w:ascii="Times New Roman" w:hAnsi="Times New Roman"/>
          <w:b/>
          <w:sz w:val="16"/>
          <w:szCs w:val="16"/>
        </w:rPr>
        <w:t>Pharmacy Board of Sierra Leone</w:t>
      </w:r>
      <w:r w:rsidRPr="0091765B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820"/>
        <w:gridCol w:w="1710"/>
        <w:gridCol w:w="1615"/>
      </w:tblGrid>
      <w:tr w:rsidR="00143278" w:rsidRPr="00E043BE" w:rsidTr="00E043BE">
        <w:tc>
          <w:tcPr>
            <w:tcW w:w="805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sz w:val="16"/>
                <w:szCs w:val="16"/>
              </w:rPr>
              <w:t>Table 1 Result for the NMRA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sz w:val="16"/>
                <w:szCs w:val="16"/>
              </w:rPr>
              <w:t>PV component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sz w:val="16"/>
                <w:szCs w:val="16"/>
              </w:rPr>
              <w:t>Type of indicator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:rsidR="00143278" w:rsidRPr="00E043BE" w:rsidRDefault="00E043BE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143278" w:rsidRPr="00E043BE">
              <w:rPr>
                <w:rFonts w:ascii="Times New Roman" w:hAnsi="Times New Roman"/>
                <w:sz w:val="16"/>
                <w:szCs w:val="16"/>
              </w:rPr>
              <w:t>Score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1432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sz w:val="16"/>
                <w:szCs w:val="16"/>
              </w:rPr>
              <w:t>I. Policy, law and regulation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1.1(S)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policy document that contains essential statements on pharmacovigilance(PV)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1.2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specific legal provisions for pharmacovigilance in the medicines legislation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1.3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Legal provision for the marketing authorization holder(MAH) mandatorily report serious adverse drug reaction (ADR) to the NMRA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1.4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Legal provision for MAH to conduct post marketing safety activities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Subtotal score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2/6 (33)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E043BE" w:rsidRDefault="00143278" w:rsidP="00AA3AF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      Systems, structures and stakeholders coordination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2.1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Existence of a PV centre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2.2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Clear mandate, structure, roles, and responsibilities for the PV centre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2.3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an information service that provides medicine safety–related question-and-answer services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2.4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A designated staff responsible for PV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2.5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Dedicated budget available for PV-related activities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2.6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national medicine safety advisory committee that has met at least once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2.7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Existence of national PV guidelines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2.8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standard operating procedures (SOPs) for improving patient safety relating to medicine 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2.9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communication technologies to improve safety reporting and provision of medicine information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2.10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medicine safety bulletin or newsletter published in the last six months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2.11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core reference materials available in the PV centre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2.12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Core PV topics present in the preservice training curricula disaggregated by medicine, pharmacy, nursing, and public health curricula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2.13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Health care providers trained on pharmacovigilance and medicine safety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2.14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platform for the coordination of pharmacovigilance activities at the national level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2.15 (S)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Membership of the WHO Collaborating Centre for International Drug Monitoring (UMC)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sz w:val="16"/>
                <w:szCs w:val="16"/>
              </w:rPr>
              <w:t>Subtotal score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25/26 (96)</w:t>
            </w:r>
          </w:p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III Signal generation and management</w:t>
            </w:r>
          </w:p>
          <w:p w:rsidR="00143278" w:rsidRPr="00E043BE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3.1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Existence of a system for coordination and collation of pharmacovigilance data from all sources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3.2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database for tracking pharmacovigilance activities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3.3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ADRs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3.4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product quality issues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3.5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medication errors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3.6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Existence of a form for reporting suspected treatment failure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sz w:val="16"/>
                <w:szCs w:val="16"/>
              </w:rPr>
              <w:t>Subtotal score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12/12 (100)</w:t>
            </w:r>
          </w:p>
          <w:p w:rsidR="00143278" w:rsidRPr="00E043BE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 Risk assessment and evaluation</w:t>
            </w:r>
          </w:p>
          <w:p w:rsidR="00143278" w:rsidRPr="00E043BE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4.1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Medicine utilization reviews carried out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4.2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Pharmaceutical product quality survey conducted within the last five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4.3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Quantification of the incidence of medication errors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4.4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Number of ADR reports received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4.5 (P)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Active surveillance activities currently ongoing or carried out in the last five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sz w:val="16"/>
                <w:szCs w:val="16"/>
              </w:rPr>
              <w:t>Subtotal score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3/7 (43)</w:t>
            </w:r>
          </w:p>
          <w:p w:rsidR="00E043BE" w:rsidRDefault="00E043BE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E043BE" w:rsidRDefault="00E043BE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E043BE" w:rsidRDefault="00E043BE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E043BE" w:rsidRPr="00E043BE" w:rsidRDefault="00E043BE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0BB9" w:rsidRPr="00E043BE" w:rsidTr="00E043BE">
        <w:tc>
          <w:tcPr>
            <w:tcW w:w="805" w:type="dxa"/>
            <w:tcBorders>
              <w:left w:val="nil"/>
              <w:bottom w:val="single" w:sz="4" w:space="0" w:color="auto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20" w:type="dxa"/>
            <w:tcBorders>
              <w:left w:val="nil"/>
              <w:bottom w:val="single" w:sz="4" w:space="0" w:color="auto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E043BE">
              <w:rPr>
                <w:rFonts w:ascii="Times New Roman" w:hAnsi="Times New Roman"/>
                <w:b/>
                <w:sz w:val="17"/>
                <w:szCs w:val="17"/>
              </w:rPr>
              <w:t>Table 1 Result f</w:t>
            </w:r>
            <w:r w:rsidR="00FE4507">
              <w:rPr>
                <w:rFonts w:ascii="Times New Roman" w:hAnsi="Times New Roman"/>
                <w:b/>
                <w:sz w:val="17"/>
                <w:szCs w:val="17"/>
              </w:rPr>
              <w:t>or</w:t>
            </w:r>
            <w:r w:rsidRPr="00E043BE">
              <w:rPr>
                <w:rFonts w:ascii="Times New Roman" w:hAnsi="Times New Roman"/>
                <w:b/>
                <w:sz w:val="17"/>
                <w:szCs w:val="17"/>
              </w:rPr>
              <w:t xml:space="preserve"> the…</w:t>
            </w:r>
            <w:r w:rsidR="00AA3AF0" w:rsidRPr="00E043BE">
              <w:rPr>
                <w:rFonts w:ascii="Times New Roman" w:hAnsi="Times New Roman"/>
                <w:b/>
                <w:sz w:val="17"/>
                <w:szCs w:val="17"/>
              </w:rPr>
              <w:t>continued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70BB9" w:rsidRPr="00E043BE" w:rsidTr="00E043BE"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sz w:val="17"/>
                <w:szCs w:val="17"/>
              </w:rPr>
              <w:t>Pharmacovigilance component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sz w:val="17"/>
                <w:szCs w:val="17"/>
              </w:rPr>
              <w:t>Type of indicator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:rsidR="00A70BB9" w:rsidRPr="00E043BE" w:rsidRDefault="00A70BB9" w:rsidP="00A70BB9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sz w:val="17"/>
                <w:szCs w:val="17"/>
              </w:rPr>
              <w:t>Score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V. Risk management and communication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5.1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Risk mitigation plans currently in place that are targeted at high-risk medicines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5.2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Prequalification schemes used in medicine procurement decisions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5.3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Number of medicine safety information requests received and addressed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5.4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Planned issues of the medicine safety published a newsletter or bulletin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5.5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Number of medicine safety issues of local relevance identified from outside sources acted on locally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5.6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Number of “Dear health care professional” letters or other safety alerts developed and distributed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5.7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Average time lag between identification of safety signal of a serious ADR and communication to health care workers and the public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5.9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Public or community education activities relating to medicine safety carried out in the last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5.10 (O)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Percentage of medicines sampled in the last year that passed product quality tests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Subtotal score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7/11 (64)</w:t>
            </w:r>
          </w:p>
        </w:tc>
      </w:tr>
      <w:tr w:rsidR="00143278" w:rsidRPr="00E043BE" w:rsidTr="00E043BE">
        <w:tc>
          <w:tcPr>
            <w:tcW w:w="805" w:type="dxa"/>
            <w:tcBorders>
              <w:top w:val="nil"/>
              <w:left w:val="nil"/>
              <w:right w:val="nil"/>
            </w:tcBorders>
          </w:tcPr>
          <w:p w:rsidR="00143278" w:rsidRPr="00E043BE" w:rsidRDefault="00143278" w:rsidP="00AA3A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  <w:vAlign w:val="bottom"/>
          </w:tcPr>
          <w:p w:rsidR="00143278" w:rsidRPr="00E043BE" w:rsidRDefault="00143278" w:rsidP="00AA3AF0">
            <w:pPr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Total score achieved (%)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vAlign w:val="bottom"/>
          </w:tcPr>
          <w:p w:rsidR="00143278" w:rsidRPr="00E043BE" w:rsidRDefault="00143278" w:rsidP="00AA3AF0">
            <w:pPr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E043BE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49/62 (79)</w:t>
            </w:r>
          </w:p>
        </w:tc>
      </w:tr>
    </w:tbl>
    <w:p w:rsidR="00143278" w:rsidRPr="0091765B" w:rsidRDefault="00143278" w:rsidP="001432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765B">
        <w:rPr>
          <w:rFonts w:ascii="Times New Roman" w:hAnsi="Times New Roman"/>
          <w:sz w:val="16"/>
          <w:szCs w:val="16"/>
        </w:rPr>
        <w:t xml:space="preserve">A grade of 2 points was allocated to each core indicator (C) fulﬁlled, 1 point for each supplementary indicator (S), and 0 points for any indicator not fulﬁlled. Thresholds set for quantitative indicators: 2.13 = 5 % of healthcare workers trained; 4.4 = 100 reports per million people; 5.3 = 100 per million people; 5.4 = at least 70 % of planned issues published; 5.5 = at least 70 % of relevant alerts have been acted on; 5.6 = at least 70 % of alerts communicated to healthcare professionals; 5.7 = at least 70 % of alerts communicated to healthcare professionals within 3 weeks; 5.10 = 80 % of sampled medicines pass the quality test. Outcome indicator (O), process indicator (P), structural indicator (S) </w:t>
      </w:r>
    </w:p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AA3AF0" w:rsidRDefault="00AA3AF0"/>
    <w:p w:rsidR="00AA3AF0" w:rsidRDefault="00AA3AF0">
      <w:pPr>
        <w:rPr>
          <w:rFonts w:ascii="Times New Roman" w:hAnsi="Times New Roman" w:cs="Times New Roman"/>
          <w:b/>
          <w:sz w:val="20"/>
          <w:szCs w:val="20"/>
        </w:rPr>
      </w:pPr>
    </w:p>
    <w:p w:rsidR="00E043BE" w:rsidRDefault="00E043BE">
      <w:pPr>
        <w:rPr>
          <w:rFonts w:ascii="Times New Roman" w:hAnsi="Times New Roman" w:cs="Times New Roman"/>
          <w:b/>
          <w:sz w:val="20"/>
          <w:szCs w:val="20"/>
        </w:rPr>
      </w:pPr>
    </w:p>
    <w:p w:rsidR="00FE4507" w:rsidRDefault="00FE4507">
      <w:pPr>
        <w:rPr>
          <w:rFonts w:ascii="Times New Roman" w:hAnsi="Times New Roman" w:cs="Times New Roman"/>
          <w:b/>
          <w:sz w:val="20"/>
          <w:szCs w:val="20"/>
        </w:rPr>
      </w:pPr>
    </w:p>
    <w:p w:rsidR="00FE4507" w:rsidRDefault="00FE4507">
      <w:pPr>
        <w:rPr>
          <w:rFonts w:ascii="Times New Roman" w:hAnsi="Times New Roman" w:cs="Times New Roman"/>
          <w:b/>
          <w:sz w:val="20"/>
          <w:szCs w:val="20"/>
        </w:rPr>
      </w:pPr>
    </w:p>
    <w:p w:rsidR="00FE4507" w:rsidRDefault="00FE4507">
      <w:pPr>
        <w:rPr>
          <w:rFonts w:ascii="Times New Roman" w:hAnsi="Times New Roman" w:cs="Times New Roman"/>
          <w:b/>
          <w:sz w:val="20"/>
          <w:szCs w:val="20"/>
        </w:rPr>
      </w:pPr>
    </w:p>
    <w:p w:rsidR="00143278" w:rsidRPr="00AA3AF0" w:rsidRDefault="00AA3AF0">
      <w:pPr>
        <w:rPr>
          <w:rFonts w:ascii="Times New Roman" w:hAnsi="Times New Roman" w:cs="Times New Roman"/>
          <w:b/>
          <w:sz w:val="20"/>
          <w:szCs w:val="20"/>
        </w:rPr>
      </w:pPr>
      <w:r w:rsidRPr="00AA3AF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CB4986">
        <w:rPr>
          <w:rFonts w:ascii="Times New Roman" w:hAnsi="Times New Roman" w:cs="Times New Roman"/>
          <w:b/>
          <w:sz w:val="20"/>
          <w:szCs w:val="20"/>
        </w:rPr>
        <w:t>S</w:t>
      </w:r>
      <w:r w:rsidRPr="00AA3AF0">
        <w:rPr>
          <w:rFonts w:ascii="Times New Roman" w:hAnsi="Times New Roman" w:cs="Times New Roman"/>
          <w:b/>
          <w:sz w:val="20"/>
          <w:szCs w:val="20"/>
        </w:rPr>
        <w:t>2: Result for health facilities</w:t>
      </w: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40"/>
        <w:gridCol w:w="8088"/>
        <w:gridCol w:w="892"/>
        <w:gridCol w:w="720"/>
        <w:gridCol w:w="810"/>
        <w:gridCol w:w="810"/>
        <w:gridCol w:w="900"/>
        <w:gridCol w:w="720"/>
        <w:gridCol w:w="810"/>
      </w:tblGrid>
      <w:tr w:rsidR="00143278" w:rsidRPr="00B11EDE" w:rsidTr="00E043BE"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6471DA" w:rsidRDefault="00143278" w:rsidP="00AA3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Table 2</w:t>
            </w: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Result for health facilities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3278" w:rsidRPr="00B11EDE" w:rsidTr="00E043BE"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PV component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Type of indicator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PCMH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BoGH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KeGH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MaGH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591739" w:rsidRDefault="00143278" w:rsidP="00AA3AF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      Systems, structures and stakeholders coordination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xistence of a PV 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centre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Clear mandate, structure, roles, and responsibilities for the PV centre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an information service that provides medicine safety–related question-and-answer services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 designated staff responsible for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Dedicated budget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available for PV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-related activities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standard operating procedures (SOPs) for improving patient safety relating to medicine use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communication technologies to improve safety reporting and provision of medicine information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2.10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 medicine safety bulletin or newsletter published in the last six months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2.11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core reference materials av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ailable in the PV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139B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9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2.13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Health care providers trained on pharmacovigilance and medicine safety in the last year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B9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B9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B9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B9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B42C0B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C0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6471DA" w:rsidRDefault="00143278" w:rsidP="00AA3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>Subtotal score (%)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Pr="00F85B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(61)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11/18 (61)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0/18 (0)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12/18 (67)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973A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12/18 (67)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973AE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12/18 (67)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III Signal generation and management</w:t>
            </w:r>
          </w:p>
          <w:p w:rsidR="00143278" w:rsidRPr="00591739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3.3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ADRs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3.4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product quality issues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3.5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medication errors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3.6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Existence of a form for reporting suspected treatment failure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>Subtotal score (%)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772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8/8(</w:t>
            </w:r>
            <w:r w:rsidRPr="00772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 Risk assessment and evaluation</w:t>
            </w:r>
          </w:p>
          <w:p w:rsidR="00143278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4.1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Medicine utilization reviews carried out in the last year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4.3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Quantification of the incidence of medication errors in the last year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4.4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Number of ADR reports received in the last year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4.5 (P)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Active surveillance activities currently ongoing or carried out in the last five years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>Subtotal score (%)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0/6 (</w:t>
            </w:r>
            <w:r w:rsidRPr="00AD61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0/6 (</w:t>
            </w:r>
            <w:r w:rsidRPr="00AD61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0/6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AD61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2/6 (33)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0/6 (0)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0/6 (0)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AF0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Risk management and communication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 (O)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Risk mitigation plans currently in place that are targeted at high-risk medicines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(O)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Number of medicine safety information requests received and addressed in the last year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E043BE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5.4 (O)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Planned issues of the medicine safety published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a newsletter or bulletin in the last year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631505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sz w:val="16"/>
                <w:szCs w:val="16"/>
              </w:rPr>
              <w:lastRenderedPageBreak/>
              <w:t>5.8 (O)</w:t>
            </w:r>
          </w:p>
          <w:p w:rsidR="00E043BE" w:rsidRPr="007E1C81" w:rsidRDefault="00E043BE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3BE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Percentage of the sampled drug and therapeutics committees that have carried out PV activities or addressed medicine safety issues in the last year</w:t>
            </w:r>
          </w:p>
          <w:p w:rsidR="00E043BE" w:rsidRPr="007E1C81" w:rsidRDefault="00E043BE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7E1C81" w:rsidRDefault="00631505" w:rsidP="0063150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="00143278"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7E1C8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C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631505"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E45A7B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5A7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Table 2 Result for Health facilities continued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278" w:rsidRPr="00B11EDE" w:rsidTr="00631505"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88" w:type="dxa"/>
            <w:tcBorders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PV component</w:t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143278" w:rsidRPr="00A235D2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Type of </w:t>
            </w:r>
            <w:r w:rsidRPr="00A235D2">
              <w:rPr>
                <w:rFonts w:ascii="Times New Roman" w:hAnsi="Times New Roman"/>
                <w:sz w:val="16"/>
                <w:szCs w:val="16"/>
              </w:rPr>
              <w:t>indicator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43278" w:rsidRPr="00A235D2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CTH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Pr="00A235D2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PCMH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Pr="00A235D2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ODCH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143278" w:rsidRPr="00A235D2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BoGH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KeGH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MaGH</w:t>
            </w:r>
          </w:p>
        </w:tc>
      </w:tr>
      <w:tr w:rsidR="00143278" w:rsidRPr="00B11EDE" w:rsidTr="0063150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278" w:rsidRPr="00B11EDE" w:rsidTr="0063150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90F88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90F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Subtotal score (%)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1F19D6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0/5 (0)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1F19D6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0/5 (0)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1F19D6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0/5(0)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1F19D6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0/5 (0)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0/5 x100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B7B64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7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0/5 x100</w:t>
            </w:r>
          </w:p>
        </w:tc>
      </w:tr>
      <w:tr w:rsidR="00143278" w:rsidRPr="00B11EDE" w:rsidTr="0063150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90F88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90F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Total score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achieved </w:t>
            </w:r>
            <w:r w:rsidRPr="00A90F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90F88" w:rsidRDefault="00143278" w:rsidP="00AA3AF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8/37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20/37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B64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B64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/37</w:t>
            </w:r>
          </w:p>
        </w:tc>
      </w:tr>
      <w:tr w:rsidR="00143278" w:rsidRPr="00B11EDE" w:rsidTr="00631505"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8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143278" w:rsidRPr="00A90F88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vAlign w:val="bottom"/>
          </w:tcPr>
          <w:p w:rsidR="00143278" w:rsidRPr="00A90F88" w:rsidRDefault="00143278" w:rsidP="00AA3AF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B64">
              <w:rPr>
                <w:rFonts w:ascii="Times New Roman" w:hAnsi="Times New Roman"/>
                <w:b/>
                <w:sz w:val="16"/>
                <w:szCs w:val="16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43278" w:rsidRPr="00FB7B64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B64">
              <w:rPr>
                <w:rFonts w:ascii="Times New Roman" w:hAnsi="Times New Roman"/>
                <w:b/>
                <w:sz w:val="16"/>
                <w:szCs w:val="16"/>
              </w:rPr>
              <w:t>54%</w:t>
            </w:r>
          </w:p>
        </w:tc>
      </w:tr>
    </w:tbl>
    <w:p w:rsidR="00143278" w:rsidRDefault="00143278" w:rsidP="0014327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212AB">
        <w:rPr>
          <w:rFonts w:ascii="Times New Roman" w:hAnsi="Times New Roman"/>
          <w:sz w:val="16"/>
          <w:szCs w:val="16"/>
        </w:rPr>
        <w:t>A grade of 2 points was allocated to each core indicator (C) fulﬁlled, 1 point for each supplementary indicator (S), and 0 points for any indicator not fulﬁlled. Thresholds set for quantitative indicators: 2.13 = 5 % of healthcare workers trained; 4.4 = 100 reports per million people; 5.3 = 100 per million people; 5.4 = at least 70 % of planned issues published;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12AB">
        <w:rPr>
          <w:rFonts w:ascii="Times New Roman" w:hAnsi="Times New Roman"/>
          <w:sz w:val="16"/>
          <w:szCs w:val="16"/>
        </w:rPr>
        <w:t>Connaught Teaching Hospital (CTH)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212AB">
        <w:rPr>
          <w:rFonts w:ascii="Times New Roman" w:hAnsi="Times New Roman"/>
          <w:sz w:val="16"/>
          <w:szCs w:val="16"/>
        </w:rPr>
        <w:t>Princess Christian Maternity Teaching Hospital (PCMH)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212AB">
        <w:rPr>
          <w:rFonts w:ascii="Times New Roman" w:hAnsi="Times New Roman"/>
          <w:sz w:val="16"/>
          <w:szCs w:val="16"/>
        </w:rPr>
        <w:t xml:space="preserve"> Ola During Children Teaching Hospital (ODCH)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212AB">
        <w:rPr>
          <w:rFonts w:ascii="Times New Roman" w:hAnsi="Times New Roman"/>
          <w:sz w:val="16"/>
          <w:szCs w:val="16"/>
        </w:rPr>
        <w:t>Bo Government Hospital (BoGH</w:t>
      </w:r>
      <w:r>
        <w:rPr>
          <w:rFonts w:ascii="Times New Roman" w:hAnsi="Times New Roman"/>
          <w:sz w:val="16"/>
          <w:szCs w:val="16"/>
        </w:rPr>
        <w:t>)</w:t>
      </w:r>
      <w:r w:rsidRPr="005212AB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7F09">
        <w:rPr>
          <w:rFonts w:ascii="Times New Roman" w:hAnsi="Times New Roman"/>
          <w:sz w:val="16"/>
          <w:szCs w:val="16"/>
        </w:rPr>
        <w:t>Ken</w:t>
      </w:r>
      <w:r>
        <w:rPr>
          <w:rFonts w:ascii="Times New Roman" w:hAnsi="Times New Roman"/>
          <w:sz w:val="16"/>
          <w:szCs w:val="16"/>
        </w:rPr>
        <w:t>ema Government Hospital (KeGH)</w:t>
      </w:r>
      <w:r w:rsidRPr="00837F09">
        <w:rPr>
          <w:rFonts w:ascii="Times New Roman" w:hAnsi="Times New Roman"/>
          <w:sz w:val="16"/>
          <w:szCs w:val="16"/>
        </w:rPr>
        <w:t xml:space="preserve"> and Mak</w:t>
      </w:r>
      <w:r>
        <w:rPr>
          <w:rFonts w:ascii="Times New Roman" w:hAnsi="Times New Roman"/>
          <w:sz w:val="16"/>
          <w:szCs w:val="16"/>
        </w:rPr>
        <w:t>eni Government Hospital (MaGH)</w:t>
      </w:r>
      <w:r w:rsidRPr="00837F09">
        <w:rPr>
          <w:rFonts w:ascii="Times New Roman" w:hAnsi="Times New Roman"/>
          <w:sz w:val="16"/>
          <w:szCs w:val="16"/>
        </w:rPr>
        <w:t xml:space="preserve">, outcome indicator (O), process indicator (P), structural indicator (S) </w:t>
      </w:r>
    </w:p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143278" w:rsidRDefault="00143278"/>
    <w:p w:rsidR="00AA3AF0" w:rsidRDefault="00AA3AF0"/>
    <w:p w:rsidR="00367D47" w:rsidRDefault="00367D47"/>
    <w:p w:rsidR="00FE4507" w:rsidRDefault="00FE4507">
      <w:pPr>
        <w:rPr>
          <w:rFonts w:ascii="Times New Roman" w:hAnsi="Times New Roman" w:cs="Times New Roman"/>
          <w:b/>
          <w:sz w:val="20"/>
          <w:szCs w:val="20"/>
        </w:rPr>
      </w:pPr>
    </w:p>
    <w:p w:rsidR="00143278" w:rsidRPr="00AA3AF0" w:rsidRDefault="00AA3AF0">
      <w:pPr>
        <w:rPr>
          <w:rFonts w:ascii="Times New Roman" w:hAnsi="Times New Roman" w:cs="Times New Roman"/>
          <w:b/>
          <w:sz w:val="20"/>
          <w:szCs w:val="20"/>
        </w:rPr>
      </w:pPr>
      <w:r w:rsidRPr="00AA3AF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CB4986">
        <w:rPr>
          <w:rFonts w:ascii="Times New Roman" w:hAnsi="Times New Roman" w:cs="Times New Roman"/>
          <w:b/>
          <w:sz w:val="20"/>
          <w:szCs w:val="20"/>
        </w:rPr>
        <w:t>S</w:t>
      </w:r>
      <w:r w:rsidRPr="00AA3AF0">
        <w:rPr>
          <w:rFonts w:ascii="Times New Roman" w:hAnsi="Times New Roman" w:cs="Times New Roman"/>
          <w:b/>
          <w:sz w:val="20"/>
          <w:szCs w:val="20"/>
        </w:rPr>
        <w:t>3: Result for the public health programmes</w:t>
      </w: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40"/>
        <w:gridCol w:w="7810"/>
        <w:gridCol w:w="900"/>
        <w:gridCol w:w="810"/>
        <w:gridCol w:w="810"/>
        <w:gridCol w:w="810"/>
        <w:gridCol w:w="905"/>
        <w:gridCol w:w="985"/>
        <w:gridCol w:w="810"/>
      </w:tblGrid>
      <w:tr w:rsidR="00143278" w:rsidRPr="00B11EDE" w:rsidTr="00FE4507">
        <w:trPr>
          <w:trHeight w:val="566"/>
        </w:trPr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Default="00143278" w:rsidP="00AA3AF0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143278" w:rsidRPr="00762AF8" w:rsidRDefault="00143278" w:rsidP="00AA3AF0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6471DA" w:rsidRDefault="00143278" w:rsidP="00AA3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Table 3</w:t>
            </w: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Result for public health programmes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3278" w:rsidRPr="00B11EDE" w:rsidTr="00FE4507"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PV component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Type of indicator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NMCP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NTDCP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EPI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HIV/AIDS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NLTCP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RCHP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 Policy, Law and Regulation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B11EDE" w:rsidTr="00FE4507">
        <w:trPr>
          <w:trHeight w:val="7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0EDA" w:rsidRDefault="00450EDA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0EDA" w:rsidRDefault="00450EDA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0EDA" w:rsidRDefault="00450EDA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100" w:rsidRPr="00557A90" w:rsidRDefault="00143278" w:rsidP="00AA3AF0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57A9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Policy document that contain essential elements on </w:t>
            </w:r>
            <w:r w:rsidR="00F431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</w:t>
            </w:r>
            <w:r w:rsidR="00450E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43100" w:rsidRDefault="00F43100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450EDA" w:rsidP="00F4310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F4310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F4310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100" w:rsidRDefault="00F43100" w:rsidP="00F4310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3100" w:rsidRDefault="00F43100" w:rsidP="00F4310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278" w:rsidRPr="003D6FCA" w:rsidRDefault="00F43100" w:rsidP="00F4310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rPr>
          <w:trHeight w:val="6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57A90" w:rsidRDefault="00143278" w:rsidP="00AA3AF0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Subtotal score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45453A" w:rsidRDefault="00143278" w:rsidP="00AA3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0/0 (0)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0/0 (0)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2/2 (100)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0/0 (0)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43100" w:rsidRDefault="00F43100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2/2 (100)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0/0(0)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43278" w:rsidRPr="00591739" w:rsidRDefault="00143278" w:rsidP="00AA3AF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      Systems, structures and stakeholders coordination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xistence of a PV 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centre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 unit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Clear mandate, structure, roles, and responsibilities for the PV centre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 designated staff responsible for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Dedicated budget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available for PV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-related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standard operating procedures (SOPs) for improving patient safety relating to medicine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communication technologies to improve safety reporting and provision of medicine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A541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4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2.13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Health care providers trained on pharmacovigilance and medicine safety in the last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B9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D6FCA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FC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6471DA" w:rsidRDefault="00143278" w:rsidP="00AA3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>Subtotal score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F85B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(38)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5/13 (38)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6/13 (46)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85B90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4/13 (31)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973AE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4/13 (31)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973AE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4/13 (31)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III Signal generation and management</w:t>
            </w:r>
          </w:p>
          <w:p w:rsidR="00143278" w:rsidRPr="00591739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3.3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ADRs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3.4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product quality issues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3.5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Existence of a form for reporting suspected medication errors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3.6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Existence of a form for reporting suspected treatment failure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>Subtotal score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3A57F3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3A57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 (</w:t>
            </w:r>
            <w:r w:rsidRPr="00772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8/8(</w:t>
            </w:r>
            <w:r w:rsidRPr="00772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 Risk assessment and evaluation</w:t>
            </w:r>
          </w:p>
          <w:p w:rsidR="00143278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4.1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Medicine utilization reviews carried out in the last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4.2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Pharmaceutical quality survey conducted in the last 5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4.3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Quantification of the incidence of medication errors in the last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4.4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Number of ADR reports received in the last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4.5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Active surveillance activities currently ongoing or carried out in the last five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15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4.6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6451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5139">
              <w:rPr>
                <w:rFonts w:ascii="Times New Roman" w:hAnsi="Times New Roman"/>
                <w:color w:val="000000"/>
                <w:sz w:val="16"/>
                <w:szCs w:val="16"/>
              </w:rPr>
              <w:t>Percentage of patients in public health programs for whom drug-related adverse events were reported in the last year (disaggregated by type of adverse event, drug, severity, outcomes, and demographics)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4.7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6451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5139">
              <w:rPr>
                <w:rFonts w:ascii="Times New Roman" w:hAnsi="Times New Roman"/>
                <w:color w:val="000000"/>
                <w:sz w:val="16"/>
                <w:szCs w:val="16"/>
              </w:rPr>
              <w:t>Percentage of patients undergoing treatment within a public health program whose treatment was modified because of treatment failure or ADRs in the last year (disaggregated by treatment failure and ADRs)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4.8 (P)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6451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51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Percentage of patients in public health programs for whom drug-related, serious “unexpected adverse events” were </w:t>
            </w:r>
            <w:r w:rsidRPr="006451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reported in the last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051051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05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815A4D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Default="00143278" w:rsidP="00AA3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71DA">
              <w:rPr>
                <w:rFonts w:ascii="Times New Roman" w:hAnsi="Times New Roman"/>
                <w:b/>
                <w:sz w:val="18"/>
                <w:szCs w:val="18"/>
              </w:rPr>
              <w:t>Subtotal score (%)</w:t>
            </w:r>
          </w:p>
          <w:p w:rsidR="00367D47" w:rsidRPr="00591739" w:rsidRDefault="00367D47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7/12 (58)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5/12 (42)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0/12</w:t>
            </w:r>
            <w:r w:rsidRPr="00AD61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AD61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AD615F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1/12 (8)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0/12 (0)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278" w:rsidRPr="00772A85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0/12 (0)</w:t>
            </w:r>
          </w:p>
        </w:tc>
      </w:tr>
      <w:tr w:rsidR="00367D47" w:rsidRPr="00B11EDE" w:rsidTr="00FE4507"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:rsidR="00367D47" w:rsidRPr="00B11EDE" w:rsidRDefault="00367D47" w:rsidP="0036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7D47" w:rsidRPr="00FE4507" w:rsidRDefault="00367D47" w:rsidP="00367D4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450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Table 3 Result for public health programmes continued</w:t>
            </w:r>
          </w:p>
          <w:p w:rsidR="00FE4507" w:rsidRDefault="00FE4507" w:rsidP="00367D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E4507" w:rsidRPr="00591739" w:rsidRDefault="00FE4507" w:rsidP="00367D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7D47" w:rsidRPr="00591739" w:rsidRDefault="00367D47" w:rsidP="00367D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367D47" w:rsidRPr="00591739" w:rsidRDefault="00367D47" w:rsidP="00367D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367D47" w:rsidRPr="00591739" w:rsidRDefault="00367D47" w:rsidP="00367D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367D47" w:rsidRPr="00591739" w:rsidRDefault="00367D47" w:rsidP="00367D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</w:tcPr>
          <w:p w:rsidR="00367D47" w:rsidRPr="00591739" w:rsidRDefault="00367D47" w:rsidP="00367D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:rsidR="00367D47" w:rsidRPr="00591739" w:rsidRDefault="00367D47" w:rsidP="00367D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7D47" w:rsidRPr="00591739" w:rsidRDefault="00367D47" w:rsidP="00367D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67D47" w:rsidRPr="00B11EDE" w:rsidTr="00FE4507"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367D47" w:rsidRPr="00B11EDE" w:rsidRDefault="00367D47" w:rsidP="00367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left w:val="nil"/>
              <w:bottom w:val="nil"/>
              <w:right w:val="nil"/>
            </w:tcBorders>
            <w:vAlign w:val="bottom"/>
          </w:tcPr>
          <w:p w:rsidR="00367D47" w:rsidRPr="00591739" w:rsidRDefault="00367D47" w:rsidP="00367D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PV component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67D47" w:rsidRPr="00A235D2" w:rsidRDefault="00367D47" w:rsidP="00367D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Type of </w:t>
            </w:r>
            <w:r w:rsidRPr="00A235D2">
              <w:rPr>
                <w:rFonts w:ascii="Times New Roman" w:hAnsi="Times New Roman"/>
                <w:sz w:val="16"/>
                <w:szCs w:val="16"/>
              </w:rPr>
              <w:t>indicator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367D47" w:rsidRPr="00A235D2" w:rsidRDefault="00367D47" w:rsidP="00367D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NMCP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367D47" w:rsidRPr="00A235D2" w:rsidRDefault="00367D47" w:rsidP="00367D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NTDCP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367D47" w:rsidRPr="00A235D2" w:rsidRDefault="00367D47" w:rsidP="00367D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EPI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:rsidR="00367D47" w:rsidRDefault="00367D47" w:rsidP="00367D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HIV/AIDS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367D47" w:rsidRDefault="00367D47" w:rsidP="00367D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NLTCP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367D47" w:rsidRPr="00B11EDE" w:rsidRDefault="00367D47" w:rsidP="00367D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RCHP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Risk management and communication</w:t>
            </w:r>
          </w:p>
          <w:p w:rsidR="00143278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 (O)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Risk mitigation plans currently in place that are targeted at high-risk medicines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5.2 (O)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980C7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C79">
              <w:rPr>
                <w:rFonts w:ascii="Times New Roman" w:hAnsi="Times New Roman"/>
                <w:color w:val="000000"/>
                <w:sz w:val="16"/>
                <w:szCs w:val="16"/>
              </w:rPr>
              <w:t>Prequalification schemes used in medicine procurement decisions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(O)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Number of medicine safety information requests received and addressed in the last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5.7 </w:t>
            </w:r>
            <w:r w:rsidRPr="00591739">
              <w:rPr>
                <w:rFonts w:ascii="Times New Roman" w:hAnsi="Times New Roman"/>
                <w:color w:val="000000"/>
                <w:sz w:val="16"/>
                <w:szCs w:val="16"/>
              </w:rPr>
              <w:t>(O)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C79">
              <w:rPr>
                <w:rFonts w:ascii="Times New Roman" w:hAnsi="Times New Roman"/>
                <w:color w:val="000000"/>
                <w:sz w:val="16"/>
                <w:szCs w:val="16"/>
              </w:rPr>
              <w:t>Average time lag between identification of safety signal of a serious ADR or significant medicine safety issue and communication to health care workers and the public</w:t>
            </w:r>
          </w:p>
          <w:p w:rsidR="00143278" w:rsidRPr="00980C79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E113B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3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 (O)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F0334D" w:rsidRDefault="00143278" w:rsidP="00AA3AF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334D">
              <w:rPr>
                <w:rFonts w:ascii="Times New Roman" w:hAnsi="Times New Roman"/>
                <w:color w:val="000000"/>
                <w:sz w:val="16"/>
                <w:szCs w:val="16"/>
              </w:rPr>
              <w:t>Public or community education activities relating to medicine safety carried out in the last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277449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744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2F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90F88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90F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Subtotal score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591739" w:rsidRDefault="00143278" w:rsidP="00AA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1F19D6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3/6 (50)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1F19D6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3/6 (50)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1F19D6" w:rsidRDefault="00143278" w:rsidP="00AA3A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2/6(33)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r w:rsidRPr="00A15D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2/6(33)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r w:rsidRPr="00A15D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2/6(33)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Default="00143278" w:rsidP="00AA3AF0">
            <w:r w:rsidRPr="00A15D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2/6(33)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90F88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90F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Total score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achieved </w:t>
            </w:r>
            <w:r w:rsidRPr="00A90F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78" w:rsidRPr="00A90F88" w:rsidRDefault="00143278" w:rsidP="00AA3AF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0334D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334D">
              <w:rPr>
                <w:rFonts w:ascii="Times New Roman" w:hAnsi="Times New Roman"/>
                <w:b/>
                <w:sz w:val="16"/>
                <w:szCs w:val="16"/>
              </w:rPr>
              <w:t>22/41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0334D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334D">
              <w:rPr>
                <w:rFonts w:ascii="Times New Roman" w:hAnsi="Times New Roman"/>
                <w:b/>
                <w:sz w:val="16"/>
                <w:szCs w:val="16"/>
              </w:rPr>
              <w:t>21/41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0334D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334D">
              <w:rPr>
                <w:rFonts w:ascii="Times New Roman" w:hAnsi="Times New Roman"/>
                <w:b/>
                <w:sz w:val="16"/>
                <w:szCs w:val="16"/>
              </w:rPr>
              <w:t>18/41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0334D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334D">
              <w:rPr>
                <w:rFonts w:ascii="Times New Roman" w:hAnsi="Times New Roman"/>
                <w:b/>
                <w:sz w:val="16"/>
                <w:szCs w:val="16"/>
              </w:rPr>
              <w:t>15/41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0334D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334D">
              <w:rPr>
                <w:rFonts w:ascii="Times New Roman" w:hAnsi="Times New Roman"/>
                <w:b/>
                <w:sz w:val="16"/>
                <w:szCs w:val="16"/>
              </w:rPr>
              <w:t>16/41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F0334D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334D">
              <w:rPr>
                <w:rFonts w:ascii="Times New Roman" w:hAnsi="Times New Roman"/>
                <w:b/>
                <w:sz w:val="16"/>
                <w:szCs w:val="16"/>
              </w:rPr>
              <w:t>14/41</w:t>
            </w:r>
          </w:p>
        </w:tc>
      </w:tr>
      <w:tr w:rsidR="00143278" w:rsidRPr="00B11EDE" w:rsidTr="00FE4507"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143278" w:rsidRPr="00B11EDE" w:rsidRDefault="00143278" w:rsidP="00AA3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143278" w:rsidRPr="00A90F88" w:rsidRDefault="00143278" w:rsidP="00AA3AF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143278" w:rsidRPr="00A90F88" w:rsidRDefault="00143278" w:rsidP="00AA3AF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43278" w:rsidRPr="005212AB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  <w:r w:rsidRPr="005212AB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sz w:val="16"/>
                <w:szCs w:val="16"/>
              </w:rPr>
              <w:t>37%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43278" w:rsidRPr="00DC22F2" w:rsidRDefault="00143278" w:rsidP="00AA3A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22F2">
              <w:rPr>
                <w:rFonts w:ascii="Times New Roman" w:hAnsi="Times New Roman"/>
                <w:b/>
                <w:sz w:val="16"/>
                <w:szCs w:val="16"/>
              </w:rPr>
              <w:t>34%</w:t>
            </w:r>
          </w:p>
        </w:tc>
      </w:tr>
    </w:tbl>
    <w:p w:rsidR="00143278" w:rsidRDefault="00143278">
      <w:r w:rsidRPr="00837F09">
        <w:rPr>
          <w:rFonts w:ascii="Times New Roman" w:hAnsi="Times New Roman"/>
          <w:sz w:val="16"/>
          <w:szCs w:val="16"/>
        </w:rPr>
        <w:t>A grade of 2 points was allocated to each core indicator (C) fulﬁlled, 1 point for each supplementary indicator (S), and 0 points for any indicator not fulﬁlled. Thresholds set for quantitative indicators: 2.13 = 5 % of healthcare workers trained; 4.4 = 100 reports per million people; 5.3 = 100 per million people; 5.4 = at least 70 % of planned issues published National Malaria Control Programme (NMCP), Neglected Tropical Disease Control Programme (NTDCP), Expanded Programme for Immunisation (EPI), HIV/AIDS Control Programme, National Leprosy and Tuberculosis Control Programme(NLTCP), Reproductive and Child Health Programme(RCHP), Outcome indicator (O), process indicator (P), structural indicator (S).</w:t>
      </w:r>
    </w:p>
    <w:sectPr w:rsidR="00143278" w:rsidSect="00143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1E" w:rsidRDefault="0074401E" w:rsidP="00E043BE">
      <w:pPr>
        <w:spacing w:after="0" w:line="240" w:lineRule="auto"/>
      </w:pPr>
      <w:r>
        <w:separator/>
      </w:r>
    </w:p>
  </w:endnote>
  <w:endnote w:type="continuationSeparator" w:id="0">
    <w:p w:rsidR="0074401E" w:rsidRDefault="0074401E" w:rsidP="00E0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1E" w:rsidRDefault="0074401E" w:rsidP="00E043BE">
      <w:pPr>
        <w:spacing w:after="0" w:line="240" w:lineRule="auto"/>
      </w:pPr>
      <w:r>
        <w:separator/>
      </w:r>
    </w:p>
  </w:footnote>
  <w:footnote w:type="continuationSeparator" w:id="0">
    <w:p w:rsidR="0074401E" w:rsidRDefault="0074401E" w:rsidP="00E0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818"/>
    <w:multiLevelType w:val="hybridMultilevel"/>
    <w:tmpl w:val="6A34BA2C"/>
    <w:lvl w:ilvl="0" w:tplc="81DC4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43278"/>
    <w:rsid w:val="00143278"/>
    <w:rsid w:val="00367D47"/>
    <w:rsid w:val="00450EDA"/>
    <w:rsid w:val="00631505"/>
    <w:rsid w:val="0074401E"/>
    <w:rsid w:val="007A2300"/>
    <w:rsid w:val="00802FD4"/>
    <w:rsid w:val="0091765B"/>
    <w:rsid w:val="0094165B"/>
    <w:rsid w:val="00A70BB9"/>
    <w:rsid w:val="00AA3AF0"/>
    <w:rsid w:val="00CB4986"/>
    <w:rsid w:val="00DA1BB8"/>
    <w:rsid w:val="00E043BE"/>
    <w:rsid w:val="00F43100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432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BE"/>
  </w:style>
  <w:style w:type="paragraph" w:styleId="Footer">
    <w:name w:val="footer"/>
    <w:basedOn w:val="Normal"/>
    <w:link w:val="FooterChar"/>
    <w:uiPriority w:val="99"/>
    <w:unhideWhenUsed/>
    <w:rsid w:val="00E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432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BE"/>
  </w:style>
  <w:style w:type="paragraph" w:styleId="Footer">
    <w:name w:val="footer"/>
    <w:basedOn w:val="Normal"/>
    <w:link w:val="FooterChar"/>
    <w:uiPriority w:val="99"/>
    <w:unhideWhenUsed/>
    <w:rsid w:val="00E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2377</Words>
  <Characters>10963</Characters>
  <Application>Microsoft Office Word</Application>
  <DocSecurity>0</DocSecurity>
  <Lines>1096</Lines>
  <Paragraphs>889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Abiri</dc:creator>
  <cp:keywords/>
  <dc:description/>
  <cp:lastModifiedBy>AOMANGAY</cp:lastModifiedBy>
  <cp:revision>4</cp:revision>
  <dcterms:created xsi:type="dcterms:W3CDTF">2018-10-06T21:00:00Z</dcterms:created>
  <dcterms:modified xsi:type="dcterms:W3CDTF">2019-04-03T22:54:00Z</dcterms:modified>
</cp:coreProperties>
</file>