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1" w:rsidRDefault="00A15941"/>
    <w:p w:rsidR="001E3E33" w:rsidRDefault="001E3E33">
      <w:r w:rsidRPr="00164199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348EDFB5" wp14:editId="6828FA7E">
            <wp:extent cx="5486400" cy="6400800"/>
            <wp:effectExtent l="0" t="0" r="0" b="0"/>
            <wp:docPr id="20" name="Picture 20" descr="C:\Users\julian_p\AppData\Local\Microsoft\Windows\INetCache\Content.Word\FigS#_HLRPLR_Event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_p\AppData\Local\Microsoft\Windows\INetCache\Content.Word\FigS#_HLRPLR_Events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33" w:rsidRPr="00164199" w:rsidRDefault="001E3E33" w:rsidP="001E3E3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64199">
        <w:rPr>
          <w:rFonts w:ascii="Times New Roman" w:eastAsiaTheme="minorEastAsia" w:hAnsi="Times New Roman"/>
          <w:sz w:val="24"/>
          <w:szCs w:val="24"/>
        </w:rPr>
        <w:t>Fig</w:t>
      </w:r>
      <w:r w:rsidR="00E159F8">
        <w:rPr>
          <w:rFonts w:ascii="Times New Roman" w:eastAsiaTheme="minorEastAsia" w:hAnsi="Times New Roman"/>
          <w:sz w:val="24"/>
          <w:szCs w:val="24"/>
        </w:rPr>
        <w:t>ure</w:t>
      </w:r>
      <w:bookmarkStart w:id="0" w:name="_GoBack"/>
      <w:bookmarkEnd w:id="0"/>
      <w:r w:rsidRPr="00164199">
        <w:rPr>
          <w:rFonts w:ascii="Times New Roman" w:eastAsiaTheme="minorEastAsia" w:hAnsi="Times New Roman"/>
          <w:sz w:val="24"/>
          <w:szCs w:val="24"/>
        </w:rPr>
        <w:t xml:space="preserve"> S2. Hydrologic and Phosphorus loading rates (HLR and PLR, respectively) for the six flow events within flow-ways (FWs) 1 and 3 of Stormwater Treatment Area-2 between August 10</w:t>
      </w:r>
      <w:r w:rsidRPr="00164199">
        <w:rPr>
          <w:rFonts w:ascii="Times New Roman" w:eastAsiaTheme="minorEastAsia" w:hAnsi="Times New Roman"/>
          <w:sz w:val="24"/>
          <w:szCs w:val="24"/>
          <w:vertAlign w:val="superscript"/>
        </w:rPr>
        <w:t>th</w:t>
      </w:r>
      <w:r w:rsidRPr="00164199">
        <w:rPr>
          <w:rFonts w:ascii="Times New Roman" w:eastAsiaTheme="minorEastAsia" w:hAnsi="Times New Roman"/>
          <w:sz w:val="24"/>
          <w:szCs w:val="24"/>
        </w:rPr>
        <w:t>, 2015 and July 31</w:t>
      </w:r>
      <w:r w:rsidRPr="00164199">
        <w:rPr>
          <w:rFonts w:ascii="Times New Roman" w:eastAsiaTheme="minorEastAsia" w:hAnsi="Times New Roman"/>
          <w:sz w:val="24"/>
          <w:szCs w:val="24"/>
          <w:vertAlign w:val="superscript"/>
        </w:rPr>
        <w:t>st</w:t>
      </w:r>
      <w:r w:rsidRPr="00164199">
        <w:rPr>
          <w:rFonts w:ascii="Times New Roman" w:eastAsiaTheme="minorEastAsia" w:hAnsi="Times New Roman"/>
          <w:sz w:val="24"/>
          <w:szCs w:val="24"/>
        </w:rPr>
        <w:t>, 2017.</w:t>
      </w:r>
    </w:p>
    <w:p w:rsidR="001E3E33" w:rsidRDefault="001E3E33"/>
    <w:sectPr w:rsidR="001E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E3E33"/>
    <w:rsid w:val="00025AE6"/>
    <w:rsid w:val="001E3E33"/>
    <w:rsid w:val="0020318F"/>
    <w:rsid w:val="009729AC"/>
    <w:rsid w:val="00A15941"/>
    <w:rsid w:val="00E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ETINAMBACAN</cp:lastModifiedBy>
  <cp:revision>2</cp:revision>
  <dcterms:created xsi:type="dcterms:W3CDTF">2019-05-07T13:02:00Z</dcterms:created>
  <dcterms:modified xsi:type="dcterms:W3CDTF">2019-05-10T08:01:00Z</dcterms:modified>
</cp:coreProperties>
</file>