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E6" w:rsidRPr="00D86D31" w:rsidRDefault="009761E6" w:rsidP="009761E6">
      <w:pPr>
        <w:rPr>
          <w:rFonts w:ascii="Times" w:hAnsi="Times" w:cs="Times New Roman"/>
          <w:sz w:val="24"/>
          <w:szCs w:val="24"/>
        </w:rPr>
      </w:pPr>
      <w:proofErr w:type="gramStart"/>
      <w:r w:rsidRPr="00D86D31">
        <w:rPr>
          <w:rFonts w:ascii="Times" w:hAnsi="Times" w:cs="Times New Roman"/>
          <w:b/>
          <w:sz w:val="24"/>
          <w:szCs w:val="24"/>
        </w:rPr>
        <w:t>Additional file 5.</w:t>
      </w:r>
      <w:proofErr w:type="gramEnd"/>
      <w:r w:rsidRPr="00D86D31">
        <w:rPr>
          <w:rFonts w:ascii="Times" w:hAnsi="Times" w:cs="Times New Roman"/>
          <w:sz w:val="24"/>
          <w:szCs w:val="24"/>
        </w:rPr>
        <w:t xml:space="preserve"> Obs</w:t>
      </w:r>
      <w:bookmarkStart w:id="0" w:name="_GoBack"/>
      <w:bookmarkEnd w:id="0"/>
      <w:r w:rsidRPr="00D86D31">
        <w:rPr>
          <w:rFonts w:ascii="Times" w:hAnsi="Times" w:cs="Times New Roman"/>
          <w:sz w:val="24"/>
          <w:szCs w:val="24"/>
        </w:rPr>
        <w:t>erved relative risk (RR) measurements of cytokines based on single measurements</w:t>
      </w:r>
    </w:p>
    <w:p w:rsidR="009761E6" w:rsidRPr="00D86D31" w:rsidRDefault="009761E6" w:rsidP="009761E6">
      <w:pPr>
        <w:rPr>
          <w:rFonts w:ascii="Times" w:hAnsi="Times"/>
        </w:rPr>
      </w:pPr>
      <w:r w:rsidRPr="00D86D31">
        <w:rPr>
          <w:rFonts w:ascii="Times" w:hAnsi="Times"/>
          <w:noProof/>
        </w:rPr>
        <mc:AlternateContent>
          <mc:Choice Requires="wps">
            <w:drawing>
              <wp:anchor distT="0" distB="0" distL="114300" distR="114300" simplePos="0" relativeHeight="251659264" behindDoc="0" locked="0" layoutInCell="1" allowOverlap="1" wp14:anchorId="5E5EF58D" wp14:editId="7BFEFCF5">
                <wp:simplePos x="0" y="0"/>
                <wp:positionH relativeFrom="column">
                  <wp:posOffset>33986</wp:posOffset>
                </wp:positionH>
                <wp:positionV relativeFrom="paragraph">
                  <wp:posOffset>1159510</wp:posOffset>
                </wp:positionV>
                <wp:extent cx="310101" cy="222636"/>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1" cy="222636"/>
                        </a:xfrm>
                        <a:prstGeom prst="rect">
                          <a:avLst/>
                        </a:prstGeom>
                        <a:solidFill>
                          <a:srgbClr val="FFFFFF"/>
                        </a:solidFill>
                        <a:ln w="9525">
                          <a:noFill/>
                          <a:miter lim="800000"/>
                          <a:headEnd/>
                          <a:tailEnd/>
                        </a:ln>
                      </wps:spPr>
                      <wps:txbx>
                        <w:txbxContent>
                          <w:p w:rsidR="009761E6" w:rsidRPr="00AA3E07" w:rsidRDefault="009761E6" w:rsidP="009761E6">
                            <w:pPr>
                              <w:rPr>
                                <w:sz w:val="16"/>
                                <w:szCs w:val="16"/>
                                <w:lang w:val="de-DE"/>
                              </w:rPr>
                            </w:pPr>
                            <w:r w:rsidRPr="00AA3E07">
                              <w:rPr>
                                <w:sz w:val="16"/>
                                <w:szCs w:val="16"/>
                                <w:lang w:val="de-DE"/>
                              </w:rPr>
                              <w:t>RR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pt;margin-top:91.3pt;width:24.4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" stroked="f">
                <v:textbox>
                  <w:txbxContent>
                    <w:p w:rsidR="009761E6" w:rsidRPr="00AA3E07" w:rsidRDefault="009761E6" w:rsidP="009761E6">
                      <w:pPr>
                        <w:rPr>
                          <w:sz w:val="16"/>
                          <w:szCs w:val="16"/>
                          <w:lang w:val="de-DE"/>
                        </w:rPr>
                      </w:pPr>
                      <w:r w:rsidRPr="00AA3E07">
                        <w:rPr>
                          <w:sz w:val="16"/>
                          <w:szCs w:val="16"/>
                          <w:lang w:val="de-DE"/>
                        </w:rPr>
                        <w:t>RR</w:t>
                      </w:r>
                    </w:p>
                  </w:txbxContent>
                </v:textbox>
              </v:shape>
            </w:pict>
          </mc:Fallback>
        </mc:AlternateContent>
      </w:r>
      <w:r w:rsidRPr="00D86D31">
        <w:rPr>
          <w:rFonts w:ascii="Times" w:hAnsi="Times"/>
          <w:noProof/>
        </w:rPr>
        <w:drawing>
          <wp:inline distT="0" distB="0" distL="0" distR="0" wp14:anchorId="003B41F0" wp14:editId="7C5D3C1F">
            <wp:extent cx="9157313" cy="1765190"/>
            <wp:effectExtent l="0" t="0" r="635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245" cy="1768647"/>
                    </a:xfrm>
                    <a:prstGeom prst="rect">
                      <a:avLst/>
                    </a:prstGeom>
                    <a:noFill/>
                  </pic:spPr>
                </pic:pic>
              </a:graphicData>
            </a:graphic>
          </wp:inline>
        </w:drawing>
      </w:r>
    </w:p>
    <w:p w:rsidR="009761E6" w:rsidRDefault="009761E6" w:rsidP="009761E6">
      <w:pPr>
        <w:rPr>
          <w:rFonts w:ascii="Times" w:hAnsi="Times" w:cs="Times New Roman"/>
        </w:rPr>
      </w:pPr>
      <w:r w:rsidRPr="00D86D31">
        <w:rPr>
          <w:rFonts w:ascii="Times" w:hAnsi="Times" w:cs="Times New Roman"/>
          <w:lang w:val="en-GB"/>
        </w:rPr>
        <w:t xml:space="preserve">Abbreviations: </w:t>
      </w:r>
      <w:r w:rsidRPr="00D86D31">
        <w:rPr>
          <w:rFonts w:ascii="Times" w:hAnsi="Times" w:cs="Times New Roman"/>
        </w:rPr>
        <w:t xml:space="preserve">ICC, </w:t>
      </w:r>
      <w:proofErr w:type="spellStart"/>
      <w:r w:rsidRPr="00D86D31">
        <w:rPr>
          <w:rFonts w:ascii="Times" w:hAnsi="Times" w:cs="Times New Roman"/>
        </w:rPr>
        <w:t>intraclass</w:t>
      </w:r>
      <w:proofErr w:type="spellEnd"/>
      <w:r w:rsidRPr="00D86D31">
        <w:rPr>
          <w:rFonts w:ascii="Times" w:hAnsi="Times" w:cs="Times New Roman"/>
        </w:rPr>
        <w:t xml:space="preserve"> correlation coefficient; </w:t>
      </w:r>
      <w:r w:rsidRPr="00D86D31">
        <w:rPr>
          <w:rFonts w:ascii="Times" w:hAnsi="Times" w:cs="Times New Roman"/>
          <w:shd w:val="clear" w:color="auto" w:fill="FFFFFF"/>
        </w:rPr>
        <w:t>IL-1β</w:t>
      </w:r>
      <w:r w:rsidRPr="00D86D31">
        <w:rPr>
          <w:rFonts w:ascii="Times" w:hAnsi="Times" w:cs="Times New Roman"/>
        </w:rPr>
        <w:t>, interleukin-1beta; IL-2, interleukin 2; IL-4, interleukin 4; IL-8, interleukin 8; IL-10, interleukin 10; IL-12p70, interleukin 12p70; IL-13, interleukin 13; IFN-</w:t>
      </w:r>
      <w:r w:rsidRPr="00D86D31">
        <w:rPr>
          <w:rFonts w:ascii="Times" w:hAnsi="Times" w:cs="Times New Roman"/>
          <w:shd w:val="clear" w:color="auto" w:fill="FFFFFF"/>
        </w:rPr>
        <w:t>γ</w:t>
      </w:r>
      <w:r w:rsidRPr="00D86D31">
        <w:rPr>
          <w:rFonts w:ascii="Times" w:hAnsi="Times" w:cs="Times New Roman"/>
        </w:rPr>
        <w:t>, interferon gamma; IQR, interquartile range; TNF- α, tumor necrosis factor alpha; RR, relative risk.</w:t>
      </w:r>
    </w:p>
    <w:p w:rsidR="009761E6" w:rsidRDefault="009761E6" w:rsidP="009761E6">
      <w:pPr>
        <w:rPr>
          <w:rFonts w:ascii="Times" w:hAnsi="Times" w:cs="Times New Roman"/>
        </w:rPr>
      </w:pPr>
    </w:p>
    <w:p w:rsidR="009761E6" w:rsidRPr="00D86D31" w:rsidRDefault="009761E6" w:rsidP="009761E6">
      <w:pPr>
        <w:rPr>
          <w:rFonts w:ascii="Times" w:hAnsi="Times" w:cs="Times New Roman"/>
          <w:sz w:val="24"/>
          <w:szCs w:val="24"/>
          <w:lang w:val="en-GB"/>
        </w:rPr>
      </w:pPr>
      <w:r w:rsidRPr="00D86D31">
        <w:rPr>
          <w:rFonts w:ascii="Times" w:hAnsi="Times" w:cs="Times New Roman"/>
          <w:sz w:val="24"/>
          <w:szCs w:val="24"/>
        </w:rPr>
        <w:t xml:space="preserve">Bars </w:t>
      </w:r>
      <w:r w:rsidRPr="00A52CF9">
        <w:rPr>
          <w:rFonts w:ascii="Times" w:hAnsi="Times" w:cs="Times New Roman"/>
          <w:sz w:val="24"/>
          <w:szCs w:val="24"/>
        </w:rPr>
        <w:t>represent the observed RR based on single measurements calculated from a hypothetical true RR (1.5, 2.5, and 3.5) adjusted by the corresponding ICC for each cytokine. Discrepancies between observed and true RR are due to biological variability of the cytokine and the resulting attenuation of the exposure-outcome association. Darker shades in each bar signify observed association, brighter shades signify proportion of attenuated association through reduced reliability (based on formula</w:t>
      </w:r>
      <w:proofErr w:type="gramStart"/>
      <w:r w:rsidRPr="00A52CF9">
        <w:rPr>
          <w:rFonts w:ascii="Times" w:hAnsi="Times" w:cs="Times New Roman"/>
          <w:sz w:val="24"/>
          <w:szCs w:val="24"/>
        </w:rPr>
        <w:t xml:space="preserve">: </w:t>
      </w:r>
      <w:proofErr w:type="gramEnd"/>
      <m:oMath>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RR</m:t>
            </m:r>
          </m:e>
          <m:sub>
            <m:r>
              <w:rPr>
                <w:rFonts w:ascii="Cambria Math" w:hAnsi="Cambria Math" w:cs="Times New Roman"/>
                <w:sz w:val="24"/>
                <w:szCs w:val="24"/>
                <w:lang w:val="en-GB"/>
              </w:rPr>
              <m:t>true</m:t>
            </m:r>
          </m:sub>
        </m:sSub>
        <m:r>
          <w:rPr>
            <w:rFonts w:ascii="Cambria Math" w:hAnsi="Cambria Math" w:cs="Times New Roman"/>
            <w:sz w:val="24"/>
            <w:szCs w:val="24"/>
            <w:lang w:val="en-GB"/>
          </w:rPr>
          <m:t>=</m:t>
        </m:r>
        <m:sSup>
          <m:sSupPr>
            <m:ctrlPr>
              <w:rPr>
                <w:rFonts w:ascii="Cambria Math" w:hAnsi="Cambria Math" w:cs="Times New Roman"/>
                <w:i/>
                <w:iCs/>
                <w:sz w:val="24"/>
                <w:szCs w:val="24"/>
                <w:lang w:val="en-GB"/>
              </w:rPr>
            </m:ctrlPr>
          </m:sSupPr>
          <m:e>
            <m:r>
              <w:rPr>
                <w:rFonts w:ascii="Cambria Math" w:hAnsi="Cambria Math" w:cs="Times New Roman"/>
                <w:sz w:val="24"/>
                <w:szCs w:val="24"/>
                <w:lang w:val="en-GB"/>
              </w:rPr>
              <m:t>e</m:t>
            </m:r>
          </m:e>
          <m:sup>
            <m:r>
              <w:rPr>
                <w:rFonts w:ascii="Cambria Math" w:hAnsi="Cambria Math" w:cs="Times New Roman"/>
                <w:sz w:val="24"/>
                <w:szCs w:val="24"/>
                <w:lang w:val="en-GB"/>
              </w:rPr>
              <m:t>(</m:t>
            </m:r>
            <m:sSub>
              <m:sSubPr>
                <m:ctrlPr>
                  <w:rPr>
                    <w:rFonts w:ascii="Cambria Math" w:hAnsi="Cambria Math" w:cs="Times New Roman"/>
                    <w:i/>
                    <w:iCs/>
                    <w:sz w:val="24"/>
                    <w:szCs w:val="24"/>
                    <w:lang w:val="en-GB"/>
                  </w:rPr>
                </m:ctrlPr>
              </m:sSubPr>
              <m:e>
                <m:r>
                  <w:rPr>
                    <w:rFonts w:ascii="Cambria Math" w:hAnsi="Cambria Math" w:cs="Times New Roman"/>
                    <w:sz w:val="24"/>
                    <w:szCs w:val="24"/>
                    <w:lang w:val="en-GB"/>
                  </w:rPr>
                  <m:t>lnRR</m:t>
                </m:r>
              </m:e>
              <m:sub>
                <m:r>
                  <w:rPr>
                    <w:rFonts w:ascii="Cambria Math" w:hAnsi="Cambria Math" w:cs="Times New Roman"/>
                    <w:sz w:val="24"/>
                    <w:szCs w:val="24"/>
                    <w:lang w:val="en-GB"/>
                  </w:rPr>
                  <m:t>observed</m:t>
                </m:r>
              </m:sub>
            </m:sSub>
            <m:r>
              <w:rPr>
                <w:rFonts w:ascii="Cambria Math" w:hAnsi="Cambria Math" w:cs="Times New Roman"/>
                <w:sz w:val="24"/>
                <w:szCs w:val="24"/>
                <w:lang w:val="en-GB"/>
              </w:rPr>
              <m:t>*</m:t>
            </m:r>
            <m:f>
              <m:fPr>
                <m:ctrlPr>
                  <w:rPr>
                    <w:rFonts w:ascii="Cambria Math" w:hAnsi="Cambria Math" w:cs="Times New Roman"/>
                    <w:i/>
                    <w:iCs/>
                    <w:sz w:val="24"/>
                    <w:szCs w:val="24"/>
                    <w:lang w:val="en-GB"/>
                  </w:rPr>
                </m:ctrlPr>
              </m:fPr>
              <m:num>
                <m:r>
                  <w:rPr>
                    <w:rFonts w:ascii="Cambria Math" w:hAnsi="Cambria Math" w:cs="Times New Roman"/>
                    <w:sz w:val="24"/>
                    <w:szCs w:val="24"/>
                    <w:lang w:val="en-GB"/>
                  </w:rPr>
                  <m:t>1</m:t>
                </m:r>
              </m:num>
              <m:den>
                <m:r>
                  <w:rPr>
                    <w:rFonts w:ascii="Cambria Math" w:hAnsi="Cambria Math" w:cs="Times New Roman"/>
                    <w:sz w:val="24"/>
                    <w:szCs w:val="24"/>
                    <w:lang w:val="en-GB"/>
                  </w:rPr>
                  <m:t>ICC</m:t>
                </m:r>
              </m:den>
            </m:f>
            <m:r>
              <w:rPr>
                <w:rFonts w:ascii="Cambria Math" w:hAnsi="Cambria Math" w:cs="Times New Roman"/>
                <w:sz w:val="24"/>
                <w:szCs w:val="24"/>
                <w:lang w:val="en-GB"/>
              </w:rPr>
              <m:t>)</m:t>
            </m:r>
          </m:sup>
        </m:sSup>
      </m:oMath>
      <w:r w:rsidRPr="00A52CF9">
        <w:rPr>
          <w:rFonts w:ascii="Times" w:eastAsiaTheme="minorEastAsia" w:hAnsi="Times" w:cs="Times New Roman"/>
          <w:iCs/>
          <w:sz w:val="24"/>
          <w:szCs w:val="24"/>
          <w:lang w:val="en-GB"/>
        </w:rPr>
        <w:t>)</w:t>
      </w:r>
      <w:r w:rsidRPr="00A52CF9">
        <w:rPr>
          <w:rFonts w:ascii="Times" w:hAnsi="Times" w:cs="Times New Roman"/>
          <w:sz w:val="24"/>
          <w:szCs w:val="24"/>
          <w:lang w:val="en-GB"/>
        </w:rPr>
        <w:t>.</w:t>
      </w:r>
    </w:p>
    <w:p w:rsidR="00BC21DD" w:rsidRDefault="00BC21DD"/>
    <w:sectPr w:rsidR="00BC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E6"/>
    <w:rsid w:val="00030576"/>
    <w:rsid w:val="002A29A7"/>
    <w:rsid w:val="00481424"/>
    <w:rsid w:val="009761E6"/>
    <w:rsid w:val="00BA75DB"/>
    <w:rsid w:val="00BC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836</Characters>
  <Application>Microsoft Office Word</Application>
  <DocSecurity>0</DocSecurity>
  <Lines>119</Lines>
  <Paragraphs>76</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AENCILAY</dc:creator>
  <cp:lastModifiedBy>AENCILAY</cp:lastModifiedBy>
  <cp:revision>1</cp:revision>
  <dcterms:created xsi:type="dcterms:W3CDTF">2019-05-11T16:13:00Z</dcterms:created>
  <dcterms:modified xsi:type="dcterms:W3CDTF">2019-05-11T16:14:00Z</dcterms:modified>
</cp:coreProperties>
</file>