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CFBB" w14:textId="77777777" w:rsidR="00B93464" w:rsidRPr="002C418F" w:rsidRDefault="00B93464" w:rsidP="00B93464">
      <w:pPr>
        <w:pStyle w:val="Heading1"/>
        <w:rPr>
          <w:rFonts w:cs="Arial"/>
          <w:sz w:val="22"/>
          <w:szCs w:val="22"/>
        </w:rPr>
      </w:pPr>
      <w:r w:rsidRPr="002C418F">
        <w:rPr>
          <w:rFonts w:cs="Arial"/>
          <w:sz w:val="22"/>
          <w:szCs w:val="22"/>
        </w:rPr>
        <w:t>Appendix</w:t>
      </w:r>
    </w:p>
    <w:p w14:paraId="63DD2773" w14:textId="77777777" w:rsidR="00B93464" w:rsidRPr="002C418F" w:rsidRDefault="00B93464" w:rsidP="00B93464">
      <w:pPr>
        <w:pStyle w:val="Heading3"/>
        <w:rPr>
          <w:rFonts w:cs="Arial"/>
          <w:sz w:val="22"/>
          <w:szCs w:val="22"/>
        </w:rPr>
      </w:pPr>
      <w:r w:rsidRPr="002C418F">
        <w:rPr>
          <w:rFonts w:cs="Arial"/>
          <w:sz w:val="22"/>
          <w:szCs w:val="22"/>
        </w:rPr>
        <w:t>Definitions used in the present study and their explanations</w:t>
      </w:r>
    </w:p>
    <w:p w14:paraId="363F63FC" w14:textId="77777777" w:rsidR="00B93464" w:rsidRPr="002C418F" w:rsidRDefault="00B93464" w:rsidP="00B93464">
      <w:pPr>
        <w:rPr>
          <w:rFonts w:cs="Arial"/>
          <w:sz w:val="22"/>
          <w:szCs w:val="22"/>
          <w:lang w:val="en-US"/>
        </w:rPr>
      </w:pPr>
      <w:r w:rsidRPr="002C418F">
        <w:rPr>
          <w:rFonts w:eastAsia="Times New Roman" w:cs="Arial"/>
          <w:b/>
          <w:bCs/>
          <w:sz w:val="22"/>
          <w:szCs w:val="22"/>
        </w:rPr>
        <w:t xml:space="preserve">1. Setting </w:t>
      </w:r>
      <w:r w:rsidRPr="002C418F">
        <w:rPr>
          <w:rFonts w:cs="Arial"/>
          <w:sz w:val="22"/>
          <w:szCs w:val="22"/>
          <w:lang w:val="en-US"/>
        </w:rPr>
        <w:fldChar w:fldCharType="begin">
          <w:fldData xml:space="preserve">PEVuZE5vdGU+PENpdGU+PEF1dGhvcj5OSE1SQzwvQXV0aG9yPjxZZWFyPjIwMTA8L1llYXI+PFJl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</w:fldData>
        </w:fldChar>
      </w:r>
      <w:r w:rsidRPr="002C418F">
        <w:rPr>
          <w:rFonts w:cs="Arial"/>
          <w:sz w:val="22"/>
          <w:szCs w:val="22"/>
          <w:lang w:val="en-US"/>
        </w:rPr>
        <w:instrText xml:space="preserve"> ADDIN EN.CITE </w:instrText>
      </w:r>
      <w:r w:rsidRPr="002C418F">
        <w:rPr>
          <w:rFonts w:cs="Arial"/>
          <w:sz w:val="22"/>
          <w:szCs w:val="22"/>
          <w:lang w:val="en-US"/>
        </w:rPr>
        <w:fldChar w:fldCharType="begin">
          <w:fldData xml:space="preserve">PEVuZE5vdGU+PENpdGU+PEF1dGhvcj5OSE1SQzwvQXV0aG9yPjxZZWFyPjIwMTA8L1llYXI+PFJl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</w:fldData>
        </w:fldChar>
      </w:r>
      <w:r w:rsidRPr="002C418F">
        <w:rPr>
          <w:rFonts w:cs="Arial"/>
          <w:sz w:val="22"/>
          <w:szCs w:val="22"/>
          <w:lang w:val="en-US"/>
        </w:rPr>
        <w:instrText xml:space="preserve"> ADDIN EN.CITE.DATA </w:instrText>
      </w:r>
      <w:r w:rsidRPr="002C418F">
        <w:rPr>
          <w:rFonts w:cs="Arial"/>
          <w:sz w:val="22"/>
          <w:szCs w:val="22"/>
          <w:lang w:val="en-US"/>
        </w:rPr>
      </w:r>
      <w:r w:rsidRPr="002C418F">
        <w:rPr>
          <w:rFonts w:cs="Arial"/>
          <w:sz w:val="22"/>
          <w:szCs w:val="22"/>
          <w:lang w:val="en-US"/>
        </w:rPr>
        <w:fldChar w:fldCharType="end"/>
      </w:r>
      <w:r w:rsidRPr="002C418F">
        <w:rPr>
          <w:rFonts w:cs="Arial"/>
          <w:sz w:val="22"/>
          <w:szCs w:val="22"/>
          <w:lang w:val="en-US"/>
        </w:rPr>
      </w:r>
      <w:r w:rsidRPr="002C418F">
        <w:rPr>
          <w:rFonts w:cs="Arial"/>
          <w:sz w:val="22"/>
          <w:szCs w:val="22"/>
          <w:lang w:val="en-US"/>
        </w:rPr>
        <w:fldChar w:fldCharType="separate"/>
      </w:r>
      <w:r w:rsidRPr="002C418F">
        <w:rPr>
          <w:rFonts w:cs="Arial"/>
          <w:noProof/>
          <w:sz w:val="22"/>
          <w:szCs w:val="22"/>
          <w:lang w:val="en-US"/>
        </w:rPr>
        <w:t>(6, 36)</w:t>
      </w:r>
      <w:r w:rsidRPr="002C418F">
        <w:rPr>
          <w:rFonts w:cs="Arial"/>
          <w:sz w:val="22"/>
          <w:szCs w:val="22"/>
          <w:lang w:val="en-US"/>
        </w:rPr>
        <w:fldChar w:fldCharType="end"/>
      </w:r>
    </w:p>
    <w:p w14:paraId="38EB8207" w14:textId="77777777" w:rsidR="00B93464" w:rsidRPr="002C418F" w:rsidRDefault="00B93464" w:rsidP="00B93464">
      <w:pPr>
        <w:rPr>
          <w:rFonts w:cs="Arial"/>
          <w:sz w:val="22"/>
          <w:szCs w:val="22"/>
          <w:lang w:val="en-US"/>
        </w:rPr>
      </w:pPr>
      <w:r w:rsidRPr="002C418F">
        <w:rPr>
          <w:rFonts w:cs="Arial"/>
          <w:sz w:val="22"/>
          <w:szCs w:val="22"/>
          <w:lang w:val="en-US"/>
        </w:rPr>
        <w:t xml:space="preserve">Inpatient healthcare associated (IHCA) </w:t>
      </w:r>
      <w:proofErr w:type="spellStart"/>
      <w:r w:rsidRPr="002C418F">
        <w:rPr>
          <w:rFonts w:cs="Arial"/>
          <w:sz w:val="22"/>
          <w:szCs w:val="22"/>
          <w:lang w:val="en-US"/>
        </w:rPr>
        <w:t>candidaemia</w:t>
      </w:r>
      <w:proofErr w:type="spellEnd"/>
      <w:r w:rsidRPr="002C418F">
        <w:rPr>
          <w:rFonts w:cs="Arial"/>
          <w:sz w:val="22"/>
          <w:szCs w:val="22"/>
          <w:lang w:val="en-US"/>
        </w:rPr>
        <w:t>: episodes occurring &gt;48hours after hospital and not clinically manifest on admission</w:t>
      </w:r>
    </w:p>
    <w:p w14:paraId="3DE82B52" w14:textId="77777777" w:rsidR="00B93464" w:rsidRPr="002C418F" w:rsidRDefault="00B93464" w:rsidP="00B93464">
      <w:pPr>
        <w:rPr>
          <w:rFonts w:cs="Arial"/>
          <w:sz w:val="22"/>
          <w:szCs w:val="22"/>
          <w:lang w:val="en-US"/>
        </w:rPr>
      </w:pPr>
      <w:r w:rsidRPr="002C418F">
        <w:rPr>
          <w:rFonts w:cs="Arial"/>
          <w:sz w:val="22"/>
          <w:szCs w:val="22"/>
          <w:lang w:val="en-US"/>
        </w:rPr>
        <w:t xml:space="preserve">Outpatient healthcare associated (OHCA) </w:t>
      </w:r>
      <w:proofErr w:type="spellStart"/>
      <w:r w:rsidRPr="002C418F">
        <w:rPr>
          <w:rFonts w:cs="Arial"/>
          <w:sz w:val="22"/>
          <w:szCs w:val="22"/>
          <w:lang w:val="en-US"/>
        </w:rPr>
        <w:t>candidaemia</w:t>
      </w:r>
      <w:proofErr w:type="spellEnd"/>
      <w:r w:rsidRPr="002C418F">
        <w:rPr>
          <w:rFonts w:cs="Arial"/>
          <w:sz w:val="22"/>
          <w:szCs w:val="22"/>
          <w:lang w:val="en-US"/>
        </w:rPr>
        <w:t xml:space="preserve">: episodes manifest on admission or within 48hours but associated with a healthcare associated event e.g. antecedent surgery, placement of an indwelling medical device or </w:t>
      </w:r>
      <w:proofErr w:type="spellStart"/>
      <w:r w:rsidRPr="002C418F">
        <w:rPr>
          <w:rFonts w:cs="Arial"/>
          <w:sz w:val="22"/>
          <w:szCs w:val="22"/>
          <w:lang w:val="en-US"/>
        </w:rPr>
        <w:t>neutropaenia</w:t>
      </w:r>
      <w:proofErr w:type="spellEnd"/>
      <w:r w:rsidRPr="002C418F">
        <w:rPr>
          <w:rFonts w:cs="Arial"/>
          <w:sz w:val="22"/>
          <w:szCs w:val="22"/>
          <w:lang w:val="en-US"/>
        </w:rPr>
        <w:t xml:space="preserve"> (&lt;1.0x10</w:t>
      </w:r>
      <w:r w:rsidRPr="002C418F">
        <w:rPr>
          <w:rFonts w:cs="Arial"/>
          <w:sz w:val="22"/>
          <w:szCs w:val="22"/>
          <w:vertAlign w:val="superscript"/>
          <w:lang w:val="en-US"/>
        </w:rPr>
        <w:t>9</w:t>
      </w:r>
      <w:r w:rsidRPr="002C418F">
        <w:rPr>
          <w:rFonts w:cs="Arial"/>
          <w:sz w:val="22"/>
          <w:szCs w:val="22"/>
          <w:lang w:val="en-US"/>
        </w:rPr>
        <w:t xml:space="preserve">/L) after cytotoxic chemotherapy </w:t>
      </w:r>
    </w:p>
    <w:p w14:paraId="0ED2CE65" w14:textId="77777777" w:rsidR="00B93464" w:rsidRPr="002C418F" w:rsidRDefault="00B93464" w:rsidP="00B93464">
      <w:pPr>
        <w:rPr>
          <w:rFonts w:cs="Arial"/>
          <w:sz w:val="22"/>
          <w:szCs w:val="22"/>
          <w:lang w:val="en-US"/>
        </w:rPr>
      </w:pPr>
      <w:r w:rsidRPr="002C418F">
        <w:rPr>
          <w:rFonts w:cs="Arial"/>
          <w:sz w:val="22"/>
          <w:szCs w:val="22"/>
          <w:lang w:val="en-US"/>
        </w:rPr>
        <w:t xml:space="preserve">Community acquired (CA) </w:t>
      </w:r>
      <w:proofErr w:type="spellStart"/>
      <w:r w:rsidRPr="002C418F">
        <w:rPr>
          <w:rFonts w:cs="Arial"/>
          <w:sz w:val="22"/>
          <w:szCs w:val="22"/>
          <w:lang w:val="en-US"/>
        </w:rPr>
        <w:t>candidaemia</w:t>
      </w:r>
      <w:proofErr w:type="spellEnd"/>
      <w:r w:rsidRPr="002C418F">
        <w:rPr>
          <w:rFonts w:cs="Arial"/>
          <w:sz w:val="22"/>
          <w:szCs w:val="22"/>
          <w:lang w:val="en-US"/>
        </w:rPr>
        <w:t>: episodes manifest on admission or within 48hours and with no healthcare-related predisposing factors</w:t>
      </w:r>
    </w:p>
    <w:p w14:paraId="4844B7DB" w14:textId="77777777" w:rsidR="00B93464" w:rsidRPr="002C418F" w:rsidRDefault="00B93464" w:rsidP="00B93464">
      <w:pPr>
        <w:rPr>
          <w:rFonts w:cs="Arial"/>
          <w:sz w:val="22"/>
          <w:szCs w:val="22"/>
        </w:rPr>
      </w:pPr>
      <w:r w:rsidRPr="002C418F">
        <w:rPr>
          <w:rFonts w:cs="Arial"/>
          <w:b/>
          <w:bCs/>
          <w:sz w:val="22"/>
          <w:szCs w:val="22"/>
        </w:rPr>
        <w:t>2. Source of candidemia:</w:t>
      </w:r>
      <w:r w:rsidRPr="002C418F">
        <w:rPr>
          <w:rFonts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5803"/>
      </w:tblGrid>
      <w:tr w:rsidR="00B93464" w:rsidRPr="002C418F" w14:paraId="53F81012" w14:textId="77777777" w:rsidTr="00741C91">
        <w:tc>
          <w:tcPr>
            <w:tcW w:w="3397" w:type="dxa"/>
          </w:tcPr>
          <w:p w14:paraId="0F4E2B1F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>Assigned source</w:t>
            </w:r>
          </w:p>
        </w:tc>
        <w:tc>
          <w:tcPr>
            <w:tcW w:w="6333" w:type="dxa"/>
          </w:tcPr>
          <w:p w14:paraId="44D90094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>Criteria</w:t>
            </w:r>
          </w:p>
        </w:tc>
      </w:tr>
      <w:tr w:rsidR="00B93464" w:rsidRPr="002C418F" w14:paraId="174EA52C" w14:textId="77777777" w:rsidTr="00741C91">
        <w:tc>
          <w:tcPr>
            <w:tcW w:w="3397" w:type="dxa"/>
          </w:tcPr>
          <w:p w14:paraId="6E8D685D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>Intravascular</w:t>
            </w:r>
          </w:p>
        </w:tc>
        <w:tc>
          <w:tcPr>
            <w:tcW w:w="6333" w:type="dxa"/>
          </w:tcPr>
          <w:p w14:paraId="41E9B238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 xml:space="preserve">Same </w:t>
            </w:r>
            <w:r w:rsidRPr="002C418F">
              <w:rPr>
                <w:rFonts w:cs="Arial"/>
                <w:i/>
                <w:sz w:val="22"/>
                <w:szCs w:val="22"/>
              </w:rPr>
              <w:t xml:space="preserve">Candida </w:t>
            </w:r>
            <w:r w:rsidRPr="002C418F">
              <w:rPr>
                <w:rFonts w:cs="Arial"/>
                <w:sz w:val="22"/>
                <w:szCs w:val="22"/>
              </w:rPr>
              <w:t>species isolated from the tip of an intravascular device as that from blood culture</w:t>
            </w:r>
          </w:p>
          <w:p w14:paraId="3D66E0B1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>OR</w:t>
            </w:r>
          </w:p>
          <w:p w14:paraId="2EC6B1AE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>Physician-ascribed where indwelling intravascular device was the only likely source</w:t>
            </w:r>
          </w:p>
          <w:p w14:paraId="179B2FB6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>OR</w:t>
            </w:r>
          </w:p>
          <w:p w14:paraId="3782283E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2C418F">
              <w:rPr>
                <w:rFonts w:cs="Arial"/>
                <w:sz w:val="22"/>
                <w:szCs w:val="22"/>
              </w:rPr>
              <w:t>Candidaemia</w:t>
            </w:r>
            <w:proofErr w:type="spellEnd"/>
            <w:r w:rsidRPr="002C418F">
              <w:rPr>
                <w:rFonts w:cs="Arial"/>
                <w:sz w:val="22"/>
                <w:szCs w:val="22"/>
              </w:rPr>
              <w:t xml:space="preserve"> in the context of documented intravenous drug use as the only likely source</w:t>
            </w:r>
          </w:p>
        </w:tc>
      </w:tr>
      <w:tr w:rsidR="00B93464" w:rsidRPr="002C418F" w14:paraId="55A2BC28" w14:textId="77777777" w:rsidTr="00741C91">
        <w:tc>
          <w:tcPr>
            <w:tcW w:w="3397" w:type="dxa"/>
          </w:tcPr>
          <w:p w14:paraId="3F2349DF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Gastrointestinal</w:t>
            </w:r>
            <w:proofErr w:type="spellEnd"/>
          </w:p>
        </w:tc>
        <w:tc>
          <w:tcPr>
            <w:tcW w:w="6333" w:type="dxa"/>
          </w:tcPr>
          <w:p w14:paraId="47D5D564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Same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2C418F">
              <w:rPr>
                <w:rFonts w:cs="Arial"/>
                <w:i/>
                <w:sz w:val="22"/>
                <w:szCs w:val="22"/>
                <w:lang w:val="fr-FR"/>
              </w:rPr>
              <w:t>Candida</w:t>
            </w:r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species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identified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from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specimens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originating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from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gastrointestinal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or intra-abdominal source as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that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from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blood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culture</w:t>
            </w:r>
          </w:p>
          <w:p w14:paraId="71682DF3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  <w:lang w:val="fr-FR"/>
              </w:rPr>
            </w:pPr>
            <w:r w:rsidRPr="002C418F">
              <w:rPr>
                <w:rFonts w:cs="Arial"/>
                <w:sz w:val="22"/>
                <w:szCs w:val="22"/>
                <w:lang w:val="fr-FR"/>
              </w:rPr>
              <w:t>OR</w:t>
            </w:r>
          </w:p>
          <w:p w14:paraId="44B7AE33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  <w:lang w:val="fr-FR"/>
              </w:rPr>
            </w:pPr>
            <w:r w:rsidRPr="002C418F">
              <w:rPr>
                <w:rFonts w:cs="Arial"/>
                <w:sz w:val="22"/>
                <w:szCs w:val="22"/>
              </w:rPr>
              <w:t xml:space="preserve">Physician-ascribed where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documented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interventional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procedure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e.g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gastrointestinal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surgery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biliary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tract manipulation and no </w:t>
            </w:r>
            <w:proofErr w:type="spellStart"/>
            <w:r w:rsidRPr="002C418F">
              <w:rPr>
                <w:rFonts w:cs="Arial"/>
                <w:sz w:val="22"/>
                <w:szCs w:val="22"/>
                <w:lang w:val="fr-FR"/>
              </w:rPr>
              <w:t>other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2C418F">
              <w:rPr>
                <w:rFonts w:cs="Arial"/>
                <w:sz w:val="22"/>
                <w:szCs w:val="22"/>
                <w:lang w:val="fr-FR"/>
              </w:rPr>
              <w:t>likely</w:t>
            </w:r>
            <w:proofErr w:type="spellEnd"/>
            <w:r w:rsidRPr="002C418F">
              <w:rPr>
                <w:rFonts w:cs="Arial"/>
                <w:sz w:val="22"/>
                <w:szCs w:val="22"/>
                <w:lang w:val="fr-FR"/>
              </w:rPr>
              <w:t xml:space="preserve"> source</w:t>
            </w:r>
            <w:proofErr w:type="gramEnd"/>
          </w:p>
        </w:tc>
      </w:tr>
      <w:tr w:rsidR="00B93464" w:rsidRPr="002C418F" w14:paraId="07BEC687" w14:textId="77777777" w:rsidTr="00741C91">
        <w:tc>
          <w:tcPr>
            <w:tcW w:w="3397" w:type="dxa"/>
          </w:tcPr>
          <w:p w14:paraId="5F193E5E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>Urologic</w:t>
            </w:r>
          </w:p>
        </w:tc>
        <w:tc>
          <w:tcPr>
            <w:tcW w:w="6333" w:type="dxa"/>
          </w:tcPr>
          <w:p w14:paraId="2702A844" w14:textId="77777777" w:rsidR="00504D62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 xml:space="preserve">Same </w:t>
            </w:r>
            <w:r w:rsidRPr="002C418F">
              <w:rPr>
                <w:rFonts w:cs="Arial"/>
                <w:i/>
                <w:sz w:val="22"/>
                <w:szCs w:val="22"/>
              </w:rPr>
              <w:t>Candida</w:t>
            </w:r>
            <w:r w:rsidRPr="002C418F">
              <w:rPr>
                <w:rFonts w:cs="Arial"/>
                <w:sz w:val="22"/>
                <w:szCs w:val="22"/>
              </w:rPr>
              <w:t xml:space="preserve"> species isolated from urine as that from blood culture following antecedent urologic instrumentation </w:t>
            </w:r>
          </w:p>
          <w:p w14:paraId="2D1FACF6" w14:textId="77777777" w:rsidR="00504D62" w:rsidRDefault="00504D62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</w:t>
            </w:r>
          </w:p>
          <w:p w14:paraId="667A954E" w14:textId="7EF4E345" w:rsidR="00B93464" w:rsidRPr="002C418F" w:rsidRDefault="00504D62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B93464" w:rsidRPr="002C418F">
              <w:rPr>
                <w:rFonts w:cs="Arial"/>
                <w:sz w:val="22"/>
                <w:szCs w:val="22"/>
              </w:rPr>
              <w:t xml:space="preserve">urgery that clearly preceded </w:t>
            </w:r>
            <w:proofErr w:type="spellStart"/>
            <w:r w:rsidR="00B93464" w:rsidRPr="002C418F">
              <w:rPr>
                <w:rFonts w:cs="Arial"/>
                <w:sz w:val="22"/>
                <w:szCs w:val="22"/>
              </w:rPr>
              <w:t>candidaemia</w:t>
            </w:r>
            <w:proofErr w:type="spellEnd"/>
            <w:r w:rsidR="00B93464" w:rsidRPr="002C418F">
              <w:rPr>
                <w:rFonts w:cs="Arial"/>
                <w:sz w:val="22"/>
                <w:szCs w:val="22"/>
              </w:rPr>
              <w:t xml:space="preserve"> and no other </w:t>
            </w:r>
            <w:proofErr w:type="gramStart"/>
            <w:r w:rsidR="00B93464" w:rsidRPr="002C418F">
              <w:rPr>
                <w:rFonts w:cs="Arial"/>
                <w:sz w:val="22"/>
                <w:szCs w:val="22"/>
              </w:rPr>
              <w:t>likely source</w:t>
            </w:r>
            <w:proofErr w:type="gramEnd"/>
          </w:p>
        </w:tc>
      </w:tr>
      <w:tr w:rsidR="00B93464" w:rsidRPr="002C418F" w14:paraId="5887157D" w14:textId="77777777" w:rsidTr="00741C91">
        <w:tc>
          <w:tcPr>
            <w:tcW w:w="3397" w:type="dxa"/>
          </w:tcPr>
          <w:p w14:paraId="3CD2DFD1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>Unknown</w:t>
            </w:r>
          </w:p>
        </w:tc>
        <w:tc>
          <w:tcPr>
            <w:tcW w:w="6333" w:type="dxa"/>
          </w:tcPr>
          <w:p w14:paraId="00E1264D" w14:textId="77777777" w:rsidR="00B93464" w:rsidRPr="002C418F" w:rsidRDefault="00B93464" w:rsidP="00741C91">
            <w:pPr>
              <w:spacing w:line="240" w:lineRule="auto"/>
              <w:rPr>
                <w:rFonts w:cs="Arial"/>
                <w:sz w:val="22"/>
                <w:szCs w:val="22"/>
              </w:rPr>
            </w:pPr>
            <w:bookmarkStart w:id="0" w:name="_GoBack"/>
            <w:r w:rsidRPr="002C418F">
              <w:rPr>
                <w:rFonts w:cs="Arial"/>
                <w:sz w:val="22"/>
                <w:szCs w:val="22"/>
              </w:rPr>
              <w:t>Not attributable to an intravascular, gastrointestinal or urologic source</w:t>
            </w:r>
            <w:bookmarkEnd w:id="0"/>
          </w:p>
        </w:tc>
      </w:tr>
    </w:tbl>
    <w:p w14:paraId="51503B1F" w14:textId="77777777" w:rsidR="00B93464" w:rsidRPr="002C418F" w:rsidRDefault="00B93464" w:rsidP="00B93464">
      <w:pPr>
        <w:rPr>
          <w:rFonts w:cs="Arial"/>
          <w:sz w:val="22"/>
          <w:szCs w:val="22"/>
        </w:rPr>
      </w:pPr>
    </w:p>
    <w:p w14:paraId="0DF8E9FC" w14:textId="77777777" w:rsidR="00B93464" w:rsidRPr="002C418F" w:rsidRDefault="00B93464" w:rsidP="00B93464">
      <w:pPr>
        <w:rPr>
          <w:rFonts w:cs="Arial"/>
          <w:sz w:val="22"/>
          <w:szCs w:val="22"/>
        </w:rPr>
      </w:pPr>
      <w:r w:rsidRPr="002C418F">
        <w:rPr>
          <w:rFonts w:cs="Arial"/>
          <w:b/>
          <w:bCs/>
          <w:sz w:val="22"/>
          <w:szCs w:val="22"/>
        </w:rPr>
        <w:lastRenderedPageBreak/>
        <w:t>3. Patient comorbidity</w:t>
      </w:r>
      <w:r w:rsidRPr="002C418F">
        <w:rPr>
          <w:rFonts w:cs="Arial"/>
          <w:sz w:val="22"/>
          <w:szCs w:val="22"/>
        </w:rPr>
        <w:t xml:space="preserve">: These refer to underlying medical conditions present at the time of </w:t>
      </w:r>
      <w:proofErr w:type="spellStart"/>
      <w:r w:rsidRPr="002C418F">
        <w:rPr>
          <w:rFonts w:cs="Arial"/>
          <w:sz w:val="22"/>
          <w:szCs w:val="22"/>
        </w:rPr>
        <w:t>candidaemia</w:t>
      </w:r>
      <w:proofErr w:type="spellEnd"/>
    </w:p>
    <w:tbl>
      <w:tblPr>
        <w:tblW w:w="8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5575"/>
      </w:tblGrid>
      <w:tr w:rsidR="00B93464" w:rsidRPr="002C418F" w14:paraId="5816F6F4" w14:textId="77777777" w:rsidTr="00741C91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143B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Medical condition</w:t>
            </w:r>
          </w:p>
        </w:tc>
        <w:tc>
          <w:tcPr>
            <w:tcW w:w="55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5F14E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Definition</w:t>
            </w:r>
          </w:p>
        </w:tc>
      </w:tr>
      <w:tr w:rsidR="00B93464" w:rsidRPr="002C418F" w14:paraId="44A4204A" w14:textId="77777777" w:rsidTr="00741C91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CE2A2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Acute leukaemia  </w:t>
            </w:r>
          </w:p>
        </w:tc>
        <w:tc>
          <w:tcPr>
            <w:tcW w:w="55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F1B38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bookmarkStart w:id="1" w:name="OLE_LINK1"/>
            <w:bookmarkStart w:id="2" w:name="OLE_LINK2"/>
            <w:r w:rsidRPr="002C418F">
              <w:rPr>
                <w:rFonts w:eastAsia="Times New Roman" w:cs="Arial"/>
                <w:sz w:val="22"/>
                <w:szCs w:val="22"/>
              </w:rPr>
              <w:t>Acute lymphoproliferative malignancy with &gt;20% blasts in the peripheral blood or bone marrow</w:t>
            </w:r>
            <w:bookmarkEnd w:id="1"/>
            <w:bookmarkEnd w:id="2"/>
          </w:p>
        </w:tc>
      </w:tr>
      <w:tr w:rsidR="00B93464" w:rsidRPr="002C418F" w14:paraId="0EFBED02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794EA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Allogeneic SCT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8D3A2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Allogeneic stem cell transplant </w:t>
            </w:r>
          </w:p>
        </w:tc>
      </w:tr>
      <w:tr w:rsidR="00B93464" w:rsidRPr="002C418F" w14:paraId="10B7D8EE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022A4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Autologous SCT 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DE144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Autologous stem cell transplant </w:t>
            </w:r>
          </w:p>
        </w:tc>
      </w:tr>
      <w:tr w:rsidR="00B93464" w:rsidRPr="002C418F" w14:paraId="24A8D266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9D33C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Cardiovascular disease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9AE84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Severe congestive heart failure. Symptoms at rest/inability to carry on physical activity without discomfort </w:t>
            </w:r>
          </w:p>
        </w:tc>
      </w:tr>
      <w:tr w:rsidR="00B93464" w:rsidRPr="002C418F" w14:paraId="68EA7C0A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C61BA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Chronic leukaemia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E1222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Chronic lymphoproliferative malignancy with &gt;20% blasts in the peripheral blood or bone marrow</w:t>
            </w:r>
          </w:p>
        </w:tc>
      </w:tr>
      <w:tr w:rsidR="00B93464" w:rsidRPr="002C418F" w14:paraId="4919BAF7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575BC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Chronic organ dysfunction</w:t>
            </w:r>
          </w:p>
          <w:p w14:paraId="14A26891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5027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Renal disease, liver disease, cardiovascular disease or respiratory disease</w:t>
            </w:r>
          </w:p>
        </w:tc>
      </w:tr>
      <w:tr w:rsidR="00B93464" w:rsidRPr="002C418F" w14:paraId="2D9E4B84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6648D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Connective tissue  </w:t>
            </w:r>
          </w:p>
          <w:p w14:paraId="0AEC78BA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022A8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Autoimmune condition including systemic lupus erythematosus, rheumatoid arthritis, vasculitis  </w:t>
            </w:r>
          </w:p>
        </w:tc>
      </w:tr>
      <w:tr w:rsidR="00B93464" w:rsidRPr="002C418F" w14:paraId="15CB0E2C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3E18B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Diabetes mellitus 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05C1F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Elevated HbA1c &gt;6.5%</w:t>
            </w:r>
          </w:p>
        </w:tc>
      </w:tr>
      <w:tr w:rsidR="00B93464" w:rsidRPr="002C418F" w14:paraId="3F072BE5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9AB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2C418F">
              <w:rPr>
                <w:rFonts w:eastAsia="Times New Roman" w:cs="Arial"/>
                <w:sz w:val="22"/>
                <w:szCs w:val="22"/>
              </w:rPr>
              <w:t>Haematologic</w:t>
            </w:r>
            <w:proofErr w:type="spellEnd"/>
            <w:r w:rsidRPr="002C418F">
              <w:rPr>
                <w:rFonts w:eastAsia="Times New Roman" w:cs="Arial"/>
                <w:sz w:val="22"/>
                <w:szCs w:val="22"/>
              </w:rPr>
              <w:t xml:space="preserve"> malignancy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BCAFD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 xml:space="preserve">Any </w:t>
            </w:r>
            <w:proofErr w:type="spellStart"/>
            <w:r w:rsidRPr="002C418F">
              <w:rPr>
                <w:rFonts w:cs="Arial"/>
                <w:sz w:val="22"/>
                <w:szCs w:val="22"/>
              </w:rPr>
              <w:t>haematologic</w:t>
            </w:r>
            <w:proofErr w:type="spellEnd"/>
            <w:r w:rsidRPr="002C418F">
              <w:rPr>
                <w:rFonts w:cs="Arial"/>
                <w:sz w:val="22"/>
                <w:szCs w:val="22"/>
              </w:rPr>
              <w:t xml:space="preserve"> malignancy </w:t>
            </w:r>
          </w:p>
        </w:tc>
      </w:tr>
      <w:tr w:rsidR="00B93464" w:rsidRPr="002C418F" w14:paraId="5280A8FA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BBDD2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2C418F">
              <w:rPr>
                <w:rFonts w:eastAsia="Times New Roman" w:cs="Arial"/>
                <w:sz w:val="22"/>
                <w:szCs w:val="22"/>
              </w:rPr>
              <w:t>Haemotology</w:t>
            </w:r>
            <w:proofErr w:type="spellEnd"/>
            <w:r w:rsidRPr="002C418F">
              <w:rPr>
                <w:rFonts w:eastAsia="Times New Roman" w:cs="Arial"/>
                <w:sz w:val="22"/>
                <w:szCs w:val="22"/>
              </w:rPr>
              <w:t xml:space="preserve"> cancer other 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DDBA8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Haematological cancer other than acute leukaemia, chronic leukaemia, lymphoma </w:t>
            </w:r>
          </w:p>
        </w:tc>
      </w:tr>
      <w:tr w:rsidR="00B93464" w:rsidRPr="002C418F" w14:paraId="2B9744AA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F5CB5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HIV/AIDS 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45616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 xml:space="preserve">HIV confirmed by western blot, p24 antigen and/or HIV </w:t>
            </w:r>
            <w:proofErr w:type="spellStart"/>
            <w:r w:rsidRPr="002C418F">
              <w:rPr>
                <w:rFonts w:eastAsia="Times New Roman" w:cs="Arial"/>
                <w:sz w:val="22"/>
                <w:szCs w:val="22"/>
              </w:rPr>
              <w:t>proviral</w:t>
            </w:r>
            <w:proofErr w:type="spellEnd"/>
            <w:r w:rsidRPr="002C418F">
              <w:rPr>
                <w:rFonts w:eastAsia="Times New Roman" w:cs="Arial"/>
                <w:sz w:val="22"/>
                <w:szCs w:val="22"/>
              </w:rPr>
              <w:t xml:space="preserve"> DNA</w:t>
            </w:r>
          </w:p>
        </w:tc>
      </w:tr>
      <w:tr w:rsidR="00B93464" w:rsidRPr="002C418F" w14:paraId="5EAD4268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1E9D9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HSCT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51D99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cs="Arial"/>
                <w:sz w:val="22"/>
                <w:szCs w:val="22"/>
              </w:rPr>
              <w:t>Autologous or allogeneic SCT</w:t>
            </w:r>
          </w:p>
        </w:tc>
      </w:tr>
      <w:tr w:rsidR="00B93464" w:rsidRPr="002C418F" w14:paraId="333118DE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98917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Liver disease </w:t>
            </w:r>
          </w:p>
          <w:p w14:paraId="2F6D141E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997CC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Biopsy proven cirrhosis with portal hypertension and/or past upper GIT bleeding due to portal hypertension and/or prior episodes of hepatic failure/encephalopathy/coma </w:t>
            </w:r>
          </w:p>
        </w:tc>
      </w:tr>
      <w:tr w:rsidR="00B93464" w:rsidRPr="002C418F" w14:paraId="4785C9CB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3D97B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Lymphoma 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B45E9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Clonal lymphocytes</w:t>
            </w:r>
          </w:p>
        </w:tc>
      </w:tr>
      <w:tr w:rsidR="00B93464" w:rsidRPr="002C418F" w14:paraId="60FC1F3D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B5BE4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Renal disease</w:t>
            </w:r>
          </w:p>
          <w:p w14:paraId="4D21304A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66778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On chronic haemodialysis or peritoneal dialysis </w:t>
            </w:r>
          </w:p>
        </w:tc>
      </w:tr>
      <w:tr w:rsidR="00B93464" w:rsidRPr="002C418F" w14:paraId="013CE1DC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74D4A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Respiratory disease</w:t>
            </w:r>
          </w:p>
          <w:p w14:paraId="216CD977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F6BF1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Disease severely restricting exercise e.g. inability to climb stairs or do household duties and/or documented chronic respiratory hypoxia and/or pulmonary hypertension </w:t>
            </w:r>
          </w:p>
        </w:tc>
      </w:tr>
      <w:tr w:rsidR="00B93464" w:rsidRPr="002C418F" w14:paraId="40E38614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15837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Solid organ cancer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1FEAA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Active solid organ malignancy</w:t>
            </w:r>
          </w:p>
        </w:tc>
      </w:tr>
      <w:tr w:rsidR="00B93464" w:rsidRPr="002C418F" w14:paraId="1490B6D6" w14:textId="77777777" w:rsidTr="00741C91">
        <w:tc>
          <w:tcPr>
            <w:tcW w:w="251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39B85F1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Solid organ transplantation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06E5A73" w14:textId="77777777" w:rsidR="00B93464" w:rsidRPr="002C418F" w:rsidRDefault="00B93464" w:rsidP="00741C91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2C418F">
              <w:rPr>
                <w:rFonts w:eastAsia="Times New Roman" w:cs="Arial"/>
                <w:sz w:val="22"/>
                <w:szCs w:val="22"/>
              </w:rPr>
              <w:t>Renal, cardiac, lung, liver or pancreatic organ transplantation</w:t>
            </w:r>
          </w:p>
        </w:tc>
      </w:tr>
    </w:tbl>
    <w:p w14:paraId="0EC2E70B" w14:textId="77777777" w:rsidR="00B93464" w:rsidRPr="002C418F" w:rsidRDefault="00B93464" w:rsidP="00B93464">
      <w:pPr>
        <w:rPr>
          <w:rFonts w:eastAsia="Times New Roman" w:cs="Arial"/>
          <w:sz w:val="22"/>
          <w:szCs w:val="22"/>
        </w:rPr>
      </w:pPr>
      <w:r w:rsidRPr="002C418F">
        <w:rPr>
          <w:rFonts w:eastAsia="Times New Roman" w:cs="Arial"/>
          <w:sz w:val="22"/>
          <w:szCs w:val="22"/>
        </w:rPr>
        <w:t> </w:t>
      </w:r>
    </w:p>
    <w:p w14:paraId="6626466B" w14:textId="77777777" w:rsidR="00B93464" w:rsidRPr="002C418F" w:rsidRDefault="00B93464" w:rsidP="00B93464">
      <w:pPr>
        <w:rPr>
          <w:rFonts w:cs="Arial"/>
          <w:sz w:val="22"/>
          <w:szCs w:val="22"/>
        </w:rPr>
      </w:pPr>
      <w:r w:rsidRPr="002C418F">
        <w:rPr>
          <w:rFonts w:cs="Arial"/>
          <w:b/>
          <w:bCs/>
          <w:sz w:val="22"/>
          <w:szCs w:val="22"/>
        </w:rPr>
        <w:t>4. Predisposing factors</w:t>
      </w:r>
      <w:r w:rsidRPr="002C418F">
        <w:rPr>
          <w:rFonts w:cs="Arial"/>
          <w:sz w:val="22"/>
          <w:szCs w:val="22"/>
        </w:rPr>
        <w:t>: These refer to predisposing factors present at or within the last 30 days prior to candidemia. Factors sought for:</w:t>
      </w:r>
    </w:p>
    <w:p w14:paraId="65686444" w14:textId="77777777" w:rsidR="00B93464" w:rsidRPr="002C418F" w:rsidRDefault="00B93464" w:rsidP="00B93464">
      <w:pPr>
        <w:rPr>
          <w:rFonts w:cs="Arial"/>
          <w:sz w:val="22"/>
          <w:szCs w:val="22"/>
        </w:rPr>
      </w:pPr>
      <w:r w:rsidRPr="002C418F">
        <w:rPr>
          <w:rFonts w:cs="Arial"/>
          <w:sz w:val="22"/>
          <w:szCs w:val="22"/>
        </w:rPr>
        <w:t>Any major surgery (</w:t>
      </w:r>
      <w:proofErr w:type="spellStart"/>
      <w:r w:rsidRPr="002C418F">
        <w:rPr>
          <w:rFonts w:cs="Arial"/>
          <w:sz w:val="22"/>
          <w:szCs w:val="22"/>
        </w:rPr>
        <w:t>eg.</w:t>
      </w:r>
      <w:proofErr w:type="spellEnd"/>
      <w:r w:rsidRPr="002C418F">
        <w:rPr>
          <w:rFonts w:cs="Arial"/>
          <w:sz w:val="22"/>
          <w:szCs w:val="22"/>
        </w:rPr>
        <w:t xml:space="preserve"> hepatobiliary, gastrointestinal, urological </w:t>
      </w:r>
      <w:proofErr w:type="spellStart"/>
      <w:r w:rsidRPr="002C418F">
        <w:rPr>
          <w:rFonts w:cs="Arial"/>
          <w:sz w:val="22"/>
          <w:szCs w:val="22"/>
        </w:rPr>
        <w:t>produres</w:t>
      </w:r>
      <w:proofErr w:type="spellEnd"/>
      <w:r w:rsidRPr="002C418F">
        <w:rPr>
          <w:rFonts w:cs="Arial"/>
          <w:sz w:val="22"/>
          <w:szCs w:val="22"/>
        </w:rPr>
        <w:t xml:space="preserve">), Central venous access device (CVAD), indwelling urinary catheter or other urinary drainage device, intravenous drug use, receipt of total parenteral nutrition, haemodialysis, receipt of </w:t>
      </w:r>
      <w:r w:rsidRPr="002C418F">
        <w:rPr>
          <w:rFonts w:cs="Arial"/>
          <w:sz w:val="22"/>
          <w:szCs w:val="22"/>
        </w:rPr>
        <w:lastRenderedPageBreak/>
        <w:t xml:space="preserve">corticosteroids, other immunosuppressive therapy, cytotoxic chemotherapy, major trauma, receipt of </w:t>
      </w:r>
      <w:proofErr w:type="gramStart"/>
      <w:r w:rsidRPr="002C418F">
        <w:rPr>
          <w:rFonts w:cs="Arial"/>
          <w:sz w:val="22"/>
          <w:szCs w:val="22"/>
        </w:rPr>
        <w:t>broad spectrum</w:t>
      </w:r>
      <w:proofErr w:type="gramEnd"/>
      <w:r w:rsidRPr="002C418F">
        <w:rPr>
          <w:rFonts w:cs="Arial"/>
          <w:sz w:val="22"/>
          <w:szCs w:val="22"/>
        </w:rPr>
        <w:t xml:space="preserve"> antibiotic agents: any antibiotic agent prescribed for more than 2 days before onset of </w:t>
      </w:r>
      <w:proofErr w:type="spellStart"/>
      <w:r w:rsidRPr="002C418F">
        <w:rPr>
          <w:rFonts w:cs="Arial"/>
          <w:sz w:val="22"/>
          <w:szCs w:val="22"/>
        </w:rPr>
        <w:t>candiaemia</w:t>
      </w:r>
      <w:proofErr w:type="spellEnd"/>
    </w:p>
    <w:p w14:paraId="70DB6608" w14:textId="77777777" w:rsidR="00B93464" w:rsidRPr="002C418F" w:rsidRDefault="00B93464" w:rsidP="00B93464">
      <w:pPr>
        <w:rPr>
          <w:rFonts w:cs="Arial"/>
          <w:sz w:val="22"/>
          <w:szCs w:val="22"/>
        </w:rPr>
      </w:pPr>
      <w:r w:rsidRPr="002C418F">
        <w:rPr>
          <w:rFonts w:cs="Arial"/>
          <w:b/>
          <w:sz w:val="22"/>
          <w:szCs w:val="22"/>
        </w:rPr>
        <w:t>5. Prior antifungal use</w:t>
      </w:r>
      <w:r w:rsidRPr="002C418F">
        <w:rPr>
          <w:rFonts w:cs="Arial"/>
          <w:sz w:val="22"/>
          <w:szCs w:val="22"/>
        </w:rPr>
        <w:t xml:space="preserve">: Prophylactic antifungal therapy administered before onset of </w:t>
      </w:r>
      <w:proofErr w:type="spellStart"/>
      <w:r w:rsidRPr="002C418F">
        <w:rPr>
          <w:rFonts w:cs="Arial"/>
          <w:sz w:val="22"/>
          <w:szCs w:val="22"/>
        </w:rPr>
        <w:t>candidaemia</w:t>
      </w:r>
      <w:proofErr w:type="spellEnd"/>
      <w:r w:rsidRPr="002C418F">
        <w:rPr>
          <w:rFonts w:cs="Arial"/>
          <w:sz w:val="22"/>
          <w:szCs w:val="22"/>
        </w:rPr>
        <w:t xml:space="preserve">; excludes use of antifungal therapy for treatment of </w:t>
      </w:r>
      <w:proofErr w:type="spellStart"/>
      <w:r w:rsidRPr="002C418F">
        <w:rPr>
          <w:rFonts w:cs="Arial"/>
          <w:sz w:val="22"/>
          <w:szCs w:val="22"/>
        </w:rPr>
        <w:t>candidaemia</w:t>
      </w:r>
      <w:proofErr w:type="spellEnd"/>
    </w:p>
    <w:p w14:paraId="787ADFB2" w14:textId="77777777" w:rsidR="00465CB2" w:rsidRPr="002C418F" w:rsidRDefault="00465CB2">
      <w:pPr>
        <w:rPr>
          <w:rFonts w:cs="Arial"/>
          <w:sz w:val="22"/>
          <w:szCs w:val="22"/>
        </w:rPr>
      </w:pPr>
    </w:p>
    <w:sectPr w:rsidR="00465CB2" w:rsidRPr="002C418F" w:rsidSect="00621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64"/>
    <w:rsid w:val="00080BAA"/>
    <w:rsid w:val="001E6C80"/>
    <w:rsid w:val="002B53C5"/>
    <w:rsid w:val="002C418F"/>
    <w:rsid w:val="002C4845"/>
    <w:rsid w:val="00465CB2"/>
    <w:rsid w:val="00501609"/>
    <w:rsid w:val="00504D62"/>
    <w:rsid w:val="005B076D"/>
    <w:rsid w:val="006122ED"/>
    <w:rsid w:val="0062104A"/>
    <w:rsid w:val="006F1ABA"/>
    <w:rsid w:val="00870C31"/>
    <w:rsid w:val="00A819B9"/>
    <w:rsid w:val="00A83D90"/>
    <w:rsid w:val="00B93464"/>
    <w:rsid w:val="00D76276"/>
    <w:rsid w:val="00DF73AE"/>
    <w:rsid w:val="00E77DE2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27CC7"/>
  <w15:chartTrackingRefBased/>
  <w15:docId w15:val="{B53A9517-4CDF-0F42-B92F-22C6E0C8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464"/>
    <w:pPr>
      <w:spacing w:line="480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464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46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464"/>
    <w:rPr>
      <w:rFonts w:ascii="Arial" w:eastAsiaTheme="majorEastAsia" w:hAnsi="Arial" w:cstheme="majorBidi"/>
      <w:b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93464"/>
    <w:rPr>
      <w:rFonts w:ascii="Arial" w:eastAsiaTheme="majorEastAsia" w:hAnsi="Arial" w:cstheme="majorBidi"/>
      <w:b/>
      <w:bCs/>
    </w:rPr>
  </w:style>
  <w:style w:type="table" w:styleId="TableGrid">
    <w:name w:val="Table Grid"/>
    <w:basedOn w:val="TableNormal"/>
    <w:uiPriority w:val="59"/>
    <w:rsid w:val="00B9346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Keighley</dc:creator>
  <cp:keywords/>
  <dc:description/>
  <cp:lastModifiedBy>Microsoft Office User</cp:lastModifiedBy>
  <cp:revision>3</cp:revision>
  <dcterms:created xsi:type="dcterms:W3CDTF">2019-01-17T15:06:00Z</dcterms:created>
  <dcterms:modified xsi:type="dcterms:W3CDTF">2019-04-10T10:29:00Z</dcterms:modified>
</cp:coreProperties>
</file>