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9B" w:rsidRPr="00EB4CF0" w:rsidRDefault="00C83A9B" w:rsidP="00C83A9B">
      <w:pPr>
        <w:spacing w:before="120" w:after="240" w:line="48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Additional table 1</w:t>
      </w:r>
      <w:r w:rsidRPr="00EB4CF0">
        <w:rPr>
          <w:rFonts w:ascii="Arial" w:eastAsia="Times New Roman" w:hAnsi="Arial" w:cs="Arial"/>
          <w:bCs/>
          <w:sz w:val="20"/>
          <w:szCs w:val="20"/>
          <w:lang w:eastAsia="de-DE"/>
        </w:rPr>
        <w:t>: Measurement instruments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541"/>
        <w:gridCol w:w="2126"/>
        <w:gridCol w:w="4814"/>
      </w:tblGrid>
      <w:tr w:rsidR="00C83A9B" w:rsidRPr="00EB4CF0" w:rsidTr="00797949">
        <w:trPr>
          <w:trHeight w:val="20"/>
          <w:tblHeader/>
        </w:trPr>
        <w:tc>
          <w:tcPr>
            <w:tcW w:w="321" w:type="pct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/>
                <w:sz w:val="16"/>
                <w:szCs w:val="16"/>
              </w:rPr>
            </w:pPr>
          </w:p>
        </w:tc>
        <w:tc>
          <w:tcPr>
            <w:tcW w:w="850" w:type="pct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/>
                <w:sz w:val="16"/>
                <w:szCs w:val="16"/>
              </w:rPr>
              <w:t>Variables</w:t>
            </w:r>
          </w:p>
        </w:tc>
        <w:tc>
          <w:tcPr>
            <w:tcW w:w="1173" w:type="pct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/>
                <w:sz w:val="16"/>
                <w:szCs w:val="16"/>
              </w:rPr>
              <w:t>Instrument</w:t>
            </w:r>
          </w:p>
        </w:tc>
        <w:tc>
          <w:tcPr>
            <w:tcW w:w="2656" w:type="pct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/>
                <w:sz w:val="16"/>
                <w:szCs w:val="16"/>
              </w:rPr>
              <w:t>Description</w:t>
            </w:r>
          </w:p>
        </w:tc>
      </w:tr>
      <w:tr w:rsidR="00C83A9B" w:rsidRPr="00EB4CF0" w:rsidTr="00797949">
        <w:trPr>
          <w:trHeight w:val="20"/>
        </w:trPr>
        <w:tc>
          <w:tcPr>
            <w:tcW w:w="321" w:type="pct"/>
            <w:vMerge w:val="restart"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/>
                <w:sz w:val="16"/>
                <w:szCs w:val="16"/>
              </w:rPr>
              <w:t>Primary outcome</w:t>
            </w: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Physical activity (overall)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Accelerometers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proofErr w:type="spell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ActiGraph</w:t>
            </w:r>
            <w:proofErr w:type="spell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wGT3X-BT</w:t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Girls wear the accelerometers placed on their waists with an elastic waistband for seven consecutive days. They </w:t>
            </w:r>
            <w:proofErr w:type="gramStart"/>
            <w:r>
              <w:rPr>
                <w:rFonts w:ascii="Arial" w:eastAsia="PMingLiU" w:hAnsi="Arial" w:cs="Arial"/>
                <w:bCs/>
                <w:sz w:val="16"/>
                <w:szCs w:val="16"/>
              </w:rPr>
              <w:t>are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asked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to wear the monitor whenever awake, except during water-based activities.</w:t>
            </w:r>
          </w:p>
        </w:tc>
      </w:tr>
      <w:tr w:rsidR="00C83A9B" w:rsidRPr="00EB4CF0" w:rsidTr="00797949">
        <w:trPr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Physical activity (during PE)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System for Observing Fitness Instruction Time (SOFIT)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de-DE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&lt;EndNote&gt;&lt;Cite&gt;&lt;Author&gt;McKenzie&lt;/Author&gt;&lt;Year&gt;2015&lt;/Year&gt;&lt;RecNum&gt;20947&lt;/RecNum&gt;&lt;DisplayText&gt;(36)&lt;/DisplayText&gt;&lt;record&gt;&lt;rec-number&gt;20947&lt;/rec-number&gt;&lt;foreign-keys&gt;&lt;key app="EN" db-id="tz2xevaf5ftefiefewrp2svq0veeer0de20r" timestamp="1437570772"&gt;20947&lt;/key&gt;&lt;/foreign-keys&gt;&lt;ref-type name="Journal Article"&gt;17&lt;/ref-type&gt;&lt;contributors&gt;&lt;authors&gt;&lt;author&gt;McKenzie, Thomas L.&lt;/author&gt;&lt;author&gt;van der Mars, Hans&lt;/author&gt;&lt;/authors&gt;&lt;/contributors&gt;&lt;titles&gt;&lt;title&gt;Top 10 Research Questions Related to Assessing Physical Activity and Its Contexts Using Systematic Observation&lt;/title&gt;&lt;secondary-title&gt;Research quarterly for exercise and sport&lt;/secondary-title&gt;&lt;/titles&gt;&lt;periodical&gt;&lt;full-title&gt;Research Quarterly for Exercise and Sport&lt;/full-title&gt;&lt;abbr-1&gt;Res Q Exerc Sport&lt;/abbr-1&gt;&lt;/periodical&gt;&lt;pages&gt;13-29&lt;/pages&gt;&lt;volume&gt;86&lt;/volume&gt;&lt;number&gt;1&lt;/number&gt;&lt;dates&gt;&lt;year&gt;2015&lt;/year&gt;&lt;/dates&gt;&lt;isbn&gt;0270-1367&lt;/isbn&gt;&lt;urls&gt;&lt;related-urls&gt;&lt;url&gt;http://www.tandfonline.com/doi/abs/10.1080/02701367.2015.991264?url_ver=Z39.88-2003&amp;amp;rfr_id=ori:rid:crossref.org&amp;amp;rfr_dat=cr_pub%3dpubmed&lt;/url&gt;&lt;/related-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(36)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The SOFIT tool assesses data on student activity levels during PE (MVPA (moderate-to-vigorous physical activity); VPA (vigorous physical activity); lying down, sitting, standing, and walking), the lesson context, and teacher behaviour.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 w:val="restart"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i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/>
                <w:bCs/>
                <w:i/>
                <w:sz w:val="16"/>
                <w:szCs w:val="16"/>
              </w:rPr>
              <w:t>Mediators</w:t>
            </w: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Need satisfaction: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Autonomy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Competence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Relatedness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Basic Psychological Needs Scale (BPNS) 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&lt;EndNote&gt;&lt;Cite&gt;&lt;Author&gt;Chen&lt;/Author&gt;&lt;Year&gt;2015&lt;/Year&gt;&lt;RecNum&gt;21130&lt;/RecNum&gt;&lt;DisplayText&gt;(37)&lt;/DisplayText&gt;&lt;record&gt;&lt;rec-number&gt;21130&lt;/rec-number&gt;&lt;foreign-keys&gt;&lt;key app="EN" db-id="tz2xevaf5ftefiefewrp2svq0veeer0de20r" timestamp="1464085050"&gt;21130&lt;/key&gt;&lt;/foreign-keys&gt;&lt;ref-type name="Journal Article"&gt;17&lt;/ref-type&gt;&lt;contributors&gt;&lt;authors&gt;&lt;author&gt;Chen, Beiwen&lt;/author&gt;&lt;author&gt;Vansteenkiste, Maarten&lt;/author&gt;&lt;author&gt;Beyers, Wim&lt;/author&gt;&lt;author&gt;Boone, Liesbet&lt;/author&gt;&lt;author&gt;Deci, Edward L&lt;/author&gt;&lt;author&gt;Van der Kaap-Deeder, Jolene&lt;/author&gt;&lt;author&gt;Duriez, Bart&lt;/author&gt;&lt;author&gt;Lens, Willy&lt;/author&gt;&lt;author&gt;Matos, Lennia&lt;/author&gt;&lt;author&gt;Mouratidis, Athanasios&lt;/author&gt;&lt;/authors&gt;&lt;/contributors&gt;&lt;titles&gt;&lt;title&gt;Basic psychological need satisfaction, need frustration, and need strength across four cultures&lt;/title&gt;&lt;secondary-title&gt;Motivation and Emotion&lt;/secondary-title&gt;&lt;/titles&gt;&lt;periodical&gt;&lt;full-title&gt;Motivation and Emotion&lt;/full-title&gt;&lt;abbr-1&gt;Motiv Emot&lt;/abbr-1&gt;&lt;abbr-2&gt;Motiv Emot&lt;/abbr-2&gt;&lt;/periodical&gt;&lt;pages&gt;216-236&lt;/pages&gt;&lt;volume&gt;39&lt;/volume&gt;&lt;number&gt;2&lt;/number&gt;&lt;dates&gt;&lt;year&gt;2015&lt;/year&gt;&lt;/dates&gt;&lt;isbn&gt;0146-7239&lt;/isbn&gt;&lt;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(37)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The Basic Psychological Needs Scale (Chen et al., 2015) measures the general satisfaction and frustration of the three constructs autonomy, competence and relatedness with 24 items on a 5-point Likert scale. The 12 satisfaction items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were translated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, adapted to the context of physical activity and pilot tested.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Self-efficacy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Social-cognitive measures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&lt;EndNote&gt;&lt;Cite&gt;&lt;Author&gt;Dishman&lt;/Author&gt;&lt;Year&gt;2009&lt;/Year&gt;&lt;RecNum&gt;20995&lt;/RecNum&gt;&lt;DisplayText&gt;(38)&lt;/DisplayText&gt;&lt;record&gt;&lt;rec-number&gt;20995&lt;/rec-number&gt;&lt;foreign-keys&gt;&lt;key app="EN" db-id="tz2xevaf5ftefiefewrp2svq0veeer0de20r" timestamp="1447942862"&gt;20995&lt;/key&gt;&lt;/foreign-keys&gt;&lt;ref-type name="Journal Article"&gt;17&lt;/ref-type&gt;&lt;contributors&gt;&lt;authors&gt;&lt;author&gt;Dishman, Rod K.&lt;/author&gt;&lt;author&gt;Hales, Derek P&lt;/author&gt;&lt;author&gt;Sallis, James F&lt;/author&gt;&lt;author&gt;Saunders, Ruth&lt;/author&gt;&lt;author&gt;Dunn, Andrea L&lt;/author&gt;&lt;author&gt;Bedimo-Rung, Ariane L&lt;/author&gt;&lt;author&gt;Ring, Kimberly B&lt;/author&gt;&lt;/authors&gt;&lt;/contributors&gt;&lt;titles&gt;&lt;title&gt;Validity of social-cognitive measures for physical activity in middle-school girls&lt;/title&gt;&lt;secondary-title&gt;Journal of pediatric psychology&lt;/secondary-title&gt;&lt;/titles&gt;&lt;periodical&gt;&lt;full-title&gt;Journal of Pediatric Psychology&lt;/full-title&gt;&lt;abbr-1&gt;J. Pediatr. Psychol.&lt;/abbr-1&gt;&lt;abbr-2&gt;J Pediatr Psychol&lt;/abbr-2&gt;&lt;/periodical&gt;&lt;pages&gt;jsp031&lt;/pages&gt;&lt;dates&gt;&lt;year&gt;2009&lt;/year&gt;&lt;/dates&gt;&lt;isbn&gt;0146-8693&lt;/isbn&gt;&lt;urls&gt;&lt;/urls&gt;&lt;/record&gt;&lt;/Cite&gt;&lt;/EndNote&gt;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(38)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Self-efficacy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is measured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using an eight-item questionnaire validated with a sample of sixth and eighth grade girls. A German version was pilot tested with sixth grade students in Germany. A 5-point Likert-type response format is used.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Social support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Social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cognitive measures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&lt;EndNote&gt;&lt;Cite&gt;&lt;Author&gt;Dishman&lt;/Author&gt;&lt;Year&gt;2009&lt;/Year&gt;&lt;RecNum&gt;20995&lt;/RecNum&gt;&lt;DisplayText&gt;(38)&lt;/DisplayText&gt;&lt;record&gt;&lt;rec-number&gt;20995&lt;/rec-number&gt;&lt;foreign-keys&gt;&lt;key app="EN" db-id="tz2xevaf5ftefiefewrp2svq0veeer0de20r" timestamp="1447942862"&gt;20995&lt;/key&gt;&lt;/foreign-keys&gt;&lt;ref-type name="Journal Article"&gt;17&lt;/ref-type&gt;&lt;contributors&gt;&lt;authors&gt;&lt;author&gt;Dishman, Rod K.&lt;/author&gt;&lt;author&gt;Hales, Derek P&lt;/author&gt;&lt;author&gt;Sallis, James F&lt;/author&gt;&lt;author&gt;Saunders, Ruth&lt;/author&gt;&lt;author&gt;Dunn, Andrea L&lt;/author&gt;&lt;author&gt;Bedimo-Rung, Ariane L&lt;/author&gt;&lt;author&gt;Ring, Kimberly B&lt;/author&gt;&lt;/authors&gt;&lt;/contributors&gt;&lt;titles&gt;&lt;title&gt;Validity of social-cognitive measures for physical activity in middle-school girls&lt;/title&gt;&lt;secondary-title&gt;Journal of pediatric psychology&lt;/secondary-title&gt;&lt;/titles&gt;&lt;periodical&gt;&lt;full-title&gt;Journal of Pediatric Psychology&lt;/full-title&gt;&lt;abbr-1&gt;J. Pediatr. Psychol.&lt;/abbr-1&gt;&lt;abbr-2&gt;J Pediatr Psychol&lt;/abbr-2&gt;&lt;/periodical&gt;&lt;pages&gt;jsp031&lt;/pages&gt;&lt;dates&gt;&lt;year&gt;2009&lt;/year&gt;&lt;/dates&gt;&lt;isbn&gt;0146-8693&lt;/isbn&gt;&lt;urls&gt;&lt;/urls&gt;&lt;/record&gt;&lt;/Cite&gt;&lt;/EndNote&gt;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(38)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Social support by family (4 items) and friends (3 items)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is measured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with two subscales validated with a sample of sixth and eighth grade girls. A 5-point Likert-type response format is used. After translating the items into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German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they were pilot tested with sixth grade students. 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C83A9B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Behavioural regulation in exercise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Intrinsic motivation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Behavioural Regulation in Exercise Questionnaire-2 (BREQ-2)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&lt;EndNote&gt;&lt;Cite&gt;&lt;Author&gt;Markland&lt;/Author&gt;&lt;Year&gt;2004&lt;/Year&gt;&lt;RecNum&gt;21052&lt;/RecNum&gt;&lt;DisplayText&gt;(39)&lt;/DisplayText&gt;&lt;record&gt;&lt;rec-number&gt;21052&lt;/rec-number&gt;&lt;foreign-keys&gt;&lt;key app="EN" db-id="tz2xevaf5ftefiefewrp2svq0veeer0de20r" timestamp="1454317925"&gt;21052&lt;/key&gt;&lt;/foreign-keys&gt;&lt;ref-type name="Journal Article"&gt;17&lt;/ref-type&gt;&lt;contributors&gt;&lt;authors&gt;&lt;author&gt;Markland, David&lt;/author&gt;&lt;author&gt;Tobin, Vannessa&lt;/author&gt;&lt;/authors&gt;&lt;/contributors&gt;&lt;titles&gt;&lt;title&gt;A Modification to the Behavioural Regulation in Exercise Questionnaire to Include an Assessment of Amotivation&lt;/title&gt;&lt;secondary-title&gt;Journal of Sport and Exercise Psychology&lt;/secondary-title&gt;&lt;/titles&gt;&lt;periodical&gt;&lt;full-title&gt;Journal of Sport and Exercise Psychology&lt;/full-title&gt;&lt;abbr-1&gt;J Sport Exerc Psychol&lt;/abbr-1&gt;&lt;abbr-2&gt;J Sport Exerc Psychol&lt;/abbr-2&gt;&lt;/periodical&gt;&lt;pages&gt;191-196&lt;/pages&gt;&lt;volume&gt;26&lt;/volume&gt;&lt;number&gt;2&lt;/number&gt;&lt;keywords&gt;&lt;keyword&gt;*MOTIVATION (Psychology)&lt;/keyword&gt;&lt;keyword&gt;AUTONOMY (Psychology)&lt;/keyword&gt;&lt;keyword&gt;HUMAN behavior&lt;/keyword&gt;&lt;keyword&gt;FACTOR analysis&lt;/keyword&gt;&lt;keyword&gt;INTROJECTION&lt;/keyword&gt;&lt;keyword&gt;DEFENSE mechanisms (Psychology)&lt;/keyword&gt;&lt;keyword&gt;exercise motivation&lt;/keyword&gt;&lt;keyword&gt;measurement&lt;/keyword&gt;&lt;keyword&gt;self-determination theory&lt;/keyword&gt;&lt;/keywords&gt;&lt;dates&gt;&lt;year&gt;2004&lt;/year&gt;&lt;/dates&gt;&lt;isbn&gt;08952779&lt;/isbn&gt;&lt;accession-num&gt;13468401&lt;/accession-num&gt;&lt;urls&gt;&lt;related-urls&gt;&lt;url&gt;&lt;style face="underline" font="default" size="100%"&gt;http://search.ebscohost.com/login.aspx?direct=true&amp;amp;db=sph&amp;amp;AN=13468401&amp;amp;site=ehost-live&lt;/style&gt;&lt;/url&gt;&lt;/related-urls&gt;&lt;/urls&gt;&lt;remote-database-name&gt;sph&lt;/remote-database-name&gt;&lt;remote-database-provider&gt;EBSCOhost&lt;/remote-database-provider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(39)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highlight w:val="yellow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BREQ-2 assesses the behavioural regulation in exercise with five subscales: intrinsic motivation (4 items), </w:t>
            </w:r>
            <w:proofErr w:type="spell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amotivation</w:t>
            </w:r>
            <w:proofErr w:type="spell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(4 items), external regulation (4 items), </w:t>
            </w:r>
            <w:proofErr w:type="spell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introjected</w:t>
            </w:r>
            <w:proofErr w:type="spell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regulation (3 items) and identified regulation (4 items). The scales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were translated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and pilot tested with sixth grade students in Germany. Responses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are provided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on a 5-point Likert-type scale.</w:t>
            </w:r>
          </w:p>
        </w:tc>
      </w:tr>
      <w:tr w:rsidR="00C83A9B" w:rsidRPr="00EB4CF0" w:rsidTr="00797949">
        <w:trPr>
          <w:cantSplit/>
          <w:trHeight w:val="60"/>
        </w:trPr>
        <w:tc>
          <w:tcPr>
            <w:tcW w:w="321" w:type="pct"/>
            <w:vMerge w:val="restart"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i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/>
                <w:bCs/>
                <w:i/>
                <w:sz w:val="16"/>
                <w:szCs w:val="16"/>
              </w:rPr>
              <w:t>Moderators</w:t>
            </w: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Socio-economic status 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International Socio-Economic Index of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br/>
              <w:t xml:space="preserve">Occupational Status-08 (ISEI-08)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&lt;EndNote&gt;&lt;Cite&gt;&lt;Author&gt;Ganzeboom&lt;/Author&gt;&lt;Year&gt;2010&lt;/Year&gt;&lt;RecNum&gt;21221&lt;/RecNum&gt;&lt;DisplayText&gt;(40)&lt;/DisplayText&gt;&lt;record&gt;&lt;rec-number&gt;21221&lt;/rec-number&gt;&lt;foreign-keys&gt;&lt;key app="EN" db-id="tz2xevaf5ftefiefewrp2svq0veeer0de20r" timestamp="1468822790"&gt;21221&lt;/key&gt;&lt;/foreign-keys&gt;&lt;ref-type name="Conference Proceedings"&gt;10&lt;/ref-type&gt;&lt;contributors&gt;&lt;authors&gt;&lt;author&gt;Ganzeboom, Harry BG&lt;/author&gt;&lt;/authors&gt;&lt;/contributors&gt;&lt;titles&gt;&lt;title&gt;A new International Socio-Economic Index (ISEI) of occupational status for the International Standard Classification of Occupation 2008 (ISCO-08) constructed with data from the ISSP 2002-2007&lt;/title&gt;&lt;secondary-title&gt;Annual Conference of International Social Survey Programme, Lisbon&lt;/secondary-title&gt;&lt;/titles&gt;&lt;volume&gt;1&lt;/volume&gt;&lt;dates&gt;&lt;year&gt;2010&lt;/year&gt;&lt;/dates&gt;&lt;urls&gt;&lt;/urls&gt;&lt;/record&gt;&lt;/Cite&gt;&lt;/EndNote&gt;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(40)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The girls </w:t>
            </w:r>
            <w:proofErr w:type="gramStart"/>
            <w:r>
              <w:rPr>
                <w:rFonts w:ascii="Arial" w:eastAsia="PMingLiU" w:hAnsi="Arial" w:cs="Arial"/>
                <w:bCs/>
                <w:sz w:val="16"/>
                <w:szCs w:val="16"/>
              </w:rPr>
              <w:t>are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asked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about the occupation of their parents. Afterwards, each child 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t>is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allocated an ISEI value between 16 and 90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&lt;EndNote&gt;&lt;Cite&gt;&lt;Author&gt;Ganzeboom&lt;/Author&gt;&lt;Year&gt;2010&lt;/Year&gt;&lt;RecNum&gt;21221&lt;/RecNum&gt;&lt;DisplayText&gt;(40)&lt;/DisplayText&gt;&lt;record&gt;&lt;rec-number&gt;21221&lt;/rec-number&gt;&lt;foreign-keys&gt;&lt;key app="EN" db-id="tz2xevaf5ftefiefewrp2svq0veeer0de20r" timestamp="1468822790"&gt;21221&lt;/key&gt;&lt;/foreign-keys&gt;&lt;ref-type name="Conference Proceedings"&gt;10&lt;/ref-type&gt;&lt;contributors&gt;&lt;authors&gt;&lt;author&gt;Ganzeboom, Harry BG&lt;/author&gt;&lt;/authors&gt;&lt;/contributors&gt;&lt;titles&gt;&lt;title&gt;A new International Socio-Economic Index (ISEI) of occupational status for the International Standard Classification of Occupation 2008 (ISCO-08) constructed with data from the ISSP 2002-2007&lt;/title&gt;&lt;secondary-title&gt;Annual Conference of International Social Survey Programme, Lisbon&lt;/secondary-title&gt;&lt;/titles&gt;&lt;volume&gt;1&lt;/volume&gt;&lt;dates&gt;&lt;year&gt;2010&lt;/year&gt;&lt;/dates&gt;&lt;urls&gt;&lt;/urls&gt;&lt;/record&gt;&lt;/Cite&gt;&lt;/EndNote&gt;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(40)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, based on the International Standard Classification of Occupations (ISCO). The value of the parent who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is rated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higher 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t>is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the relevant one.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BMI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Weight scale</w:t>
            </w:r>
          </w:p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sz w:val="16"/>
                <w:szCs w:val="16"/>
              </w:rPr>
            </w:pPr>
            <w:proofErr w:type="spell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Stadiometer</w:t>
            </w:r>
            <w:proofErr w:type="spellEnd"/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Measurement of height and weight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Environmental factors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sz w:val="16"/>
                <w:szCs w:val="16"/>
              </w:rPr>
              <w:t xml:space="preserve">ALPHA short </w:t>
            </w:r>
            <w:r w:rsidRPr="00EB4CF0">
              <w:rPr>
                <w:rFonts w:ascii="Arial" w:eastAsia="PMingLiU" w:hAnsi="Arial" w:cs="Arial"/>
                <w:sz w:val="16"/>
                <w:szCs w:val="16"/>
                <w:lang w:val="de-DE"/>
              </w:rPr>
              <w:fldChar w:fldCharType="begin"/>
            </w:r>
            <w:r>
              <w:rPr>
                <w:rFonts w:ascii="Arial" w:eastAsia="PMingLiU" w:hAnsi="Arial" w:cs="Arial"/>
                <w:sz w:val="16"/>
                <w:szCs w:val="16"/>
                <w:lang w:val="de-DE"/>
              </w:rPr>
              <w:instrText xml:space="preserve"> ADDIN EN.CITE &lt;EndNote&gt;&lt;Cite&gt;&lt;Author&gt;Spittaels&lt;/Author&gt;&lt;Year&gt;2010&lt;/Year&gt;&lt;RecNum&gt;23851&lt;/RecNum&gt;&lt;DisplayText&gt;(41)&lt;/DisplayText&gt;&lt;record&gt;&lt;rec-number&gt;23851&lt;/rec-number&gt;&lt;foreign-keys&gt;&lt;key app="EN" db-id="tz2xevaf5ftefiefewrp2svq0veeer0de20r" timestamp="1494506352"&gt;23851&lt;/key&gt;&lt;/foreign-keys&gt;&lt;ref-type name="Journal Article"&gt;17&lt;/ref-type&gt;&lt;contributors&gt;&lt;authors&gt;&lt;author&gt;Spittaels, H.&lt;/author&gt;&lt;author&gt;Verloigne, M.&lt;/author&gt;&lt;author&gt;Gidlow, C.&lt;/author&gt;&lt;author&gt;Gloanec, J.&lt;/author&gt;&lt;author&gt;Titze, S.&lt;/author&gt;&lt;author&gt;Foster, C.&lt;/author&gt;&lt;author&gt;Oppert, J. M.&lt;/author&gt;&lt;author&gt;Rutter, H.&lt;/author&gt;&lt;author&gt;Oja, P.&lt;/author&gt;&lt;author&gt;Sjostrom, M.&lt;/author&gt;&lt;author&gt;De Bourdeaudhuij, I.&lt;/author&gt;&lt;/authors&gt;&lt;/contributors&gt;&lt;auth-address&gt;Department of Movement and Sports Sciences, Ghent University, Watersportlaan 2, 9000 Ghent, Belgium. ilse.debourdeaudhuij@ugent.be.&lt;/auth-address&gt;&lt;titles&gt;&lt;title&gt;Measuring physical activity-related environmental factors: reliability and predictive validity of the European environmental questionnaire ALPHA&lt;/title&gt;&lt;secondary-title&gt;Int J Behav Nutr Phys Act&lt;/secondary-title&gt;&lt;/titles&gt;&lt;periodical&gt;&lt;full-title&gt;International Journal of Behavioral Nutrition and Physical Activity&lt;/full-title&gt;&lt;abbr-1&gt;Int J Behav Nutr Phys Act&lt;/abbr-1&gt;&lt;/periodical&gt;&lt;pages&gt;48&lt;/pages&gt;&lt;volume&gt;7&lt;/volume&gt;&lt;number&gt;1&lt;/number&gt;&lt;dates&gt;&lt;year&gt;2010&lt;/year&gt;&lt;pub-dates&gt;&lt;date&gt;May 26&lt;/date&gt;&lt;/pub-dates&gt;&lt;/dates&gt;&lt;isbn&gt;1479-5868 (Electronic)&amp;#xD;1479-5868 (Linking)&lt;/isbn&gt;&lt;accession-num&gt;20504339&lt;/accession-num&gt;&lt;urls&gt;&lt;related-urls&gt;&lt;url&gt;https://www.ncbi.nlm.nih.gov/pubmed/20504339&lt;/url&gt;&lt;/related-urls&gt;&lt;/urls&gt;&lt;custom2&gt;PMC2892430&lt;/custom2&gt;&lt;electronic-resource-num&gt;10.1186/1479-5868-7-48&lt;/electronic-resource-num&gt;&lt;/record&gt;&lt;/Cite&gt;&lt;/EndNote&gt;</w:instrText>
            </w:r>
            <w:r w:rsidRPr="00EB4CF0">
              <w:rPr>
                <w:rFonts w:ascii="Arial" w:eastAsia="PMingLiU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sz w:val="16"/>
                <w:szCs w:val="16"/>
                <w:lang w:val="de-DE"/>
              </w:rPr>
              <w:t>(41)</w:t>
            </w:r>
            <w:r w:rsidRPr="00EB4CF0">
              <w:rPr>
                <w:rFonts w:ascii="Arial" w:eastAsia="PMingLiU" w:hAnsi="Arial" w:cs="Arial"/>
                <w:sz w:val="16"/>
                <w:szCs w:val="16"/>
                <w:lang w:val="de-DE"/>
              </w:rPr>
              <w:fldChar w:fldCharType="end"/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Environmental factors of relevance for physical activity </w:t>
            </w:r>
            <w:proofErr w:type="gramStart"/>
            <w:r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are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 assessed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 with 10 items. 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Teacher characteristics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Items from SPRINT study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&lt;EndNote&gt;&lt;Cite&gt;&lt;Author&gt;Deutscher Olympischer Sportbund&lt;/Author&gt;&lt;Year&gt;2006&lt;/Year&gt;&lt;RecNum&gt;837&lt;/RecNum&gt;&lt;DisplayText&gt;(42)&lt;/DisplayText&gt;&lt;record&gt;&lt;rec-number&gt;837&lt;/rec-number&gt;&lt;foreign-keys&gt;&lt;key app="EN" db-id="tz2xevaf5ftefiefewrp2svq0veeer0de20r" timestamp="1267534882"&gt;837&lt;/key&gt;&lt;/foreign-keys&gt;&lt;ref-type name="Book"&gt;6&lt;/ref-type&gt;&lt;contributors&gt;&lt;authors&gt;&lt;author&gt;Deutscher Olympischer Sportbund,&lt;/author&gt;&lt;/authors&gt;&lt;/contributors&gt;&lt;titles&gt;&lt;title&gt;DSB-Sprint-Studie: Eine Untersuchung zur Situation des Schulsports in Deutschland&lt;/title&gt;&lt;translated-title&gt;[DSB-Sprint-study: An examination concerning PE in Germany]&lt;/translated-title&gt;&lt;/titles&gt;&lt;pages&gt;294-294&lt;/pages&gt;&lt;keywords&gt;&lt;keyword&gt;Befragung&lt;/keyword&gt;&lt;keyword&gt;Bundesrepublik Deutschland&lt;/keyword&gt;&lt;keyword&gt;Datenerhebung&lt;/keyword&gt;&lt;keyword&gt;Deutsche Sportjugend&lt;/keyword&gt;&lt;keyword&gt;Deutscher Sportbund&lt;/keyword&gt;&lt;keyword&gt;Eltern&lt;/keyword&gt;&lt;keyword&gt;Evaluation&lt;/keyword&gt;&lt;keyword&gt;Forschungsprojekt&lt;/keyword&gt;&lt;keyword&gt;Handlungsorientierung&lt;/keyword&gt;&lt;keyword&gt;Lehrplan&lt;/keyword&gt;&lt;keyword&gt;Schulleiter&lt;/keyword&gt;&lt;keyword&gt;Schulsport&lt;/keyword&gt;&lt;keyword&gt;Schulsport, ausserunterrichtlicher&lt;/keyword&gt;&lt;keyword&gt;Situationsanalyse&lt;/keyword&gt;&lt;keyword&gt;Sportlehrer&lt;/keyword&gt;&lt;keyword&gt;Sportpädagogik&lt;/keyword&gt;&lt;keyword&gt;Sportunterricht&lt;/keyword&gt;&lt;keyword&gt;Untersuchung, empirische&lt;/keyword&gt;&lt;keyword&gt;Schüler&lt;/keyword&gt;&lt;keyword&gt;Sportstätte&lt;/keyword&gt;&lt;/keywords&gt;&lt;dates&gt;&lt;year&gt;2006&lt;/year&gt;&lt;/dates&gt;&lt;pub-location&gt;Aachen&lt;/pub-location&gt;&lt;publisher&gt;Meyer &amp;amp; Meyer&lt;/publisher&gt;&lt;isbn&gt;3-89899-191-1&amp;#xD;978-3-89899-191-9&lt;/isbn&gt;&lt;urls&gt;&lt;/urls&gt;&lt;/record&gt;&lt;/Cite&gt;&lt;/EndNote&gt;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(42)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The girls’ impression of their PE teacher </w:t>
            </w:r>
            <w:r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is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 assessed with six items taken from the SPRINT study 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instrText xml:space="preserve"> ADDIN EN.CITE &lt;EndNote&gt;&lt;Cite&gt;&lt;Author&gt;Deutscher Olympischer Sportbund&lt;/Author&gt;&lt;Year&gt;2006&lt;/Year&gt;&lt;RecNum&gt;837&lt;/RecNum&gt;&lt;DisplayText&gt;(42)&lt;/DisplayText&gt;&lt;record&gt;&lt;rec-number&gt;837&lt;/rec-number&gt;&lt;foreign-keys&gt;&lt;key app="EN" db-id="tz2xevaf5ftefiefewrp2svq0veeer0de20r" timestamp="1267534882"&gt;837&lt;/key&gt;&lt;/foreign-keys&gt;&lt;ref-type name="Book"&gt;6&lt;/ref-type&gt;&lt;contributors&gt;&lt;authors&gt;&lt;author&gt;Deutscher Olympischer Sportbund,&lt;/author&gt;&lt;/authors&gt;&lt;/contributors&gt;&lt;titles&gt;&lt;title&gt;DSB-Sprint-Studie: Eine Untersuchung zur Situation des Schulsports in Deutschland&lt;/title&gt;&lt;translated-title&gt;[DSB-Sprint-study: An examination concerning PE in Germany]&lt;/translated-title&gt;&lt;/titles&gt;&lt;pages&gt;294-294&lt;/pages&gt;&lt;keywords&gt;&lt;keyword&gt;Befragung&lt;/keyword&gt;&lt;keyword&gt;Bundesrepublik Deutschland&lt;/keyword&gt;&lt;keyword&gt;Datenerhebung&lt;/keyword&gt;&lt;keyword&gt;Deutsche Sportjugend&lt;/keyword&gt;&lt;keyword&gt;Deutscher Sportbund&lt;/keyword&gt;&lt;keyword&gt;Eltern&lt;/keyword&gt;&lt;keyword&gt;Evaluation&lt;/keyword&gt;&lt;keyword&gt;Forschungsprojekt&lt;/keyword&gt;&lt;keyword&gt;Handlungsorientierung&lt;/keyword&gt;&lt;keyword&gt;Lehrplan&lt;/keyword&gt;&lt;keyword&gt;Schulleiter&lt;/keyword&gt;&lt;keyword&gt;Schulsport&lt;/keyword&gt;&lt;keyword&gt;Schulsport, ausserunterrichtlicher&lt;/keyword&gt;&lt;keyword&gt;Situationsanalyse&lt;/keyword&gt;&lt;keyword&gt;Sportlehrer&lt;/keyword&gt;&lt;keyword&gt;Sportpädagogik&lt;/keyword&gt;&lt;keyword&gt;Sportunterricht&lt;/keyword&gt;&lt;keyword&gt;Untersuchung, empirische&lt;/keyword&gt;&lt;keyword&gt;Schüler&lt;/keyword&gt;&lt;keyword&gt;Sportstätte&lt;/keyword&gt;&lt;/keywords&gt;&lt;dates&gt;&lt;year&gt;2006&lt;/year&gt;&lt;/dates&gt;&lt;pub-location&gt;Aachen&lt;/pub-location&gt;&lt;publisher&gt;Meyer &amp;amp; Meyer&lt;/publisher&gt;&lt;isbn&gt;3-89899-191-1&amp;#xD;978-3-89899-191-9&lt;/isbn&gt;&lt;urls&gt;&lt;/urls&gt;&lt;/record&gt;&lt;/Cite&gt;&lt;/EndNote&gt;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  <w:lang w:val="en-US"/>
              </w:rPr>
              <w:t>(42)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fldChar w:fldCharType="end"/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. Girls </w:t>
            </w: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are asked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 to fill out a semantic differential rating their teacher as strict or indulgent, uncomprehending or understanding, unprepared or well prepared, </w:t>
            </w:r>
            <w:proofErr w:type="spellStart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unathletic</w:t>
            </w:r>
            <w:proofErr w:type="spellEnd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 or athletic, unjust or just and </w:t>
            </w:r>
            <w:proofErr w:type="spellStart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unhumorous</w:t>
            </w:r>
            <w:proofErr w:type="spellEnd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 or humorous. 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 w:val="restart"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color w:val="FF0000"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/>
                <w:bCs/>
                <w:i/>
                <w:sz w:val="16"/>
                <w:szCs w:val="16"/>
              </w:rPr>
              <w:t>Process evaluation</w:t>
            </w: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highlight w:val="yellow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Dose delivered, received &amp; context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Interviews with teachers and students</w:t>
            </w:r>
          </w:p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Systematic observation of PE</w:t>
            </w:r>
          </w:p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Documentation of the lessons carried out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656" w:type="pct"/>
            <w:vAlign w:val="center"/>
          </w:tcPr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t>very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teacher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of the intervention group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and two students from each class </w:t>
            </w:r>
            <w:proofErr w:type="gramStart"/>
            <w:r>
              <w:rPr>
                <w:rFonts w:ascii="Arial" w:eastAsia="PMingLiU" w:hAnsi="Arial" w:cs="Arial"/>
                <w:bCs/>
                <w:sz w:val="16"/>
                <w:szCs w:val="16"/>
              </w:rPr>
              <w:t>are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interviewed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with standardised interview questionnaires to gain information about the extent to which the intervention was delivered, received and about the context in which it was carried out. </w:t>
            </w:r>
          </w:p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3</w:t>
            </w:r>
            <w:proofErr w:type="gramEnd"/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Systematic observations in each class during PE 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t>are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carried out to examine whether the central concepts of autonomy, competence and relatedness were addressed by the teacher. </w:t>
            </w:r>
          </w:p>
          <w:p w:rsidR="00C83A9B" w:rsidRPr="00EB4CF0" w:rsidRDefault="00C83A9B" w:rsidP="00C83A9B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177" w:hanging="177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 xml:space="preserve">The teachers will document which of the provided PE lessons they have carried out. </w:t>
            </w:r>
          </w:p>
        </w:tc>
      </w:tr>
      <w:tr w:rsidR="00C83A9B" w:rsidRPr="00EB4CF0" w:rsidTr="00797949">
        <w:trPr>
          <w:cantSplit/>
          <w:trHeight w:val="20"/>
        </w:trPr>
        <w:tc>
          <w:tcPr>
            <w:tcW w:w="321" w:type="pct"/>
            <w:vMerge/>
            <w:textDirection w:val="btL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Need support: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Autonomy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Competence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Relatedness</w:t>
            </w:r>
          </w:p>
        </w:tc>
        <w:tc>
          <w:tcPr>
            <w:tcW w:w="1173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t>Adolescent Psychological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br/>
              <w:t>Need Support in Exercise Questionnaire</w:t>
            </w:r>
          </w:p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ADDIN EN.CITE &lt;EndNote&gt;&lt;Cite&gt;&lt;Author&gt;Emm-Collison&lt;/Author&gt;&lt;Year&gt;2016&lt;/Year&gt;&lt;RecNum&gt;23836&lt;/RecNum&gt;&lt;DisplayText&gt;(43)&lt;/DisplayText&gt;&lt;record&gt;&lt;rec-number&gt;23836&lt;/rec-number&gt;&lt;foreign-keys&gt;&lt;key app="EN" db-id="tz2xevaf5ftefiefewrp2svq0veeer0de20r" timestamp="1494506289"&gt;23836&lt;/key&gt;&lt;/foreign-keys&gt;&lt;ref-type name="Journal Article"&gt;17&lt;/ref-type&gt;&lt;contributors&gt;&lt;authors&gt;&lt;author&gt;Lydia G. Emm-Collison&lt;/author&gt;&lt;author&gt;Martyn Standage&lt;/author&gt;&lt;author&gt;Fiona B. Gillison&lt;/author&gt;&lt;/authors&gt;&lt;/contributors&gt;&lt;titles&gt;&lt;title&gt;Development and Validation of the Adolescent Psychological Need Support in Exercise Questionnaire&lt;/title&gt;&lt;secondary-title&gt;Journal of Sport and Exercise Psychology&lt;/secondary-title&gt;&lt;/titles&gt;&lt;periodical&gt;&lt;full-title&gt;Journal of Sport and Exercise Psychology&lt;/full-title&gt;&lt;abbr-1&gt;J Sport Exerc Psychol&lt;/abbr-1&gt;&lt;abbr-2&gt;J Sport Exerc Psychol&lt;/abbr-2&gt;&lt;/periodical&gt;&lt;pages&gt;505-520&lt;/pages&gt;&lt;volume&gt;38&lt;/volume&gt;&lt;number&gt;5&lt;/number&gt;&lt;keywords&gt;&lt;keyword&gt;self-determination theory,measurement,autonomy,competence,relatedness&lt;/keyword&gt;&lt;/keywords&gt;&lt;dates&gt;&lt;year&gt;2016&lt;/year&gt;&lt;/dates&gt;&lt;accession-num&gt;27736283&lt;/accession-num&gt;&lt;urls&gt;&lt;related-urls&gt;&lt;url&gt;http://journals.humankinetics.com/doi/abs/10.1123/jsep.2015-0220&lt;/url&gt;&lt;/related-urls&gt;&lt;/urls&gt;&lt;electronic-resource-num&gt;10.1123/jsep.2015-0220&lt;/electronic-resource-num&gt;&lt;/record&gt;&lt;/Cite&gt;&lt;/EndNote&gt;</w:instrTex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(43)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56" w:type="pct"/>
            <w:vAlign w:val="center"/>
          </w:tcPr>
          <w:p w:rsidR="00C83A9B" w:rsidRPr="00EB4CF0" w:rsidRDefault="00C83A9B" w:rsidP="00797949">
            <w:pPr>
              <w:adjustRightInd w:val="0"/>
              <w:snapToGrid w:val="0"/>
              <w:spacing w:after="0" w:line="240" w:lineRule="auto"/>
              <w:jc w:val="left"/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PE teacher’s support of the three basic needs autonomy, competence and relatedness </w:t>
            </w:r>
            <w:r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is</w:t>
            </w:r>
            <w:r w:rsidRPr="00EB4CF0"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 xml:space="preserve"> measure</w:t>
            </w:r>
            <w:r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d by three items for each need</w:t>
            </w:r>
            <w:proofErr w:type="gramEnd"/>
            <w:r>
              <w:rPr>
                <w:rFonts w:ascii="Arial" w:eastAsia="PMingLiU" w:hAnsi="Arial" w:cs="Arial"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C01041" w:rsidRDefault="00C01041">
      <w:bookmarkStart w:id="0" w:name="_GoBack"/>
      <w:bookmarkEnd w:id="0"/>
    </w:p>
    <w:sectPr w:rsidR="00C01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395D"/>
    <w:multiLevelType w:val="hybridMultilevel"/>
    <w:tmpl w:val="ED80C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9B"/>
    <w:rsid w:val="00C01041"/>
    <w:rsid w:val="00C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B613-72D0-4780-817A-D90FFAD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A9B"/>
    <w:pPr>
      <w:spacing w:after="120" w:line="312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2470</Words>
  <Characters>15563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Demetriou</dc:creator>
  <cp:keywords/>
  <dc:description/>
  <cp:lastModifiedBy>Yolanda Demetriou</cp:lastModifiedBy>
  <cp:revision>1</cp:revision>
  <dcterms:created xsi:type="dcterms:W3CDTF">2019-02-28T06:30:00Z</dcterms:created>
  <dcterms:modified xsi:type="dcterms:W3CDTF">2019-02-28T06:31:00Z</dcterms:modified>
</cp:coreProperties>
</file>