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94" w:rsidRDefault="00AB6B94"/>
    <w:p w:rsidR="00AB6B94" w:rsidRDefault="00AB6B94"/>
    <w:p w:rsidR="00AB6B94" w:rsidRDefault="008E2FE8" w:rsidP="00AB6B9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Additional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file</w:t>
      </w:r>
      <w:r w:rsidR="00AB6B9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B6B94" w:rsidRDefault="00AB6B94" w:rsidP="00AB6B94">
      <w:pPr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AB6B94" w:rsidRDefault="00AB6B94" w:rsidP="00AB6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DF8">
        <w:rPr>
          <w:rFonts w:ascii="Times New Roman" w:eastAsia="Times New Roman" w:hAnsi="Times New Roman" w:cs="Times New Roman"/>
          <w:color w:val="000000"/>
          <w:sz w:val="24"/>
        </w:rPr>
        <w:t>PICOS guidelines applied to the present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160"/>
        <w:gridCol w:w="6660"/>
      </w:tblGrid>
      <w:tr w:rsidR="00AB6B94" w:rsidRPr="00001DF8" w:rsidTr="007B62F6">
        <w:tc>
          <w:tcPr>
            <w:tcW w:w="445" w:type="dxa"/>
          </w:tcPr>
          <w:p w:rsidR="00AB6B94" w:rsidRPr="00001DF8" w:rsidRDefault="00AB6B94" w:rsidP="007B62F6">
            <w:pPr>
              <w:pStyle w:val="Heading3"/>
              <w:spacing w:before="0" w:line="300" w:lineRule="atLeast"/>
              <w:outlineLvl w:val="2"/>
              <w:rPr>
                <w:rFonts w:ascii="Times New Roman" w:hAnsi="Times New Roman" w:cs="Times New Roman"/>
              </w:rPr>
            </w:pPr>
            <w:r w:rsidRPr="00001DF8">
              <w:rPr>
                <w:rStyle w:val="Strong"/>
                <w:rFonts w:ascii="Times New Roman" w:hAnsi="Times New Roman" w:cs="Times New Roman"/>
                <w:bdr w:val="none" w:sz="0" w:space="0" w:color="auto" w:frame="1"/>
              </w:rPr>
              <w:t>P</w:t>
            </w:r>
          </w:p>
        </w:tc>
        <w:tc>
          <w:tcPr>
            <w:tcW w:w="2160" w:type="dxa"/>
          </w:tcPr>
          <w:p w:rsidR="00AB6B94" w:rsidRPr="00001DF8" w:rsidRDefault="00AB6B94" w:rsidP="007B62F6">
            <w:pPr>
              <w:pStyle w:val="NormalWeb"/>
              <w:spacing w:after="0"/>
            </w:pPr>
            <w:r w:rsidRPr="00001DF8">
              <w:rPr>
                <w:rStyle w:val="Strong"/>
                <w:bdr w:val="none" w:sz="0" w:space="0" w:color="auto" w:frame="1"/>
              </w:rPr>
              <w:t>P</w:t>
            </w:r>
            <w:r w:rsidRPr="00001DF8">
              <w:t>atient, </w:t>
            </w:r>
            <w:r w:rsidRPr="00001DF8">
              <w:rPr>
                <w:rStyle w:val="Strong"/>
                <w:bdr w:val="none" w:sz="0" w:space="0" w:color="auto" w:frame="1"/>
              </w:rPr>
              <w:t>P</w:t>
            </w:r>
            <w:r w:rsidRPr="00001DF8">
              <w:t>opulation, or </w:t>
            </w:r>
            <w:r w:rsidRPr="00001DF8">
              <w:rPr>
                <w:rStyle w:val="Strong"/>
                <w:bdr w:val="none" w:sz="0" w:space="0" w:color="auto" w:frame="1"/>
              </w:rPr>
              <w:t>P</w:t>
            </w:r>
            <w:r w:rsidRPr="00001DF8">
              <w:t>roblem</w:t>
            </w:r>
          </w:p>
        </w:tc>
        <w:tc>
          <w:tcPr>
            <w:tcW w:w="6660" w:type="dxa"/>
          </w:tcPr>
          <w:p w:rsidR="00AB6B94" w:rsidRPr="00001DF8" w:rsidRDefault="00AB6B94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F8">
              <w:rPr>
                <w:rFonts w:ascii="Times New Roman" w:hAnsi="Times New Roman" w:cs="Times New Roman"/>
                <w:sz w:val="24"/>
                <w:szCs w:val="24"/>
              </w:rPr>
              <w:t xml:space="preserve">Adults &gt; 18 years (clinical or non-clinical samples, any comorbid medical conditions). No other </w:t>
            </w:r>
            <w:r w:rsidRPr="00001DF8">
              <w:rPr>
                <w:rFonts w:ascii="Times New Roman" w:eastAsia="Times New Roman" w:hAnsi="Times New Roman" w:cs="Times New Roman"/>
                <w:sz w:val="24"/>
                <w:szCs w:val="24"/>
              </w:rPr>
              <w:t>restriction on population other than age</w:t>
            </w:r>
            <w:r w:rsidRPr="0000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B94" w:rsidRPr="00001DF8" w:rsidTr="007B62F6">
        <w:tc>
          <w:tcPr>
            <w:tcW w:w="445" w:type="dxa"/>
          </w:tcPr>
          <w:p w:rsidR="00AB6B94" w:rsidRPr="00001DF8" w:rsidRDefault="00AB6B94" w:rsidP="007B62F6">
            <w:pPr>
              <w:pStyle w:val="Heading3"/>
              <w:spacing w:before="0" w:line="300" w:lineRule="atLeast"/>
              <w:outlineLvl w:val="2"/>
              <w:rPr>
                <w:rFonts w:ascii="Times New Roman" w:hAnsi="Times New Roman" w:cs="Times New Roman"/>
              </w:rPr>
            </w:pPr>
            <w:r w:rsidRPr="00001DF8">
              <w:rPr>
                <w:rStyle w:val="Strong"/>
                <w:rFonts w:ascii="Times New Roman" w:hAnsi="Times New Roman" w:cs="Times New Roman"/>
                <w:bdr w:val="none" w:sz="0" w:space="0" w:color="auto" w:frame="1"/>
              </w:rPr>
              <w:t>I</w:t>
            </w:r>
          </w:p>
        </w:tc>
        <w:tc>
          <w:tcPr>
            <w:tcW w:w="2160" w:type="dxa"/>
          </w:tcPr>
          <w:p w:rsidR="00AB6B94" w:rsidRPr="00001DF8" w:rsidRDefault="00AB6B94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F8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</w:t>
            </w:r>
            <w:r w:rsidRPr="00001DF8">
              <w:rPr>
                <w:rFonts w:ascii="Times New Roman" w:hAnsi="Times New Roman" w:cs="Times New Roman"/>
                <w:sz w:val="24"/>
                <w:szCs w:val="24"/>
              </w:rPr>
              <w:t>ntervention, Prognostic Factor, or Exposure</w:t>
            </w:r>
          </w:p>
        </w:tc>
        <w:tc>
          <w:tcPr>
            <w:tcW w:w="6660" w:type="dxa"/>
          </w:tcPr>
          <w:p w:rsidR="00AB6B94" w:rsidRPr="00001DF8" w:rsidRDefault="00AB6B94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F8">
              <w:rPr>
                <w:rFonts w:ascii="Times New Roman" w:hAnsi="Times New Roman" w:cs="Times New Roman"/>
                <w:sz w:val="24"/>
                <w:szCs w:val="24"/>
              </w:rPr>
              <w:t xml:space="preserve">Acute controlled or laboratory-based stressor (e.g., Trier Social Stress Test, exercise stressor, speech task, Stroop task). No long-term longitudinal studies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ecological momentary assessment</w:t>
            </w:r>
            <w:r w:rsidRPr="00001DF8">
              <w:rPr>
                <w:rFonts w:ascii="Times New Roman" w:hAnsi="Times New Roman" w:cs="Times New Roman"/>
                <w:sz w:val="24"/>
                <w:szCs w:val="24"/>
              </w:rPr>
              <w:t xml:space="preserve"> studies because of potential for confounding unmeasured variables (passage of time, acute life stressors). While we do not anticipate this duration, a maximum time point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1DF8">
              <w:rPr>
                <w:rFonts w:ascii="Times New Roman" w:hAnsi="Times New Roman" w:cs="Times New Roman"/>
                <w:sz w:val="24"/>
                <w:szCs w:val="24"/>
              </w:rPr>
              <w:t xml:space="preserve"> hours was selected to capture both acute response and potential recovery. </w:t>
            </w:r>
          </w:p>
        </w:tc>
      </w:tr>
      <w:tr w:rsidR="00AB6B94" w:rsidRPr="00001DF8" w:rsidTr="007B62F6">
        <w:tc>
          <w:tcPr>
            <w:tcW w:w="445" w:type="dxa"/>
          </w:tcPr>
          <w:p w:rsidR="00AB6B94" w:rsidRPr="00001DF8" w:rsidRDefault="00AB6B94" w:rsidP="007B62F6">
            <w:pPr>
              <w:pStyle w:val="Heading3"/>
              <w:spacing w:before="0" w:line="300" w:lineRule="atLeast"/>
              <w:outlineLvl w:val="2"/>
              <w:rPr>
                <w:rFonts w:ascii="Times New Roman" w:hAnsi="Times New Roman" w:cs="Times New Roman"/>
              </w:rPr>
            </w:pPr>
            <w:r w:rsidRPr="00001DF8">
              <w:rPr>
                <w:rStyle w:val="Strong"/>
                <w:rFonts w:ascii="Times New Roman" w:hAnsi="Times New Roman" w:cs="Times New Roman"/>
                <w:bdr w:val="none" w:sz="0" w:space="0" w:color="auto" w:frame="1"/>
              </w:rPr>
              <w:t>C</w:t>
            </w:r>
          </w:p>
        </w:tc>
        <w:tc>
          <w:tcPr>
            <w:tcW w:w="2160" w:type="dxa"/>
          </w:tcPr>
          <w:p w:rsidR="00AB6B94" w:rsidRPr="00001DF8" w:rsidRDefault="00AB6B94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F8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</w:t>
            </w:r>
            <w:r w:rsidRPr="00001DF8">
              <w:rPr>
                <w:rFonts w:ascii="Times New Roman" w:hAnsi="Times New Roman" w:cs="Times New Roman"/>
                <w:sz w:val="24"/>
                <w:szCs w:val="24"/>
              </w:rPr>
              <w:t>omparison or Intervention (if appropriate)</w:t>
            </w:r>
          </w:p>
        </w:tc>
        <w:tc>
          <w:tcPr>
            <w:tcW w:w="6660" w:type="dxa"/>
          </w:tcPr>
          <w:p w:rsidR="00AB6B94" w:rsidRPr="00001DF8" w:rsidRDefault="00AB6B94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F8">
              <w:rPr>
                <w:rFonts w:ascii="Times New Roman" w:hAnsi="Times New Roman" w:cs="Times New Roman"/>
                <w:sz w:val="24"/>
                <w:szCs w:val="24"/>
              </w:rPr>
              <w:t xml:space="preserve">No comparator group needed (just pre- and post-stressor time points of sample collection); baseline is our main comparator </w:t>
            </w:r>
          </w:p>
        </w:tc>
      </w:tr>
      <w:tr w:rsidR="00AB6B94" w:rsidRPr="00001DF8" w:rsidTr="007B62F6">
        <w:tc>
          <w:tcPr>
            <w:tcW w:w="445" w:type="dxa"/>
          </w:tcPr>
          <w:p w:rsidR="00AB6B94" w:rsidRPr="00001DF8" w:rsidRDefault="00AB6B94" w:rsidP="007B62F6">
            <w:pPr>
              <w:pStyle w:val="Heading3"/>
              <w:spacing w:before="0" w:line="300" w:lineRule="atLeast"/>
              <w:outlineLvl w:val="2"/>
              <w:rPr>
                <w:rFonts w:ascii="Times New Roman" w:hAnsi="Times New Roman" w:cs="Times New Roman"/>
              </w:rPr>
            </w:pPr>
            <w:r w:rsidRPr="00001DF8">
              <w:rPr>
                <w:rStyle w:val="Strong"/>
                <w:rFonts w:ascii="Times New Roman" w:hAnsi="Times New Roman" w:cs="Times New Roman"/>
                <w:bdr w:val="none" w:sz="0" w:space="0" w:color="auto" w:frame="1"/>
              </w:rPr>
              <w:t>O</w:t>
            </w:r>
          </w:p>
        </w:tc>
        <w:tc>
          <w:tcPr>
            <w:tcW w:w="2160" w:type="dxa"/>
          </w:tcPr>
          <w:p w:rsidR="00AB6B94" w:rsidRPr="00001DF8" w:rsidRDefault="00AB6B94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F8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O</w:t>
            </w:r>
            <w:r w:rsidRPr="00001DF8">
              <w:rPr>
                <w:rFonts w:ascii="Times New Roman" w:hAnsi="Times New Roman" w:cs="Times New Roman"/>
                <w:sz w:val="24"/>
                <w:szCs w:val="24"/>
              </w:rPr>
              <w:t>utcome you would like to measure or achieve</w:t>
            </w:r>
          </w:p>
        </w:tc>
        <w:tc>
          <w:tcPr>
            <w:tcW w:w="6660" w:type="dxa"/>
          </w:tcPr>
          <w:p w:rsidR="00AB6B94" w:rsidRPr="00001DF8" w:rsidRDefault="00AB6B94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F8">
              <w:rPr>
                <w:rFonts w:ascii="Times New Roman" w:hAnsi="Times New Roman" w:cs="Times New Roman"/>
                <w:sz w:val="24"/>
                <w:szCs w:val="24"/>
              </w:rPr>
              <w:t>Our primary outcome is change in inflammation in response to acute stress (i.e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DF8">
              <w:rPr>
                <w:rFonts w:ascii="Times New Roman" w:hAnsi="Times New Roman" w:cs="Times New Roman"/>
                <w:sz w:val="24"/>
                <w:szCs w:val="24"/>
              </w:rPr>
              <w:t xml:space="preserve">, for each of the identified biomarkers). We hope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01DF8">
              <w:rPr>
                <w:rFonts w:ascii="Times New Roman" w:hAnsi="Times New Roman" w:cs="Times New Roman"/>
                <w:sz w:val="24"/>
                <w:szCs w:val="24"/>
              </w:rPr>
              <w:t xml:space="preserve">mprove understanding of how salivary markers of inflammation change in response to acute stress </w:t>
            </w:r>
          </w:p>
        </w:tc>
      </w:tr>
      <w:tr w:rsidR="00AB6B94" w:rsidRPr="00001DF8" w:rsidTr="007B62F6">
        <w:tc>
          <w:tcPr>
            <w:tcW w:w="445" w:type="dxa"/>
          </w:tcPr>
          <w:p w:rsidR="00AB6B94" w:rsidRPr="00001DF8" w:rsidRDefault="00AB6B94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6516276"/>
            <w:r w:rsidRPr="00001D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60" w:type="dxa"/>
          </w:tcPr>
          <w:p w:rsidR="00AB6B94" w:rsidRPr="00001DF8" w:rsidRDefault="00AB6B94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F8">
              <w:rPr>
                <w:rFonts w:ascii="Times New Roman" w:hAnsi="Times New Roman" w:cs="Times New Roman"/>
                <w:sz w:val="24"/>
                <w:szCs w:val="24"/>
              </w:rPr>
              <w:t>Setting or study design: Type of </w:t>
            </w:r>
            <w:r w:rsidRPr="00001DF8">
              <w:rPr>
                <w:rStyle w:val="Stron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</w:t>
            </w:r>
            <w:r w:rsidRPr="00001DF8">
              <w:rPr>
                <w:rFonts w:ascii="Times New Roman" w:hAnsi="Times New Roman" w:cs="Times New Roman"/>
                <w:sz w:val="24"/>
                <w:szCs w:val="24"/>
              </w:rPr>
              <w:t>tudy you want to find</w:t>
            </w:r>
          </w:p>
        </w:tc>
        <w:tc>
          <w:tcPr>
            <w:tcW w:w="6660" w:type="dxa"/>
          </w:tcPr>
          <w:p w:rsidR="00AB6B94" w:rsidRPr="00001DF8" w:rsidRDefault="00AB6B94" w:rsidP="007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F8">
              <w:rPr>
                <w:rFonts w:ascii="Times New Roman" w:hAnsi="Times New Roman" w:cs="Times New Roman"/>
                <w:sz w:val="24"/>
                <w:szCs w:val="24"/>
              </w:rPr>
              <w:t>Studies must be conducted in a controlled setting or employ exposure to an acute stressor. Few limitations will be placed on setting, i.e., no requirement of laboratory. Thus, we will include some stressors assessed outside of a laboratory setting, as long as they are acute and involve exposure to an exogenous stressor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1DF8">
              <w:rPr>
                <w:rFonts w:ascii="Times New Roman" w:hAnsi="Times New Roman" w:cs="Times New Roman"/>
                <w:sz w:val="24"/>
                <w:szCs w:val="24"/>
              </w:rPr>
              <w:t xml:space="preserve"> e.g., actual speech compared to speech task in a laboratory. All studies with a pre- and post-stress saliva sample will be included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"/>
    </w:tbl>
    <w:p w:rsidR="00AB6B94" w:rsidRDefault="00AB6B94"/>
    <w:sectPr w:rsidR="00AB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AB6B94"/>
    <w:rsid w:val="003B4E33"/>
    <w:rsid w:val="008E2FE8"/>
    <w:rsid w:val="00A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94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B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6B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B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6B9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94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B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6B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B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6B9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1437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RBABELLO</dc:creator>
  <cp:lastModifiedBy>GCREDO</cp:lastModifiedBy>
  <cp:revision>2</cp:revision>
  <dcterms:created xsi:type="dcterms:W3CDTF">2019-04-15T19:00:00Z</dcterms:created>
  <dcterms:modified xsi:type="dcterms:W3CDTF">2019-04-16T10:20:00Z</dcterms:modified>
</cp:coreProperties>
</file>