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76"/>
        <w:tblW w:w="14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805"/>
        <w:gridCol w:w="4149"/>
        <w:gridCol w:w="5916"/>
      </w:tblGrid>
      <w:tr w:rsidR="00AA1951" w:rsidRPr="0077786D" w:rsidTr="005E642F">
        <w:trPr>
          <w:trHeight w:val="4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C5" w:rsidRPr="003409F8" w:rsidRDefault="00107B63" w:rsidP="00805A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bookmarkStart w:id="0" w:name="_GoBack"/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Gene a</w:t>
            </w:r>
            <w:r w:rsidR="007540C5"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mplicon</w:t>
            </w:r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/ Size PCR product (bp)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C5" w:rsidRPr="003409F8" w:rsidRDefault="007540C5" w:rsidP="00805A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Primers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5B91" w:rsidRPr="003409F8" w:rsidRDefault="007540C5" w:rsidP="00805A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 xml:space="preserve">Sequence oligonucleotide </w:t>
            </w:r>
          </w:p>
          <w:p w:rsidR="007540C5" w:rsidRPr="003409F8" w:rsidRDefault="007540C5" w:rsidP="00805A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>foward and reverse</w:t>
            </w:r>
            <w:r w:rsidR="00E35B91"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 xml:space="preserve"> 5`-3`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C5" w:rsidRPr="003409F8" w:rsidRDefault="007540C5" w:rsidP="00805A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PCR </w:t>
            </w:r>
            <w:proofErr w:type="spellStart"/>
            <w:r w:rsidRPr="0034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conditions</w:t>
            </w:r>
            <w:proofErr w:type="spellEnd"/>
          </w:p>
        </w:tc>
      </w:tr>
      <w:tr w:rsidR="00100297" w:rsidRPr="008B72AA" w:rsidTr="005E642F">
        <w:trPr>
          <w:trHeight w:val="451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exon 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1</w:t>
            </w:r>
          </w:p>
          <w:p w:rsidR="00100297" w:rsidRPr="003409F8" w:rsidRDefault="00100297" w:rsidP="00FE3A1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378 bp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C811B3" w:rsidP="00C811B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1 F</w:t>
            </w:r>
          </w:p>
        </w:tc>
        <w:tc>
          <w:tcPr>
            <w:tcW w:w="4149" w:type="dxa"/>
            <w:tcBorders>
              <w:top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>GTGAGCGCCAGGAAGGTA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C811B3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1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s of denaturation at 94°C for 30sec, 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annealing at 6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2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º. C f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or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 30 sec, and 64°C for 30sec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1 min</w:t>
            </w:r>
          </w:p>
        </w:tc>
      </w:tr>
      <w:tr w:rsidR="00100297" w:rsidRPr="0077786D" w:rsidTr="005E642F">
        <w:trPr>
          <w:trHeight w:val="451"/>
        </w:trPr>
        <w:tc>
          <w:tcPr>
            <w:tcW w:w="226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C811B3" w:rsidP="00C811B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1R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C811B3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>AAACGGACCAAGCGATTC</w:t>
            </w:r>
          </w:p>
        </w:tc>
        <w:tc>
          <w:tcPr>
            <w:tcW w:w="5916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00297" w:rsidRPr="008B72AA" w:rsidTr="005E642F">
        <w:trPr>
          <w:trHeight w:val="451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exon 2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400 bp</w:t>
            </w: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2 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>ACCTCGTGGTGGGACTTTG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1B7A9B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4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s of denaturation at 94°C for 20 sec, 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annealing at 6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0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º. C f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or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 30 sec, and 72°C for 1 min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3 min</w:t>
            </w:r>
          </w:p>
        </w:tc>
      </w:tr>
      <w:tr w:rsidR="00100297" w:rsidRPr="0077786D" w:rsidTr="005E642F">
        <w:trPr>
          <w:trHeight w:val="451"/>
        </w:trPr>
        <w:tc>
          <w:tcPr>
            <w:tcW w:w="226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2 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GATCCTACATCCGGGGAAGC</w:t>
            </w:r>
          </w:p>
        </w:tc>
        <w:tc>
          <w:tcPr>
            <w:tcW w:w="5916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00297" w:rsidRPr="008B72AA" w:rsidTr="005E642F">
        <w:trPr>
          <w:trHeight w:val="451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exon 3A</w:t>
            </w:r>
          </w:p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412 bp</w:t>
            </w: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3A 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GTCCCTAGCTCTGCCTACCC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1B7A9B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4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s of denaturation at 94°C for 20 sec, 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annealing at 6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0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º. C f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or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 30 sec, and 72°C for 1 min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3 min</w:t>
            </w:r>
          </w:p>
        </w:tc>
      </w:tr>
      <w:tr w:rsidR="00100297" w:rsidRPr="0077786D" w:rsidTr="005E642F">
        <w:trPr>
          <w:trHeight w:val="451"/>
        </w:trPr>
        <w:tc>
          <w:tcPr>
            <w:tcW w:w="226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3B 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CTCCTCGGGCTGCACTAC</w:t>
            </w:r>
          </w:p>
        </w:tc>
        <w:tc>
          <w:tcPr>
            <w:tcW w:w="5916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00297" w:rsidRPr="008B72AA" w:rsidTr="005E642F">
        <w:trPr>
          <w:trHeight w:val="451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</w:pPr>
          </w:p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exon 3B</w:t>
            </w:r>
          </w:p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406 bp</w:t>
            </w: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3B 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ACCTTTTCGGCTTCCCAC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1B7A9B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4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s of denaturation at 94°C for 20 sec, 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annealing at 6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0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º. C f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or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 30 sec, and 72°C for 1 min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3 min</w:t>
            </w:r>
          </w:p>
        </w:tc>
      </w:tr>
      <w:tr w:rsidR="00100297" w:rsidRPr="0077786D" w:rsidTr="005E642F">
        <w:trPr>
          <w:trHeight w:val="451"/>
        </w:trPr>
        <w:tc>
          <w:tcPr>
            <w:tcW w:w="226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3B 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CTCTCCCAAGTCACAGCTCC</w:t>
            </w:r>
          </w:p>
        </w:tc>
        <w:tc>
          <w:tcPr>
            <w:tcW w:w="5916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00297" w:rsidRPr="008B72AA" w:rsidTr="005E642F">
        <w:trPr>
          <w:trHeight w:val="451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</w:pPr>
          </w:p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exon 4</w:t>
            </w:r>
          </w:p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229</w:t>
            </w:r>
            <w:r w:rsidRPr="00E25B24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pb</w:t>
            </w: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4 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GACTCCCTCCCGAGAACTTG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1B7A9B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4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s of denaturation at 94°C for 20 sec, 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annealing at 58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º. C f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or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 30 sec, and 72°C for 1 min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3 min</w:t>
            </w:r>
          </w:p>
        </w:tc>
      </w:tr>
      <w:tr w:rsidR="00100297" w:rsidRPr="0077786D" w:rsidTr="005E642F">
        <w:trPr>
          <w:trHeight w:val="451"/>
        </w:trPr>
        <w:tc>
          <w:tcPr>
            <w:tcW w:w="226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1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103618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4 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pt-BR"/>
              </w:rPr>
              <w:t>TGTAATTAACCGCCAGCTCC</w:t>
            </w:r>
          </w:p>
        </w:tc>
        <w:tc>
          <w:tcPr>
            <w:tcW w:w="5916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00297" w:rsidRPr="008B72AA" w:rsidTr="005E642F">
        <w:trPr>
          <w:trHeight w:val="476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eastAsia="pt-BR"/>
              </w:rPr>
            </w:pP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GATA2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exon 5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lang w:eastAsia="pt-BR"/>
              </w:rPr>
              <w:t xml:space="preserve">223 </w:t>
            </w:r>
            <w:proofErr w:type="spellStart"/>
            <w:r w:rsidRPr="003409F8">
              <w:rPr>
                <w:rFonts w:ascii="Times New Roman" w:eastAsia="Times New Roman" w:hAnsi="Times New Roman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GATA2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ex5F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  <w:t>GTGGAGCGAGGGTCAGG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1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94°C for 30 sec, annealing at 64°C for 30sec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, and 72°C for 1 min;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3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</w:t>
            </w:r>
          </w:p>
        </w:tc>
      </w:tr>
      <w:tr w:rsidR="00100297" w:rsidRPr="0077786D" w:rsidTr="005E642F">
        <w:trPr>
          <w:trHeight w:val="346"/>
        </w:trPr>
        <w:tc>
          <w:tcPr>
            <w:tcW w:w="2269" w:type="dxa"/>
            <w:vMerge/>
            <w:vAlign w:val="center"/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GATA2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ex5R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  <w:t>CACAAAGCGCAGAGGTCC</w:t>
            </w:r>
          </w:p>
        </w:tc>
        <w:tc>
          <w:tcPr>
            <w:tcW w:w="5916" w:type="dxa"/>
            <w:vMerge/>
            <w:vAlign w:val="center"/>
            <w:hideMark/>
          </w:tcPr>
          <w:p w:rsidR="00100297" w:rsidRPr="003409F8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337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E25B24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exon 6</w:t>
            </w:r>
          </w:p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415 bp</w:t>
            </w: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5B2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E25B24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6 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AGGAATGTTGCTGGAGGAAG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5E642F" w:rsidP="005E642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33"/>
                <w:lang w:val="en-US"/>
              </w:rPr>
              <w:t>94°C for 2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min,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s of denaturation at 95°C for 30 sec, 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annealing at 6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0</w:t>
            </w:r>
            <w:r w:rsidRPr="001B7A9B">
              <w:rPr>
                <w:rFonts w:ascii="Times New Roman" w:eastAsia="Times New Roman" w:hAnsi="Times New Roman"/>
                <w:color w:val="000000"/>
                <w:lang w:val="en-US" w:eastAsia="pt-BR"/>
              </w:rPr>
              <w:t>º. C f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or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 30 sec, and 72°C for 45 sec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; and </w:t>
            </w:r>
            <w:r>
              <w:rPr>
                <w:rFonts w:ascii="Times New Roman" w:hAnsi="Times New Roman"/>
                <w:color w:val="000033"/>
                <w:lang w:val="en-US"/>
              </w:rPr>
              <w:t>a final extension at 72°C for 3 min</w:t>
            </w:r>
          </w:p>
        </w:tc>
      </w:tr>
      <w:tr w:rsidR="00100297" w:rsidRPr="00E234A1" w:rsidTr="005E642F">
        <w:trPr>
          <w:trHeight w:val="337"/>
        </w:trPr>
        <w:tc>
          <w:tcPr>
            <w:tcW w:w="2269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1B7A9B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i/>
                <w:lang w:eastAsia="pt-BR"/>
              </w:rPr>
            </w:pPr>
            <w:r w:rsidRPr="00E25B24">
              <w:rPr>
                <w:rFonts w:ascii="Times New Roman" w:eastAsia="Times New Roman" w:hAnsi="Times New Roman"/>
                <w:i/>
                <w:color w:val="000000"/>
                <w:lang w:val="en-US" w:eastAsia="pt-BR"/>
              </w:rPr>
              <w:t>GATA2</w:t>
            </w:r>
            <w:r w:rsidRPr="00E234A1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ex</w:t>
            </w:r>
            <w:r>
              <w:rPr>
                <w:rFonts w:ascii="Times New Roman" w:eastAsia="Times New Roman" w:hAnsi="Times New Roman"/>
                <w:color w:val="000000"/>
                <w:lang w:val="en-US" w:eastAsia="pt-BR"/>
              </w:rPr>
              <w:t>6 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GCTGGCAGGAGTGGTGTC</w:t>
            </w:r>
          </w:p>
        </w:tc>
        <w:tc>
          <w:tcPr>
            <w:tcW w:w="5916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E234A1" w:rsidRDefault="00100297" w:rsidP="005E642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00297" w:rsidRPr="008B72AA" w:rsidTr="005E642F">
        <w:trPr>
          <w:trHeight w:val="337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ASXL1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exon 11 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lang w:eastAsia="pt-BR"/>
              </w:rPr>
              <w:t xml:space="preserve">724 </w:t>
            </w:r>
            <w:proofErr w:type="spellStart"/>
            <w:r w:rsidRPr="003409F8">
              <w:rPr>
                <w:rFonts w:ascii="Times New Roman" w:eastAsia="Times New Roman" w:hAnsi="Times New Roman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ex11F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GGCCTGAAACTGATGGCTGTGATT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 xml:space="preserve">10 min;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5E642F">
        <w:trPr>
          <w:trHeight w:val="333"/>
        </w:trPr>
        <w:tc>
          <w:tcPr>
            <w:tcW w:w="2269" w:type="dxa"/>
            <w:vMerge/>
            <w:vAlign w:val="center"/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ex11R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0297" w:rsidRPr="003409F8" w:rsidRDefault="00100297" w:rsidP="00ED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TGACCCTCAAAGAAAACCTGGCTC</w:t>
            </w:r>
          </w:p>
        </w:tc>
        <w:tc>
          <w:tcPr>
            <w:tcW w:w="5916" w:type="dxa"/>
            <w:vMerge/>
            <w:vAlign w:val="center"/>
            <w:hideMark/>
          </w:tcPr>
          <w:p w:rsidR="00100297" w:rsidRPr="003409F8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399"/>
        </w:trPr>
        <w:tc>
          <w:tcPr>
            <w:tcW w:w="226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ASXL1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exon 12 </w:t>
            </w:r>
            <w:r w:rsidRPr="003409F8">
              <w:rPr>
                <w:rFonts w:ascii="Times New Roman" w:eastAsia="Times New Roman" w:hAnsi="Times New Roman"/>
                <w:lang w:eastAsia="pt-BR"/>
              </w:rPr>
              <w:t>PCR1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lang w:eastAsia="pt-BR"/>
              </w:rPr>
              <w:t xml:space="preserve">561 </w:t>
            </w:r>
            <w:proofErr w:type="spellStart"/>
            <w:r w:rsidRPr="003409F8">
              <w:rPr>
                <w:rFonts w:ascii="Times New Roman" w:eastAsia="Times New Roman" w:hAnsi="Times New Roman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ex12F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0297" w:rsidRPr="003409F8" w:rsidRDefault="00100297" w:rsidP="00ED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AGGTCAGATCACCCAGTCAGTT</w:t>
            </w:r>
          </w:p>
        </w:tc>
        <w:tc>
          <w:tcPr>
            <w:tcW w:w="591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>for 10 min</w:t>
            </w:r>
            <w:r w:rsidRPr="003409F8"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5E642F">
        <w:trPr>
          <w:trHeight w:val="351"/>
        </w:trPr>
        <w:tc>
          <w:tcPr>
            <w:tcW w:w="2269" w:type="dxa"/>
            <w:vMerge/>
            <w:vAlign w:val="center"/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ex12R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TAGCCCATCTGTGAGTCCAACTGT</w:t>
            </w:r>
          </w:p>
        </w:tc>
        <w:tc>
          <w:tcPr>
            <w:tcW w:w="5916" w:type="dxa"/>
            <w:vMerge/>
            <w:vAlign w:val="center"/>
            <w:hideMark/>
          </w:tcPr>
          <w:p w:rsidR="00100297" w:rsidRPr="003409F8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331"/>
        </w:trPr>
        <w:tc>
          <w:tcPr>
            <w:tcW w:w="2269" w:type="dxa"/>
            <w:vMerge w:val="restart"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ASXL1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exon 12 </w:t>
            </w:r>
            <w:r w:rsidRPr="003409F8">
              <w:rPr>
                <w:rFonts w:ascii="Times New Roman" w:eastAsia="Times New Roman" w:hAnsi="Times New Roman"/>
                <w:lang w:eastAsia="pt-BR"/>
              </w:rPr>
              <w:t>PCR2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lang w:eastAsia="pt-BR"/>
              </w:rPr>
              <w:t xml:space="preserve"> 558 </w:t>
            </w:r>
            <w:proofErr w:type="spellStart"/>
            <w:r w:rsidRPr="003409F8">
              <w:rPr>
                <w:rFonts w:ascii="Times New Roman" w:eastAsia="Times New Roman" w:hAnsi="Times New Roman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ex12F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0297" w:rsidRPr="003409F8" w:rsidRDefault="00100297" w:rsidP="00ED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AGAGGACCTGCCTTCTCTGAGAAA</w:t>
            </w:r>
          </w:p>
        </w:tc>
        <w:tc>
          <w:tcPr>
            <w:tcW w:w="5916" w:type="dxa"/>
            <w:vMerge w:val="restart"/>
            <w:vAlign w:val="center"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>for 10 min</w:t>
            </w:r>
            <w:r w:rsidRPr="003409F8"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5E642F">
        <w:trPr>
          <w:trHeight w:val="355"/>
        </w:trPr>
        <w:tc>
          <w:tcPr>
            <w:tcW w:w="2269" w:type="dxa"/>
            <w:vMerge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ex12R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TTCGATGGGATGGGTATCCAATGC</w:t>
            </w:r>
          </w:p>
        </w:tc>
        <w:tc>
          <w:tcPr>
            <w:tcW w:w="5916" w:type="dxa"/>
            <w:vMerge/>
            <w:vAlign w:val="center"/>
          </w:tcPr>
          <w:p w:rsidR="00100297" w:rsidRPr="003409F8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335"/>
        </w:trPr>
        <w:tc>
          <w:tcPr>
            <w:tcW w:w="2269" w:type="dxa"/>
            <w:vMerge w:val="restart"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 xml:space="preserve"> ASXL1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exon 12 PCR3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532 </w:t>
            </w:r>
            <w:proofErr w:type="spellStart"/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ex12F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ACTTGAAAACCAAGGCTCTCGT</w:t>
            </w:r>
          </w:p>
        </w:tc>
        <w:tc>
          <w:tcPr>
            <w:tcW w:w="5916" w:type="dxa"/>
            <w:vMerge w:val="restart"/>
            <w:vAlign w:val="center"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>for 10 min</w:t>
            </w:r>
            <w:r w:rsidRPr="003409F8"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5E642F">
        <w:trPr>
          <w:trHeight w:val="344"/>
        </w:trPr>
        <w:tc>
          <w:tcPr>
            <w:tcW w:w="2269" w:type="dxa"/>
            <w:vMerge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ex12R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GCAACCATCCCATCTGTCCTTGTA</w:t>
            </w:r>
          </w:p>
        </w:tc>
        <w:tc>
          <w:tcPr>
            <w:tcW w:w="5916" w:type="dxa"/>
            <w:vMerge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338"/>
        </w:trPr>
        <w:tc>
          <w:tcPr>
            <w:tcW w:w="2269" w:type="dxa"/>
            <w:vMerge w:val="restart"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lastRenderedPageBreak/>
              <w:t>ASXL1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exon 12 PCR4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674 </w:t>
            </w:r>
            <w:proofErr w:type="spellStart"/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5E642F">
            <w:pPr>
              <w:spacing w:after="0" w:line="360" w:lineRule="auto"/>
              <w:ind w:right="216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ex12F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GGTGGACAAGGATGAGAAACCCAA</w:t>
            </w:r>
          </w:p>
        </w:tc>
        <w:tc>
          <w:tcPr>
            <w:tcW w:w="5916" w:type="dxa"/>
            <w:vMerge w:val="restart"/>
            <w:vAlign w:val="center"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>for 10 min</w:t>
            </w:r>
            <w:r w:rsidRPr="003409F8"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5E642F">
        <w:trPr>
          <w:trHeight w:val="473"/>
        </w:trPr>
        <w:tc>
          <w:tcPr>
            <w:tcW w:w="2269" w:type="dxa"/>
            <w:vMerge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ex12R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TGTCCTGTGACATAGCACGGACTT</w:t>
            </w:r>
          </w:p>
        </w:tc>
        <w:tc>
          <w:tcPr>
            <w:tcW w:w="5916" w:type="dxa"/>
            <w:vMerge/>
            <w:vAlign w:val="center"/>
          </w:tcPr>
          <w:p w:rsidR="00100297" w:rsidRPr="003409F8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306"/>
        </w:trPr>
        <w:tc>
          <w:tcPr>
            <w:tcW w:w="2269" w:type="dxa"/>
            <w:vMerge w:val="restart"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ASXL1</w:t>
            </w: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exon 12 PCR5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lang w:eastAsia="pt-BR"/>
              </w:rPr>
              <w:t xml:space="preserve">533 </w:t>
            </w:r>
            <w:proofErr w:type="spellStart"/>
            <w:r w:rsidRPr="003409F8">
              <w:rPr>
                <w:rFonts w:ascii="Times New Roman" w:eastAsia="Times New Roman" w:hAnsi="Times New Roman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ex12F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TGGATTCCAAAGAGCAGTTCTCTTC</w:t>
            </w:r>
          </w:p>
        </w:tc>
        <w:tc>
          <w:tcPr>
            <w:tcW w:w="5916" w:type="dxa"/>
            <w:vMerge w:val="restart"/>
            <w:vAlign w:val="center"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>for 10 min</w:t>
            </w:r>
            <w:r w:rsidRPr="003409F8"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A4233F">
        <w:trPr>
          <w:trHeight w:val="346"/>
        </w:trPr>
        <w:tc>
          <w:tcPr>
            <w:tcW w:w="2269" w:type="dxa"/>
            <w:vMerge/>
            <w:vAlign w:val="center"/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ex12R 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Arial" w:eastAsia="Times New Roman" w:hAnsi="Arial" w:cs="Arial"/>
                <w:color w:val="000000"/>
                <w:lang w:eastAsia="pt-BR"/>
              </w:rPr>
              <w:t>CATGACAAAGGGCATCCCTTCCAA</w:t>
            </w:r>
          </w:p>
        </w:tc>
        <w:tc>
          <w:tcPr>
            <w:tcW w:w="5916" w:type="dxa"/>
            <w:vMerge/>
            <w:vAlign w:val="center"/>
          </w:tcPr>
          <w:p w:rsidR="00100297" w:rsidRPr="003409F8" w:rsidRDefault="00100297" w:rsidP="005E642F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00297" w:rsidRPr="008B72AA" w:rsidTr="005E642F">
        <w:trPr>
          <w:trHeight w:val="414"/>
        </w:trPr>
        <w:tc>
          <w:tcPr>
            <w:tcW w:w="2269" w:type="dxa"/>
            <w:vMerge w:val="restart"/>
            <w:vAlign w:val="center"/>
          </w:tcPr>
          <w:p w:rsidR="00100297" w:rsidRPr="00A4233F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A4233F"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ASXL1</w:t>
            </w:r>
            <w:r w:rsidRPr="00A4233F">
              <w:rPr>
                <w:rFonts w:ascii="Times New Roman" w:eastAsia="Times New Roman" w:hAnsi="Times New Roman"/>
                <w:color w:val="000000"/>
                <w:lang w:eastAsia="pt-BR"/>
              </w:rPr>
              <w:t>exon 12 PCR6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lang w:eastAsia="pt-BR"/>
              </w:rPr>
              <w:t xml:space="preserve">593 </w:t>
            </w:r>
            <w:proofErr w:type="spellStart"/>
            <w:r w:rsidRPr="003409F8">
              <w:rPr>
                <w:rFonts w:ascii="Times New Roman" w:eastAsia="Times New Roman" w:hAnsi="Times New Roman"/>
                <w:lang w:eastAsia="pt-BR"/>
              </w:rPr>
              <w:t>bp</w:t>
            </w:r>
            <w:proofErr w:type="spellEnd"/>
          </w:p>
        </w:tc>
        <w:tc>
          <w:tcPr>
            <w:tcW w:w="180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ex12F </w:t>
            </w:r>
          </w:p>
        </w:tc>
        <w:tc>
          <w:tcPr>
            <w:tcW w:w="414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00297" w:rsidRPr="003409F8" w:rsidRDefault="00100297" w:rsidP="00ED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ACAGGAAAGCTACTGGGCATAGTC</w:t>
            </w:r>
          </w:p>
        </w:tc>
        <w:tc>
          <w:tcPr>
            <w:tcW w:w="5916" w:type="dxa"/>
            <w:vMerge w:val="restart"/>
            <w:vAlign w:val="center"/>
          </w:tcPr>
          <w:p w:rsidR="00100297" w:rsidRPr="003409F8" w:rsidRDefault="005E642F" w:rsidP="005E642F">
            <w:pPr>
              <w:spacing w:after="0" w:line="36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3409F8">
              <w:rPr>
                <w:rFonts w:ascii="Times New Roman" w:hAnsi="Times New Roman"/>
                <w:lang w:val="en-US"/>
              </w:rPr>
              <w:t xml:space="preserve">95 °C </w:t>
            </w:r>
            <w:r>
              <w:rPr>
                <w:rFonts w:ascii="Times New Roman" w:hAnsi="Times New Roman"/>
                <w:lang w:val="en-US"/>
              </w:rPr>
              <w:t>for 10 min</w:t>
            </w:r>
            <w:r w:rsidRPr="003409F8">
              <w:rPr>
                <w:rFonts w:ascii="Times New Roman" w:hAnsi="Times New Roman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33"/>
                <w:lang w:val="en-US"/>
              </w:rPr>
              <w:t>35</w:t>
            </w:r>
            <w:r w:rsidRPr="003409F8">
              <w:rPr>
                <w:rFonts w:ascii="Times New Roman" w:hAnsi="Times New Roman"/>
                <w:color w:val="000033"/>
                <w:lang w:val="en-US"/>
              </w:rPr>
              <w:t xml:space="preserve"> cycles of denaturation at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</w:t>
            </w:r>
            <w:r w:rsidRPr="003409F8">
              <w:rPr>
                <w:rFonts w:ascii="Times New Roman" w:hAnsi="Times New Roman"/>
                <w:lang w:val="en-US"/>
              </w:rPr>
              <w:t>95°C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 xml:space="preserve">30 s, </w:t>
            </w:r>
            <w:r>
              <w:rPr>
                <w:rFonts w:ascii="Times New Roman" w:hAnsi="Times New Roman"/>
                <w:color w:val="000033"/>
                <w:lang w:val="en-US"/>
              </w:rPr>
              <w:t xml:space="preserve"> annealing at </w:t>
            </w:r>
            <w:r w:rsidRPr="003409F8">
              <w:rPr>
                <w:rFonts w:ascii="Times New Roman" w:hAnsi="Times New Roman"/>
                <w:lang w:val="en-US"/>
              </w:rPr>
              <w:t>55°C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</w:t>
            </w:r>
            <w:r w:rsidRPr="003409F8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and</w:t>
            </w:r>
            <w:r w:rsidRPr="003409F8">
              <w:rPr>
                <w:rFonts w:ascii="Times New Roman" w:hAnsi="Times New Roman"/>
                <w:lang w:val="en-US"/>
              </w:rPr>
              <w:t xml:space="preserve"> 72°C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30 s</w:t>
            </w:r>
            <w:r>
              <w:rPr>
                <w:rFonts w:ascii="Times New Roman" w:hAnsi="Times New Roman"/>
                <w:lang w:val="en-US"/>
              </w:rPr>
              <w:t>ec; and a final extension at</w:t>
            </w:r>
            <w:r w:rsidRPr="003409F8">
              <w:rPr>
                <w:rFonts w:ascii="Times New Roman" w:hAnsi="Times New Roman"/>
                <w:lang w:val="en-US"/>
              </w:rPr>
              <w:t xml:space="preserve"> 72° C </w:t>
            </w:r>
            <w:r>
              <w:rPr>
                <w:rFonts w:ascii="Times New Roman" w:hAnsi="Times New Roman"/>
                <w:lang w:val="en-US"/>
              </w:rPr>
              <w:t xml:space="preserve">for </w:t>
            </w:r>
            <w:r w:rsidRPr="003409F8">
              <w:rPr>
                <w:rFonts w:ascii="Times New Roman" w:hAnsi="Times New Roman"/>
                <w:lang w:val="en-US"/>
              </w:rPr>
              <w:t>10 min</w:t>
            </w:r>
          </w:p>
        </w:tc>
      </w:tr>
      <w:tr w:rsidR="00100297" w:rsidRPr="0077786D" w:rsidTr="00A4233F">
        <w:trPr>
          <w:trHeight w:val="337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00297" w:rsidRPr="00D21B34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i/>
                <w:lang w:eastAsia="pt-BR"/>
              </w:rPr>
              <w:t>ASXL1</w:t>
            </w:r>
            <w:r w:rsidR="005E642F">
              <w:rPr>
                <w:rFonts w:ascii="Times New Roman" w:eastAsia="Times New Roman" w:hAnsi="Times New Roman"/>
                <w:lang w:eastAsia="pt-BR"/>
              </w:rPr>
              <w:t xml:space="preserve"> ex12R </w:t>
            </w:r>
          </w:p>
          <w:p w:rsidR="00100297" w:rsidRPr="003409F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297" w:rsidRPr="003409F8" w:rsidRDefault="00100297" w:rsidP="00ED1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t-BR"/>
              </w:rPr>
            </w:pPr>
            <w:r w:rsidRPr="003409F8">
              <w:rPr>
                <w:rFonts w:ascii="Times New Roman" w:eastAsia="Times New Roman" w:hAnsi="Times New Roman"/>
                <w:color w:val="000000"/>
                <w:lang w:eastAsia="pt-BR"/>
              </w:rPr>
              <w:t>CAAGAGTGCTCCTGCCTAAAGAGT</w:t>
            </w:r>
          </w:p>
        </w:tc>
        <w:tc>
          <w:tcPr>
            <w:tcW w:w="5916" w:type="dxa"/>
            <w:vMerge/>
            <w:tcBorders>
              <w:bottom w:val="single" w:sz="4" w:space="0" w:color="auto"/>
            </w:tcBorders>
            <w:vAlign w:val="center"/>
          </w:tcPr>
          <w:p w:rsidR="00100297" w:rsidRPr="00E224A8" w:rsidRDefault="00100297" w:rsidP="00100297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bookmarkEnd w:id="0"/>
    <w:p w:rsidR="00177371" w:rsidRPr="00805ADF" w:rsidRDefault="00C976D3" w:rsidP="00A4233F">
      <w:pPr>
        <w:autoSpaceDE w:val="0"/>
        <w:autoSpaceDN w:val="0"/>
        <w:adjustRightInd w:val="0"/>
        <w:spacing w:line="240" w:lineRule="auto"/>
        <w:jc w:val="both"/>
        <w:rPr>
          <w:lang w:val="en-US"/>
        </w:rPr>
      </w:pPr>
      <w:r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For </w:t>
      </w:r>
      <w:r w:rsidRPr="00805ADF">
        <w:rPr>
          <w:rFonts w:ascii="Times New Roman" w:hAnsi="Times New Roman"/>
          <w:i/>
          <w:color w:val="000033"/>
          <w:sz w:val="24"/>
          <w:szCs w:val="24"/>
          <w:lang w:val="en-US"/>
        </w:rPr>
        <w:t>GATA2</w:t>
      </w:r>
      <w:r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 PCR and sequencing: </w:t>
      </w:r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Genomic DNA was purified from blood and bone </w:t>
      </w:r>
      <w:proofErr w:type="spellStart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marrrow</w:t>
      </w:r>
      <w:proofErr w:type="spellEnd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 samples with QIAamp® DNA Blood Mini Kit (Qiagen, Hilden, Germany). Mutations were determined in the entire coding region on the </w:t>
      </w:r>
      <w:r w:rsidR="00177371" w:rsidRPr="00805ADF">
        <w:rPr>
          <w:rFonts w:ascii="Times New Roman" w:hAnsi="Times New Roman"/>
          <w:i/>
          <w:color w:val="000033"/>
          <w:sz w:val="24"/>
          <w:szCs w:val="24"/>
          <w:lang w:val="en-US"/>
        </w:rPr>
        <w:t>GATA2</w:t>
      </w:r>
      <w:r w:rsidR="00A4233F">
        <w:rPr>
          <w:rFonts w:ascii="Times New Roman" w:hAnsi="Times New Roman"/>
          <w:i/>
          <w:color w:val="000033"/>
          <w:sz w:val="24"/>
          <w:szCs w:val="24"/>
          <w:lang w:val="en-US"/>
        </w:rPr>
        <w:t xml:space="preserve">, </w:t>
      </w:r>
      <w:r w:rsidR="00A4233F" w:rsidRPr="00A4233F">
        <w:rPr>
          <w:rFonts w:ascii="Times New Roman" w:hAnsi="Times New Roman"/>
          <w:color w:val="000033"/>
          <w:sz w:val="24"/>
          <w:szCs w:val="24"/>
          <w:lang w:val="en-US"/>
        </w:rPr>
        <w:t>according to Wang et al, 2015</w:t>
      </w:r>
      <w:r w:rsidR="00ED1288">
        <w:rPr>
          <w:rFonts w:ascii="Times New Roman" w:hAnsi="Times New Roman"/>
          <w:color w:val="000033"/>
          <w:sz w:val="24"/>
          <w:szCs w:val="24"/>
          <w:lang w:val="en-US"/>
        </w:rPr>
        <w:t>,</w:t>
      </w:r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 after amplification of 100 ng of genomic DNA by polymerase chain reaction (PCR) with 1U of Taq DNA </w:t>
      </w:r>
      <w:proofErr w:type="spellStart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polimerase</w:t>
      </w:r>
      <w:proofErr w:type="spellEnd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 (Invitrogen, Carlsbad, CA), 1x PCR buffer (50 mM </w:t>
      </w:r>
      <w:proofErr w:type="spellStart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KCl</w:t>
      </w:r>
      <w:proofErr w:type="spellEnd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, 20nM Tris–HCl pH 8,4); 1,5 mM of MgCl</w:t>
      </w:r>
      <w:r w:rsidR="00177371" w:rsidRPr="00805ADF">
        <w:rPr>
          <w:rFonts w:ascii="Times New Roman" w:hAnsi="Times New Roman"/>
          <w:color w:val="000033"/>
          <w:sz w:val="24"/>
          <w:szCs w:val="24"/>
          <w:vertAlign w:val="subscript"/>
          <w:lang w:val="en-US"/>
        </w:rPr>
        <w:t>2</w:t>
      </w:r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; 0,2 mM of dNTPs, and 0.4 </w:t>
      </w:r>
      <w:proofErr w:type="spellStart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μM</w:t>
      </w:r>
      <w:proofErr w:type="spellEnd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 each forward and reve</w:t>
      </w:r>
      <w:r w:rsidR="00A4233F">
        <w:rPr>
          <w:rFonts w:ascii="Times New Roman" w:hAnsi="Times New Roman"/>
          <w:color w:val="000033"/>
          <w:sz w:val="24"/>
          <w:szCs w:val="24"/>
          <w:lang w:val="en-US"/>
        </w:rPr>
        <w:t>rse primer</w:t>
      </w:r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. The fragments were visualized on a 1.5% agarose gel stained with </w:t>
      </w:r>
      <w:proofErr w:type="spellStart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GelRed</w:t>
      </w:r>
      <w:proofErr w:type="spellEnd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® (</w:t>
      </w:r>
      <w:proofErr w:type="spellStart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Biotium</w:t>
      </w:r>
      <w:proofErr w:type="spellEnd"/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 xml:space="preserve">, CA, USA). Fragments were purified GFX® PCR DNA and Gel Band Purification Kit (GE Healthcare, NE, UK) according to manufacturer’s instructions.  DNA sequencing was performed with BigDye® Terminator v3.1 Cycle Sequencing Kit, Applied Biosystems, CA, USA) in the ABI3130xl Genetic Analyzer (Applied Biosystems, CA, USA). Sequences were compared with reference sequence </w:t>
      </w:r>
      <w:r w:rsidR="006D0739" w:rsidRPr="00805ADF">
        <w:rPr>
          <w:rFonts w:ascii="Times New Roman" w:hAnsi="Times New Roman"/>
          <w:color w:val="000033"/>
          <w:sz w:val="24"/>
          <w:szCs w:val="24"/>
          <w:lang w:val="en-US"/>
        </w:rPr>
        <w:t>(GATA2 NG 9334.1.gbk)</w:t>
      </w:r>
      <w:r w:rsidR="00177371" w:rsidRPr="00805ADF">
        <w:rPr>
          <w:rFonts w:ascii="Times New Roman" w:hAnsi="Times New Roman"/>
          <w:color w:val="000033"/>
          <w:sz w:val="24"/>
          <w:szCs w:val="24"/>
          <w:lang w:val="en-US"/>
        </w:rPr>
        <w:t>.</w:t>
      </w:r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805ADF" w:rsidRPr="00805ADF">
        <w:rPr>
          <w:rFonts w:ascii="Times New Roman" w:hAnsi="Times New Roman"/>
          <w:i/>
          <w:sz w:val="24"/>
          <w:szCs w:val="24"/>
          <w:lang w:val="en-US"/>
        </w:rPr>
        <w:t>ASXL1</w:t>
      </w:r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 PCR and </w:t>
      </w:r>
      <w:proofErr w:type="spellStart"/>
      <w:r w:rsidR="00805ADF" w:rsidRPr="00805ADF">
        <w:rPr>
          <w:rFonts w:ascii="Times New Roman" w:hAnsi="Times New Roman"/>
          <w:sz w:val="24"/>
          <w:szCs w:val="24"/>
          <w:lang w:val="en-US"/>
        </w:rPr>
        <w:t>sequencieng</w:t>
      </w:r>
      <w:proofErr w:type="spellEnd"/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: PCR amplifications were done in a total volume of 50 µl PCR mix containing at least 100 ng template DNA, buffer 1x (50mM </w:t>
      </w:r>
      <w:proofErr w:type="spellStart"/>
      <w:r w:rsidR="00805ADF" w:rsidRPr="00805ADF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; 20nM Tris-HCl, pH 8,4) (Invitrogen, </w:t>
      </w:r>
      <w:r w:rsidR="00805ADF" w:rsidRPr="00805ADF">
        <w:rPr>
          <w:rFonts w:ascii="Times New Roman" w:hAnsi="Times New Roman"/>
          <w:color w:val="000000"/>
          <w:sz w:val="24"/>
          <w:szCs w:val="24"/>
          <w:lang w:val="en-US"/>
        </w:rPr>
        <w:t>CA, USA</w:t>
      </w:r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), 1,5mM of </w:t>
      </w:r>
      <w:r w:rsidR="00805ADF" w:rsidRPr="00805ADF">
        <w:rPr>
          <w:rFonts w:ascii="Times New Roman" w:hAnsi="Times New Roman"/>
          <w:color w:val="000000"/>
          <w:sz w:val="24"/>
          <w:szCs w:val="24"/>
          <w:lang w:val="en-US"/>
        </w:rPr>
        <w:t>MgCl</w:t>
      </w:r>
      <w:r w:rsidR="00805ADF" w:rsidRPr="00805A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, 200 µmol of each deoxynucleotide triphosphate, 20 </w:t>
      </w:r>
      <w:proofErr w:type="spellStart"/>
      <w:r w:rsidR="00805ADF" w:rsidRPr="00805ADF">
        <w:rPr>
          <w:rFonts w:ascii="Times New Roman" w:hAnsi="Times New Roman"/>
          <w:sz w:val="24"/>
          <w:szCs w:val="24"/>
          <w:lang w:val="en-US"/>
        </w:rPr>
        <w:t>pmol</w:t>
      </w:r>
      <w:proofErr w:type="spellEnd"/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 of each primer and 1 </w:t>
      </w:r>
      <w:proofErr w:type="spellStart"/>
      <w:r w:rsidR="00805ADF" w:rsidRPr="00805ADF">
        <w:rPr>
          <w:rFonts w:ascii="Times New Roman" w:hAnsi="Times New Roman"/>
          <w:sz w:val="24"/>
          <w:szCs w:val="24"/>
          <w:lang w:val="en-US"/>
        </w:rPr>
        <w:t>unitTaq</w:t>
      </w:r>
      <w:proofErr w:type="spellEnd"/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 DNA </w:t>
      </w:r>
      <w:proofErr w:type="spellStart"/>
      <w:r w:rsidR="00805ADF" w:rsidRPr="00805ADF">
        <w:rPr>
          <w:rFonts w:ascii="Times New Roman" w:hAnsi="Times New Roman"/>
          <w:sz w:val="24"/>
          <w:szCs w:val="24"/>
          <w:lang w:val="en-US"/>
        </w:rPr>
        <w:t>polimerase</w:t>
      </w:r>
      <w:proofErr w:type="spellEnd"/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05ADF" w:rsidRPr="00805ADF">
        <w:rPr>
          <w:rFonts w:ascii="Times New Roman" w:hAnsi="Times New Roman"/>
          <w:sz w:val="24"/>
          <w:szCs w:val="24"/>
          <w:lang w:val="en-US"/>
        </w:rPr>
        <w:t>Invitrogem</w:t>
      </w:r>
      <w:proofErr w:type="spellEnd"/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05ADF" w:rsidRPr="00805ADF">
        <w:rPr>
          <w:rFonts w:ascii="Times New Roman" w:hAnsi="Times New Roman"/>
          <w:color w:val="000000"/>
          <w:sz w:val="24"/>
          <w:szCs w:val="24"/>
          <w:lang w:val="en-US"/>
        </w:rPr>
        <w:t>CA, USA)</w:t>
      </w:r>
      <w:r w:rsidR="00805ADF" w:rsidRPr="00805ADF">
        <w:rPr>
          <w:rFonts w:ascii="Times New Roman" w:hAnsi="Times New Roman"/>
          <w:sz w:val="24"/>
          <w:szCs w:val="24"/>
          <w:lang w:val="en-US"/>
        </w:rPr>
        <w:t xml:space="preserve">. The primers are described in Supplemental Table 1. After the PCR reaction, the products were visualized on 2% agarose gels by electrophoresis. </w:t>
      </w:r>
    </w:p>
    <w:sectPr w:rsidR="00177371" w:rsidRPr="00805ADF" w:rsidSect="003C13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C5"/>
    <w:rsid w:val="00063871"/>
    <w:rsid w:val="00100297"/>
    <w:rsid w:val="00103618"/>
    <w:rsid w:val="00107B63"/>
    <w:rsid w:val="00177371"/>
    <w:rsid w:val="001B4B99"/>
    <w:rsid w:val="001B7A9B"/>
    <w:rsid w:val="001D790B"/>
    <w:rsid w:val="001F3624"/>
    <w:rsid w:val="003409F8"/>
    <w:rsid w:val="003C1392"/>
    <w:rsid w:val="003C6BF3"/>
    <w:rsid w:val="005E642F"/>
    <w:rsid w:val="005F7DB9"/>
    <w:rsid w:val="006D0739"/>
    <w:rsid w:val="007540C5"/>
    <w:rsid w:val="007B5437"/>
    <w:rsid w:val="00805ADF"/>
    <w:rsid w:val="008B72AA"/>
    <w:rsid w:val="009F5792"/>
    <w:rsid w:val="00A4233F"/>
    <w:rsid w:val="00AA1951"/>
    <w:rsid w:val="00C811B3"/>
    <w:rsid w:val="00C976D3"/>
    <w:rsid w:val="00D21B34"/>
    <w:rsid w:val="00D73A12"/>
    <w:rsid w:val="00E224A8"/>
    <w:rsid w:val="00E234A1"/>
    <w:rsid w:val="00E25B24"/>
    <w:rsid w:val="00E35B91"/>
    <w:rsid w:val="00E831A3"/>
    <w:rsid w:val="00ED1288"/>
    <w:rsid w:val="00EF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D137"/>
  <w15:docId w15:val="{9F7F2F20-DFA7-41A3-BBE7-0E1D97F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773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371"/>
    <w:pPr>
      <w:spacing w:after="0" w:line="240" w:lineRule="auto"/>
      <w:ind w:right="425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37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371"/>
    <w:rPr>
      <w:rFonts w:ascii="Segoe UI" w:eastAsia="Calibr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805ADF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Almeida</dc:creator>
  <cp:keywords/>
  <dc:description/>
  <cp:lastModifiedBy>Daniela Almeida</cp:lastModifiedBy>
  <cp:revision>2</cp:revision>
  <dcterms:created xsi:type="dcterms:W3CDTF">2019-03-29T02:43:00Z</dcterms:created>
  <dcterms:modified xsi:type="dcterms:W3CDTF">2019-03-29T02:43:00Z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id="eB3dzDXx"/&gt;&lt;style id="http://www.zotero.org/styles/bmc-cancer" hasBibliography="1" bibliographyStyleHasBeenSet="1"/&gt;&lt;prefs&gt;&lt;pref name="fieldType" value="Field"/&gt;&lt;pref name="automaticJournalAbbrev</vt:lpwstr>
  </property>
  <property fmtid="{D5CDD505-2E9C-101B-9397-08002B2CF9AE}" pid="3" name="ZOTERO_PREF_2">
    <vt:lpwstr>iations" value="true"/&gt;&lt;/prefs&gt;&lt;/data&gt;</vt:lpwstr>
  </property>
</Properties>
</file>