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E" w:rsidRDefault="00ED361E" w:rsidP="00ED361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66AB9">
        <w:rPr>
          <w:rFonts w:ascii="Times New Roman" w:hAnsi="Times New Roman" w:cs="Times New Roman"/>
          <w:b/>
          <w:sz w:val="24"/>
          <w:szCs w:val="24"/>
        </w:rPr>
        <w:t>Additional File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</w:p>
    <w:p w:rsidR="00ED361E" w:rsidRPr="00166AB9" w:rsidRDefault="00ED361E" w:rsidP="00ED361E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66AB9"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Pr="00166AB9">
        <w:rPr>
          <w:rFonts w:ascii="Times New Roman" w:hAnsi="Times New Roman" w:cs="Times New Roman"/>
          <w:sz w:val="24"/>
          <w:szCs w:val="24"/>
        </w:rPr>
        <w:t>Baseline characteristics of participants across tertile</w:t>
      </w:r>
      <w:r w:rsidRPr="00166AB9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Pr="00166AB9">
        <w:rPr>
          <w:rFonts w:ascii="Times New Roman" w:hAnsi="Times New Roman" w:cs="Times New Roman"/>
          <w:sz w:val="24"/>
          <w:szCs w:val="24"/>
        </w:rPr>
        <w:t xml:space="preserve"> of dietary pattern score</w:t>
      </w:r>
      <w:r w:rsidRPr="00166AB9">
        <w:rPr>
          <w:rFonts w:ascii="Times New Roman" w:hAnsi="Times New Roman" w:cs="Times New Roman"/>
          <w:sz w:val="24"/>
          <w:szCs w:val="24"/>
          <w:lang w:eastAsia="zh-TW"/>
        </w:rPr>
        <w:t xml:space="preserve">s </w:t>
      </w:r>
      <w:r w:rsidRPr="00166AB9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a</w:t>
      </w:r>
    </w:p>
    <w:tbl>
      <w:tblPr>
        <w:tblW w:w="9368" w:type="dxa"/>
        <w:jc w:val="center"/>
        <w:tblLook w:val="04A0" w:firstRow="1" w:lastRow="0" w:firstColumn="1" w:lastColumn="0" w:noHBand="0" w:noVBand="1"/>
      </w:tblPr>
      <w:tblGrid>
        <w:gridCol w:w="2679"/>
        <w:gridCol w:w="2028"/>
        <w:gridCol w:w="1701"/>
        <w:gridCol w:w="1701"/>
        <w:gridCol w:w="1259"/>
      </w:tblGrid>
      <w:tr w:rsidR="00ED361E" w:rsidRPr="00166AB9" w:rsidTr="00FA48A9">
        <w:trPr>
          <w:trHeight w:val="516"/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6A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6A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</w:p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6A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703)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  <w:lang w:eastAsia="zh-TW"/>
              </w:rPr>
              <w:t>P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 ± 9.6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 ± 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 ± 10.0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Sex, males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(40.0)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(51.6)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(64.3)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status, current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(8.1)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 (14.9)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(26.1)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Drinking status, yes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 (9.9)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 (14.4)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 (22.5)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activity, yes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 (28.9)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(25.8)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(24.2)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Cardiovascular status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(6.2)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(6.2)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(5.8)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0.274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status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 (26.9)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 (28.8)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(30.2)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30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status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(8.2)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(9.8)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(11.1)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93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Weight status</w:t>
            </w:r>
          </w:p>
        </w:tc>
      </w:tr>
      <w:tr w:rsidR="00ED361E" w:rsidRPr="00166AB9" w:rsidTr="00FA48A9">
        <w:trPr>
          <w:trHeight w:val="330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(kg/m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 ± 3.1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 ± 3.3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 ± 3.5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 circumference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 ± 9.2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 ± 9.5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82.1 ± 10.0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circumference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 ± 5.6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 ± 5.9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 ± 6.2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WHR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1.6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1.1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 ± 1.4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fat mass (%)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 ± 6.6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 ± 7.0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 ± 7.0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0.859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93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Cardiovascular risk factors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SBP (mmHg)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121.5 ± 18.0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122.4 ± 18.3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123.5 ± 18.2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DBP (mmHg)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 ± 11.5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 ± 11.8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 ± 11.9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FBG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 ± 1.2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 ± 1.2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 ± 1.4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1.0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1.3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 ± 0.9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HDL-C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 ± 0.4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± 0.4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± 0.4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LDL-C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0.8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± 0.8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± 0.8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TC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/HDL-C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± 0.9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 ± 1.0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 (mg/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± 0.1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 (mg/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± 0.2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9368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Albumin, inflammatory biomarker, and kidney function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Albumin (g/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± 0.2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± 0.2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CRP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 ± 42.3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 ± 52.1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 ± 48.8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 (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± 1.5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± 1.4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± 1.5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Creatinine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(µ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 ± 24.2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 ± 20.8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 ± 21.1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30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eGFR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(mL/min/1.73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 ± 9.6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73.7 ± 9.8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 ± 10.0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Proteinuria</w:t>
            </w:r>
          </w:p>
        </w:tc>
        <w:tc>
          <w:tcPr>
            <w:tcW w:w="20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(96.6)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 (95.5)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(94.6)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1E" w:rsidRPr="00166AB9" w:rsidTr="00FA48A9">
        <w:trPr>
          <w:trHeight w:val="315"/>
          <w:jc w:val="center"/>
        </w:trPr>
        <w:tc>
          <w:tcPr>
            <w:tcW w:w="2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(1.9)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(2.5)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(3.1)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1E" w:rsidRPr="00166AB9" w:rsidTr="00FA48A9">
        <w:trPr>
          <w:trHeight w:val="330"/>
          <w:jc w:val="center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166AB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(1.5)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(</w:t>
            </w:r>
            <w:r w:rsidRPr="00166A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2.0</w:t>
            </w: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(2.3)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1E" w:rsidRPr="00166AB9" w:rsidRDefault="00ED361E" w:rsidP="00FA48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1E" w:rsidRPr="00166AB9" w:rsidTr="00FA48A9">
        <w:trPr>
          <w:trHeight w:val="330"/>
          <w:jc w:val="center"/>
        </w:trPr>
        <w:tc>
          <w:tcPr>
            <w:tcW w:w="9368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361E" w:rsidRPr="00166AB9" w:rsidRDefault="00ED361E" w:rsidP="00FA48A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BMI body mass index, WHR waist-to-hip ratio, SBP systolic blood pressure, DBP diastolic blood pressure, FBG fasting blood glucose, TG triglycerides, TC total cholesterol, HDL-C high density lipoprotein-cholesterol, LDL-C low density lipoprotein-cholesterol, TC/HDL-C total cholesterol-to-HDL-C ratio, CRP C-reactive protein, BUN blood urea nitrogen, 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glomerular filtration rate.</w:t>
            </w:r>
          </w:p>
          <w:p w:rsidR="00ED361E" w:rsidRPr="00166AB9" w:rsidRDefault="00ED361E" w:rsidP="00FA48A9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Continuous data are presented as mean ± SD, and categorical data are presented as numbers (percentage).</w:t>
            </w:r>
          </w:p>
          <w:p w:rsidR="00ED361E" w:rsidRPr="00166AB9" w:rsidRDefault="00ED361E" w:rsidP="00FA48A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166AB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P</w:t>
            </w:r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-value was analyzed using </w:t>
            </w:r>
            <w:proofErr w:type="spellStart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Kruskal</w:t>
            </w:r>
            <w:proofErr w:type="spellEnd"/>
            <w:r w:rsidRPr="00166AB9">
              <w:rPr>
                <w:rFonts w:ascii="Times New Roman" w:eastAsia="Times New Roman" w:hAnsi="Times New Roman" w:cs="Times New Roman"/>
                <w:sz w:val="24"/>
                <w:szCs w:val="24"/>
              </w:rPr>
              <w:t>-Wallis test for continuous variables and chi-square test for categorical variables.</w:t>
            </w:r>
          </w:p>
        </w:tc>
      </w:tr>
    </w:tbl>
    <w:p w:rsidR="00ED361E" w:rsidRPr="007D0328" w:rsidRDefault="00ED361E" w:rsidP="00ED36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C61" w:rsidRDefault="00E70C61">
      <w:bookmarkStart w:id="0" w:name="_GoBack"/>
      <w:bookmarkEnd w:id="0"/>
    </w:p>
    <w:sectPr w:rsidR="00E7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1E"/>
    <w:rsid w:val="000774D5"/>
    <w:rsid w:val="00694125"/>
    <w:rsid w:val="00E70C61"/>
    <w:rsid w:val="00E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E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E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2186</Characters>
  <Application>Microsoft Office Word</Application>
  <DocSecurity>0</DocSecurity>
  <Lines>168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2019-04-01T03:38:00Z</dcterms:created>
  <dcterms:modified xsi:type="dcterms:W3CDTF">2019-04-01T03:38:00Z</dcterms:modified>
</cp:coreProperties>
</file>