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D1D33" w:rsidP="00605D0B">
      <w:pPr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>Additional</w:t>
      </w:r>
      <w:r>
        <w:rPr>
          <w:b/>
          <w:sz w:val="20"/>
        </w:rPr>
        <w:t xml:space="preserve"> </w:t>
      </w:r>
      <w:r w:rsidR="00CB06AE">
        <w:rPr>
          <w:b/>
          <w:sz w:val="20"/>
        </w:rPr>
        <w:t>Materials</w:t>
      </w:r>
      <w:r w:rsidR="00605D0B">
        <w:rPr>
          <w:b/>
          <w:sz w:val="20"/>
        </w:rPr>
        <w:t xml:space="preserve"> for:</w:t>
      </w:r>
    </w:p>
    <w:p w:rsidR="00605D0B" w:rsidRDefault="00605D0B" w:rsidP="00605D0B">
      <w:pPr>
        <w:spacing w:line="480" w:lineRule="auto"/>
        <w:jc w:val="center"/>
        <w:rPr>
          <w:b/>
          <w:sz w:val="20"/>
        </w:rPr>
      </w:pPr>
      <w:r>
        <w:rPr>
          <w:b/>
          <w:sz w:val="20"/>
        </w:rPr>
        <w:t xml:space="preserve">A Novel Method for the Capture-based Purification of Whole Viral Native RNA Genomes </w:t>
      </w:r>
    </w:p>
    <w:p w:rsidR="00605D0B" w:rsidRPr="00235A8D" w:rsidRDefault="00605D0B" w:rsidP="00605D0B">
      <w:pPr>
        <w:jc w:val="center"/>
        <w:rPr>
          <w:sz w:val="18"/>
        </w:rPr>
      </w:pPr>
      <w:r w:rsidRPr="00235A8D">
        <w:rPr>
          <w:sz w:val="18"/>
        </w:rPr>
        <w:t>Cedric Chih Shen Tan</w:t>
      </w:r>
      <w:r w:rsidRPr="00235A8D">
        <w:rPr>
          <w:sz w:val="18"/>
          <w:vertAlign w:val="superscript"/>
        </w:rPr>
        <w:t>1,2</w:t>
      </w:r>
      <w:r>
        <w:rPr>
          <w:sz w:val="18"/>
          <w:vertAlign w:val="superscript"/>
        </w:rPr>
        <w:t>,3</w:t>
      </w:r>
      <w:r w:rsidRPr="00295B77">
        <w:rPr>
          <w:sz w:val="18"/>
          <w:vertAlign w:val="superscript"/>
        </w:rPr>
        <w:t>†</w:t>
      </w:r>
      <w:r w:rsidRPr="00235A8D">
        <w:rPr>
          <w:sz w:val="18"/>
        </w:rPr>
        <w:t>, Sebastian Maurer-Stroh</w:t>
      </w:r>
      <w:r>
        <w:rPr>
          <w:sz w:val="18"/>
          <w:vertAlign w:val="superscript"/>
        </w:rPr>
        <w:t>4</w:t>
      </w:r>
      <w:r w:rsidRPr="00235A8D">
        <w:rPr>
          <w:sz w:val="18"/>
        </w:rPr>
        <w:t>, Yue Wan</w:t>
      </w:r>
      <w:r w:rsidRPr="00235A8D">
        <w:rPr>
          <w:sz w:val="18"/>
          <w:vertAlign w:val="superscript"/>
        </w:rPr>
        <w:t>1</w:t>
      </w:r>
      <w:r w:rsidRPr="00235A8D">
        <w:rPr>
          <w:sz w:val="18"/>
        </w:rPr>
        <w:t>, October Michael Sessions</w:t>
      </w:r>
      <w:r>
        <w:rPr>
          <w:sz w:val="18"/>
          <w:vertAlign w:val="superscript"/>
        </w:rPr>
        <w:t>5</w:t>
      </w:r>
      <w:r w:rsidRPr="00235A8D">
        <w:rPr>
          <w:sz w:val="18"/>
        </w:rPr>
        <w:t>, Paola Florez de Sessions</w:t>
      </w:r>
      <w:r w:rsidRPr="00235A8D">
        <w:rPr>
          <w:sz w:val="18"/>
          <w:vertAlign w:val="superscript"/>
        </w:rPr>
        <w:t>1</w:t>
      </w:r>
    </w:p>
    <w:p w:rsidR="00605D0B" w:rsidRDefault="00605D0B" w:rsidP="00605D0B">
      <w:pPr>
        <w:rPr>
          <w:sz w:val="20"/>
        </w:rPr>
      </w:pPr>
    </w:p>
    <w:p w:rsidR="00605D0B" w:rsidRDefault="00605D0B" w:rsidP="00605D0B">
      <w:pPr>
        <w:rPr>
          <w:sz w:val="20"/>
        </w:rPr>
      </w:pPr>
    </w:p>
    <w:p w:rsidR="00605D0B" w:rsidRDefault="00605D0B" w:rsidP="00605D0B">
      <w:pPr>
        <w:rPr>
          <w:sz w:val="20"/>
        </w:rPr>
      </w:pPr>
    </w:p>
    <w:p w:rsidR="00605D0B" w:rsidRDefault="00605D0B" w:rsidP="00605D0B">
      <w:pPr>
        <w:rPr>
          <w:sz w:val="20"/>
        </w:rPr>
      </w:pPr>
    </w:p>
    <w:p w:rsidR="00605D0B" w:rsidRDefault="00605D0B" w:rsidP="00605D0B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Genome Institute of Singapore (GIS), Agency for Science, Technology and Research (A*STAR), Singapore</w:t>
      </w:r>
    </w:p>
    <w:p w:rsidR="00605D0B" w:rsidRDefault="00605D0B" w:rsidP="00605D0B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A*STAR Graduate Academy, Singapore</w:t>
      </w:r>
    </w:p>
    <w:p w:rsidR="00605D0B" w:rsidRDefault="00605D0B" w:rsidP="00605D0B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University College London, United Kingdom</w:t>
      </w:r>
    </w:p>
    <w:p w:rsidR="00605D0B" w:rsidRPr="00A4568A" w:rsidRDefault="00605D0B" w:rsidP="00605D0B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Bioinfomatics Institute (BII), A*STAR, Singapore</w:t>
      </w:r>
    </w:p>
    <w:p w:rsidR="00605D0B" w:rsidRPr="00D97171" w:rsidRDefault="00605D0B" w:rsidP="00605D0B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National University of Singapore, Saw </w:t>
      </w:r>
      <w:proofErr w:type="spellStart"/>
      <w:r>
        <w:rPr>
          <w:sz w:val="20"/>
        </w:rPr>
        <w:t>Swee</w:t>
      </w:r>
      <w:proofErr w:type="spellEnd"/>
      <w:r>
        <w:rPr>
          <w:sz w:val="20"/>
        </w:rPr>
        <w:t xml:space="preserve"> Hock School of Public Health, Singapore</w:t>
      </w:r>
    </w:p>
    <w:p w:rsidR="00605D0B" w:rsidRDefault="00605D0B" w:rsidP="00605D0B">
      <w:pPr>
        <w:rPr>
          <w:b/>
          <w:sz w:val="20"/>
        </w:rPr>
      </w:pPr>
      <w:r w:rsidRPr="00D97171">
        <w:rPr>
          <w:sz w:val="20"/>
          <w:vertAlign w:val="superscript"/>
        </w:rPr>
        <w:t>†</w:t>
      </w:r>
      <w:r>
        <w:rPr>
          <w:sz w:val="20"/>
        </w:rPr>
        <w:t>Correspondence to: Cedric CS Tan (</w:t>
      </w:r>
      <w:hyperlink r:id="rId4" w:history="1">
        <w:r w:rsidRPr="00383981">
          <w:rPr>
            <w:rStyle w:val="Hyperlink"/>
            <w:sz w:val="20"/>
          </w:rPr>
          <w:t>cedriccstan@gmail.com</w:t>
        </w:r>
      </w:hyperlink>
      <w:r>
        <w:rPr>
          <w:sz w:val="20"/>
        </w:rPr>
        <w:t>)</w:t>
      </w:r>
      <w:r>
        <w:rPr>
          <w:b/>
          <w:sz w:val="20"/>
        </w:rPr>
        <w:br w:type="page"/>
      </w:r>
    </w:p>
    <w:p w:rsidR="002620ED" w:rsidRPr="002620ED" w:rsidRDefault="002620ED" w:rsidP="002620ED">
      <w:pPr>
        <w:keepNext/>
        <w:spacing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620ED" w:rsidRPr="002620ED" w:rsidRDefault="002620ED" w:rsidP="002620ED">
      <w:pPr>
        <w:spacing w:after="200" w:line="240" w:lineRule="auto"/>
        <w:rPr>
          <w:rFonts w:ascii="Calibri" w:eastAsia="Calibri" w:hAnsi="Calibri" w:cs="Times New Roman"/>
          <w:iCs/>
          <w:color w:val="000000"/>
          <w:sz w:val="16"/>
          <w:szCs w:val="18"/>
        </w:rPr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tbl>
      <w:tblPr>
        <w:tblStyle w:val="TableGrid"/>
        <w:tblpPr w:leftFromText="180" w:rightFromText="180" w:vertAnchor="text" w:horzAnchor="margin" w:tblpY="-700"/>
        <w:tblW w:w="0" w:type="auto"/>
        <w:tblLayout w:type="fixed"/>
        <w:tblLook w:val="04A0"/>
      </w:tblPr>
      <w:tblGrid>
        <w:gridCol w:w="2124"/>
        <w:gridCol w:w="2124"/>
        <w:gridCol w:w="288"/>
      </w:tblGrid>
      <w:tr w:rsidR="00F64139" w:rsidRPr="008B336C" w:rsidTr="002F280B">
        <w:trPr>
          <w:trHeight w:val="404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139" w:rsidRPr="00900A63" w:rsidRDefault="00F64139" w:rsidP="002F280B">
            <w:pPr>
              <w:rPr>
                <w:sz w:val="20"/>
                <w:szCs w:val="20"/>
              </w:rPr>
            </w:pPr>
            <w:r w:rsidRPr="00900A63">
              <w:rPr>
                <w:sz w:val="16"/>
                <w:szCs w:val="20"/>
              </w:rPr>
              <w:t xml:space="preserve">Table </w:t>
            </w:r>
            <w:r>
              <w:rPr>
                <w:sz w:val="16"/>
                <w:szCs w:val="20"/>
              </w:rPr>
              <w:t>S</w:t>
            </w:r>
            <w:r w:rsidR="0028347B">
              <w:rPr>
                <w:sz w:val="16"/>
                <w:szCs w:val="20"/>
              </w:rPr>
              <w:t>1</w:t>
            </w:r>
            <w:r w:rsidRPr="00900A63">
              <w:rPr>
                <w:sz w:val="16"/>
                <w:szCs w:val="20"/>
              </w:rPr>
              <w:t>: Reagents and volumes for hybridization step.</w:t>
            </w:r>
          </w:p>
        </w:tc>
      </w:tr>
      <w:tr w:rsidR="00F64139" w:rsidRPr="008B336C" w:rsidTr="002F280B">
        <w:trPr>
          <w:gridAfter w:val="1"/>
          <w:wAfter w:w="288" w:type="dxa"/>
          <w:trHeight w:val="404"/>
        </w:trPr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139" w:rsidRPr="00F134FD" w:rsidRDefault="00F64139" w:rsidP="002F280B">
            <w:pPr>
              <w:jc w:val="center"/>
              <w:rPr>
                <w:sz w:val="20"/>
                <w:szCs w:val="20"/>
              </w:rPr>
            </w:pPr>
            <w:r w:rsidRPr="00B26F4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  <w:szCs w:val="20"/>
              </w:rPr>
            </w:pPr>
            <w:r w:rsidRPr="00B26F45">
              <w:rPr>
                <w:b/>
                <w:sz w:val="20"/>
                <w:szCs w:val="20"/>
              </w:rPr>
              <w:t>Volume (</w:t>
            </w:r>
            <w:proofErr w:type="spellStart"/>
            <w:r w:rsidRPr="00B26F45">
              <w:rPr>
                <w:b/>
                <w:sz w:val="20"/>
                <w:szCs w:val="20"/>
              </w:rPr>
              <w:t>uL</w:t>
            </w:r>
            <w:proofErr w:type="spellEnd"/>
            <w:r w:rsidRPr="00B26F45">
              <w:rPr>
                <w:b/>
                <w:sz w:val="20"/>
                <w:szCs w:val="20"/>
              </w:rPr>
              <w:t>)</w:t>
            </w:r>
          </w:p>
        </w:tc>
      </w:tr>
      <w:tr w:rsidR="00F64139" w:rsidRPr="008B336C" w:rsidTr="002F280B">
        <w:trPr>
          <w:gridAfter w:val="1"/>
          <w:wAfter w:w="288" w:type="dxa"/>
          <w:trHeight w:val="404"/>
        </w:trPr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139" w:rsidRPr="00F134FD" w:rsidRDefault="00F64139" w:rsidP="002F280B">
            <w:pPr>
              <w:jc w:val="center"/>
              <w:rPr>
                <w:sz w:val="20"/>
                <w:szCs w:val="20"/>
              </w:rPr>
            </w:pPr>
            <w:proofErr w:type="spellStart"/>
            <w:r w:rsidRPr="00F134FD">
              <w:rPr>
                <w:sz w:val="20"/>
                <w:szCs w:val="20"/>
              </w:rPr>
              <w:t>2x</w:t>
            </w:r>
            <w:proofErr w:type="spellEnd"/>
            <w:r w:rsidRPr="00F13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Hybridization </w:t>
            </w:r>
            <w:r w:rsidRPr="00F134FD">
              <w:rPr>
                <w:sz w:val="20"/>
                <w:szCs w:val="20"/>
              </w:rPr>
              <w:t xml:space="preserve"> Buffer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  <w:szCs w:val="20"/>
              </w:rPr>
            </w:pPr>
            <w:r w:rsidRPr="00B26F45">
              <w:rPr>
                <w:sz w:val="20"/>
                <w:szCs w:val="20"/>
              </w:rPr>
              <w:t>30</w:t>
            </w:r>
          </w:p>
        </w:tc>
      </w:tr>
      <w:tr w:rsidR="00F64139" w:rsidRPr="008B336C" w:rsidTr="002F280B">
        <w:trPr>
          <w:gridAfter w:val="1"/>
          <w:wAfter w:w="288" w:type="dxa"/>
          <w:trHeight w:val="40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64139" w:rsidRPr="00F134FD" w:rsidRDefault="00F64139" w:rsidP="002F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Hybridization </w:t>
            </w:r>
            <w:r w:rsidRPr="00F134FD">
              <w:rPr>
                <w:sz w:val="20"/>
                <w:szCs w:val="20"/>
              </w:rPr>
              <w:t xml:space="preserve"> Component 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  <w:szCs w:val="20"/>
              </w:rPr>
            </w:pPr>
            <w:r w:rsidRPr="00B26F45">
              <w:rPr>
                <w:sz w:val="20"/>
                <w:szCs w:val="20"/>
              </w:rPr>
              <w:t>12</w:t>
            </w:r>
          </w:p>
        </w:tc>
      </w:tr>
      <w:tr w:rsidR="00F64139" w:rsidRPr="008B336C" w:rsidTr="002F280B">
        <w:trPr>
          <w:gridAfter w:val="1"/>
          <w:wAfter w:w="288" w:type="dxa"/>
          <w:trHeight w:val="40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64139" w:rsidRPr="00F134FD" w:rsidRDefault="00F64139" w:rsidP="002F280B">
            <w:pPr>
              <w:jc w:val="center"/>
              <w:rPr>
                <w:sz w:val="20"/>
                <w:szCs w:val="20"/>
              </w:rPr>
            </w:pPr>
            <w:r w:rsidRPr="00F134FD">
              <w:rPr>
                <w:sz w:val="20"/>
                <w:szCs w:val="20"/>
              </w:rPr>
              <w:t xml:space="preserve">Diluted </w:t>
            </w:r>
            <w:r>
              <w:rPr>
                <w:sz w:val="20"/>
                <w:szCs w:val="20"/>
              </w:rPr>
              <w:t>Baits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  <w:szCs w:val="20"/>
              </w:rPr>
            </w:pPr>
            <w:r w:rsidRPr="00B26F45">
              <w:rPr>
                <w:sz w:val="20"/>
                <w:szCs w:val="20"/>
              </w:rPr>
              <w:t>4</w:t>
            </w:r>
          </w:p>
        </w:tc>
      </w:tr>
      <w:tr w:rsidR="00F64139" w:rsidRPr="008B336C" w:rsidTr="002F280B">
        <w:trPr>
          <w:gridAfter w:val="1"/>
          <w:wAfter w:w="288" w:type="dxa"/>
          <w:trHeight w:val="405"/>
        </w:trPr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139" w:rsidRPr="00B26F45" w:rsidRDefault="00F64139" w:rsidP="002F280B">
            <w:pPr>
              <w:rPr>
                <w:sz w:val="20"/>
                <w:szCs w:val="20"/>
              </w:rPr>
            </w:pPr>
            <w:r w:rsidRPr="00F134FD">
              <w:rPr>
                <w:sz w:val="20"/>
                <w:szCs w:val="20"/>
              </w:rPr>
              <w:t>Nuclease-free water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  <w:szCs w:val="20"/>
              </w:rPr>
            </w:pPr>
            <w:r w:rsidRPr="00F64195">
              <w:rPr>
                <w:sz w:val="20"/>
                <w:szCs w:val="20"/>
              </w:rPr>
              <w:t>10</w:t>
            </w:r>
          </w:p>
        </w:tc>
      </w:tr>
    </w:tbl>
    <w:p w:rsidR="00F64139" w:rsidRDefault="00F64139" w:rsidP="00F64139"/>
    <w:p w:rsidR="00F64139" w:rsidRDefault="00F64139" w:rsidP="00F64139"/>
    <w:p w:rsidR="00F64139" w:rsidRDefault="00F64139" w:rsidP="00F64139"/>
    <w:p w:rsidR="00F64139" w:rsidRDefault="00F64139" w:rsidP="00F64139"/>
    <w:p w:rsidR="00F64139" w:rsidRDefault="00F64139" w:rsidP="00F64139"/>
    <w:p w:rsidR="00F64139" w:rsidRDefault="00F64139" w:rsidP="00F64139"/>
    <w:p w:rsidR="00F64139" w:rsidRDefault="00F64139" w:rsidP="00F64139"/>
    <w:p w:rsidR="00F64139" w:rsidRPr="00900A63" w:rsidRDefault="00F64139" w:rsidP="00F64139">
      <w:r w:rsidRPr="00900A63">
        <w:rPr>
          <w:sz w:val="16"/>
          <w:szCs w:val="20"/>
        </w:rPr>
        <w:t xml:space="preserve">Table </w:t>
      </w:r>
      <w:r>
        <w:rPr>
          <w:sz w:val="16"/>
          <w:szCs w:val="20"/>
        </w:rPr>
        <w:t>S</w:t>
      </w:r>
      <w:r w:rsidR="0028347B">
        <w:rPr>
          <w:sz w:val="16"/>
          <w:szCs w:val="20"/>
        </w:rPr>
        <w:t>2</w:t>
      </w:r>
      <w:r w:rsidRPr="00900A63">
        <w:rPr>
          <w:sz w:val="16"/>
          <w:szCs w:val="20"/>
        </w:rPr>
        <w:t>: Reagents and volumes for RT-qPCR.</w:t>
      </w:r>
    </w:p>
    <w:tbl>
      <w:tblPr>
        <w:tblStyle w:val="TableGrid"/>
        <w:tblpPr w:leftFromText="180" w:rightFromText="180" w:vertAnchor="text" w:horzAnchor="margin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1260"/>
      </w:tblGrid>
      <w:tr w:rsidR="00F64139" w:rsidRPr="00845CB4" w:rsidTr="002F280B">
        <w:tc>
          <w:tcPr>
            <w:tcW w:w="6588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Components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Volume (</w:t>
            </w:r>
            <w:proofErr w:type="spellStart"/>
            <w:r w:rsidRPr="00845CB4">
              <w:rPr>
                <w:b/>
                <w:sz w:val="20"/>
              </w:rPr>
              <w:t>uL</w:t>
            </w:r>
            <w:proofErr w:type="spellEnd"/>
            <w:r w:rsidRPr="00845CB4">
              <w:rPr>
                <w:b/>
                <w:sz w:val="20"/>
              </w:rPr>
              <w:t>)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  <w:tcBorders>
              <w:top w:val="single" w:sz="4" w:space="0" w:color="auto"/>
            </w:tcBorders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 w:rsidRPr="00482829">
              <w:rPr>
                <w:sz w:val="20"/>
              </w:rPr>
              <w:t>RNA</w:t>
            </w:r>
            <w:r>
              <w:rPr>
                <w:sz w:val="20"/>
              </w:rPr>
              <w:t xml:space="preserve"> in Nuclease-free Water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 w:rsidRPr="00482829">
              <w:rPr>
                <w:sz w:val="20"/>
              </w:rPr>
              <w:t xml:space="preserve">2x </w:t>
            </w:r>
            <w:proofErr w:type="spellStart"/>
            <w:r w:rsidRPr="00482829">
              <w:rPr>
                <w:sz w:val="20"/>
              </w:rPr>
              <w:t>QuantiTect</w:t>
            </w:r>
            <w:proofErr w:type="spellEnd"/>
            <w:r w:rsidRPr="00482829">
              <w:rPr>
                <w:sz w:val="20"/>
              </w:rPr>
              <w:t xml:space="preserve"> Probe </w:t>
            </w:r>
            <w:r>
              <w:rPr>
                <w:sz w:val="20"/>
              </w:rPr>
              <w:t>RT-</w:t>
            </w:r>
            <w:proofErr w:type="spellStart"/>
            <w:r>
              <w:rPr>
                <w:sz w:val="20"/>
              </w:rPr>
              <w:t>QPCR</w:t>
            </w:r>
            <w:proofErr w:type="spellEnd"/>
            <w:r w:rsidRPr="00482829">
              <w:rPr>
                <w:sz w:val="20"/>
              </w:rPr>
              <w:t xml:space="preserve"> Master Mix Buffer</w:t>
            </w:r>
          </w:p>
        </w:tc>
        <w:tc>
          <w:tcPr>
            <w:tcW w:w="1260" w:type="dxa"/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proofErr w:type="spellStart"/>
            <w:r w:rsidRPr="00482829">
              <w:rPr>
                <w:sz w:val="20"/>
              </w:rPr>
              <w:t>QuantiTect</w:t>
            </w:r>
            <w:proofErr w:type="spellEnd"/>
            <w:r w:rsidRPr="00482829">
              <w:rPr>
                <w:sz w:val="20"/>
              </w:rPr>
              <w:t xml:space="preserve"> RT Mix</w:t>
            </w:r>
          </w:p>
        </w:tc>
        <w:tc>
          <w:tcPr>
            <w:tcW w:w="1260" w:type="dxa"/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 w:rsidRPr="00482829">
              <w:rPr>
                <w:sz w:val="20"/>
              </w:rPr>
              <w:t>Nuclease-free Water</w:t>
            </w:r>
          </w:p>
        </w:tc>
        <w:tc>
          <w:tcPr>
            <w:tcW w:w="1260" w:type="dxa"/>
          </w:tcPr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µM </w:t>
            </w:r>
            <w:r w:rsidRPr="00482829">
              <w:rPr>
                <w:sz w:val="20"/>
              </w:rPr>
              <w:t>Forward Primer</w:t>
            </w:r>
          </w:p>
        </w:tc>
        <w:tc>
          <w:tcPr>
            <w:tcW w:w="1260" w:type="dxa"/>
          </w:tcPr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µM </w:t>
            </w:r>
            <w:r w:rsidRPr="00482829">
              <w:rPr>
                <w:sz w:val="20"/>
              </w:rPr>
              <w:t>Reverse Primer</w:t>
            </w:r>
          </w:p>
        </w:tc>
        <w:tc>
          <w:tcPr>
            <w:tcW w:w="1260" w:type="dxa"/>
          </w:tcPr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  <w:tcBorders>
              <w:bottom w:val="single" w:sz="4" w:space="0" w:color="auto"/>
            </w:tcBorders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µM </w:t>
            </w:r>
            <w:r w:rsidRPr="00482829">
              <w:rPr>
                <w:sz w:val="20"/>
              </w:rPr>
              <w:t>Probe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  <w:tcBorders>
              <w:bottom w:val="single" w:sz="4" w:space="0" w:color="auto"/>
            </w:tcBorders>
          </w:tcPr>
          <w:p w:rsidR="00F64139" w:rsidRPr="0048282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Volume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4139" w:rsidRPr="00845CB4" w:rsidTr="002F280B">
        <w:trPr>
          <w:trHeight w:val="293"/>
        </w:trPr>
        <w:tc>
          <w:tcPr>
            <w:tcW w:w="6588" w:type="dxa"/>
            <w:tcBorders>
              <w:top w:val="single" w:sz="4" w:space="0" w:color="auto"/>
            </w:tcBorders>
          </w:tcPr>
          <w:p w:rsidR="00F64139" w:rsidRDefault="00F64139" w:rsidP="002F280B">
            <w:pPr>
              <w:spacing w:line="480" w:lineRule="auto"/>
              <w:jc w:val="both"/>
              <w:rPr>
                <w:i/>
                <w:sz w:val="16"/>
                <w:szCs w:val="20"/>
              </w:rPr>
            </w:pPr>
          </w:p>
          <w:p w:rsidR="00F64139" w:rsidRDefault="00F64139" w:rsidP="002F280B">
            <w:pPr>
              <w:rPr>
                <w:i/>
                <w:sz w:val="16"/>
                <w:szCs w:val="20"/>
              </w:rPr>
            </w:pPr>
          </w:p>
          <w:p w:rsidR="00F64139" w:rsidRDefault="00F64139" w:rsidP="002F280B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</w:p>
        </w:tc>
      </w:tr>
    </w:tbl>
    <w:p w:rsidR="00F64139" w:rsidRDefault="00F64139" w:rsidP="00F64139">
      <w:r>
        <w:br w:type="page"/>
      </w:r>
    </w:p>
    <w:p w:rsidR="00F64139" w:rsidRPr="00900A63" w:rsidRDefault="00F64139" w:rsidP="00F64139">
      <w:pPr>
        <w:rPr>
          <w:sz w:val="16"/>
          <w:szCs w:val="20"/>
        </w:rPr>
      </w:pPr>
      <w:r w:rsidRPr="00900A63">
        <w:rPr>
          <w:sz w:val="16"/>
          <w:szCs w:val="20"/>
        </w:rPr>
        <w:lastRenderedPageBreak/>
        <w:t xml:space="preserve">Table </w:t>
      </w:r>
      <w:r>
        <w:rPr>
          <w:sz w:val="16"/>
          <w:szCs w:val="20"/>
        </w:rPr>
        <w:t>S</w:t>
      </w:r>
      <w:r w:rsidR="0028347B">
        <w:rPr>
          <w:sz w:val="16"/>
          <w:szCs w:val="20"/>
        </w:rPr>
        <w:t>3</w:t>
      </w:r>
      <w:r w:rsidRPr="00900A63">
        <w:rPr>
          <w:sz w:val="16"/>
          <w:szCs w:val="20"/>
        </w:rPr>
        <w:t xml:space="preserve">: RT-qPCR program set on Applied Biosystems </w:t>
      </w:r>
      <w:proofErr w:type="spellStart"/>
      <w:r w:rsidRPr="00900A63">
        <w:rPr>
          <w:sz w:val="16"/>
          <w:szCs w:val="20"/>
        </w:rPr>
        <w:t>ViiA</w:t>
      </w:r>
      <w:proofErr w:type="spellEnd"/>
      <w:r w:rsidRPr="00900A63">
        <w:rPr>
          <w:sz w:val="16"/>
          <w:szCs w:val="20"/>
        </w:rPr>
        <w:t xml:space="preserve"> 7 Real Time-PCR System.</w:t>
      </w:r>
    </w:p>
    <w:tbl>
      <w:tblPr>
        <w:tblStyle w:val="TableGrid"/>
        <w:tblpPr w:leftFromText="180" w:rightFromText="180" w:vertAnchor="page" w:horzAnchor="margin" w:tblpY="2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7325"/>
      </w:tblGrid>
      <w:tr w:rsidR="00F64139" w:rsidRPr="00B52BB6" w:rsidTr="002F280B">
        <w:trPr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F64139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Sequence Name</w:t>
            </w:r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F64139" w:rsidRPr="00482829" w:rsidRDefault="00F64139" w:rsidP="002F280B">
            <w:pPr>
              <w:jc w:val="center"/>
              <w:rPr>
                <w:b/>
                <w:color w:val="000000"/>
              </w:rPr>
            </w:pPr>
            <w:r w:rsidRPr="00482829">
              <w:rPr>
                <w:b/>
                <w:color w:val="000000"/>
              </w:rPr>
              <w:t>Sequence (</w:t>
            </w:r>
            <w:r>
              <w:rPr>
                <w:b/>
                <w:color w:val="000000"/>
              </w:rPr>
              <w:t>5</w:t>
            </w:r>
            <w:r w:rsidRPr="00482829">
              <w:rPr>
                <w:b/>
                <w:color w:val="000000"/>
              </w:rPr>
              <w:t>’-</w:t>
            </w:r>
            <w:r>
              <w:rPr>
                <w:b/>
                <w:color w:val="000000"/>
              </w:rPr>
              <w:t>3</w:t>
            </w:r>
            <w:r w:rsidRPr="00482829">
              <w:rPr>
                <w:b/>
                <w:color w:val="000000"/>
              </w:rPr>
              <w:t>’)</w:t>
            </w:r>
          </w:p>
        </w:tc>
      </w:tr>
      <w:tr w:rsidR="00F64139" w:rsidRPr="00B52BB6" w:rsidTr="002F280B">
        <w:trPr>
          <w:trHeight w:val="132"/>
        </w:trPr>
        <w:tc>
          <w:tcPr>
            <w:tcW w:w="1701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 w:rsidRPr="00845CB4">
              <w:rPr>
                <w:sz w:val="20"/>
              </w:rPr>
              <w:t>DENV1 F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 w:rsidRPr="00482829">
              <w:rPr>
                <w:sz w:val="20"/>
              </w:rPr>
              <w:t>ACTAGYGGTTAGAGGAGACC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 w:rsidRPr="00845CB4">
              <w:rPr>
                <w:sz w:val="20"/>
              </w:rPr>
              <w:t>DENV1 R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 w:rsidRPr="00482829">
              <w:rPr>
                <w:sz w:val="20"/>
              </w:rPr>
              <w:t>GGTCTCCWCTAACCTCTAGT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DENV1 Probe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FAM-</w:t>
            </w:r>
            <w:r w:rsidRPr="00D5157B">
              <w:rPr>
                <w:sz w:val="20"/>
              </w:rPr>
              <w:t>ACCAGGGRAAGCTGTAYCYT</w:t>
            </w:r>
            <w:r>
              <w:rPr>
                <w:sz w:val="20"/>
              </w:rPr>
              <w:t>-BHQ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DENV1 Standard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 w:rsidRPr="00D5157B">
              <w:rPr>
                <w:sz w:val="20"/>
              </w:rPr>
              <w:t>ACTAGTGGTTAGAGGAGACCCCTCCCGAAACACAACGCAGCAGCGGGGCCCAACACCAGGGGAAGCTGTACCCTGGTGGTAAGGACTAGAGGTTAGAGGAGACC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 w:rsidRPr="00845CB4">
              <w:rPr>
                <w:sz w:val="20"/>
              </w:rPr>
              <w:t>GAPDH F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GATTCCACCCATGGCAAA</w:t>
            </w:r>
            <w:r w:rsidRPr="00482829">
              <w:rPr>
                <w:sz w:val="20"/>
              </w:rPr>
              <w:t>TTC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 w:rsidRPr="00845CB4">
              <w:rPr>
                <w:sz w:val="20"/>
              </w:rPr>
              <w:t>GAPDH R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ATTTCCATTGATGACAAG</w:t>
            </w:r>
            <w:r w:rsidRPr="00482829">
              <w:rPr>
                <w:sz w:val="20"/>
              </w:rPr>
              <w:t>C</w:t>
            </w:r>
          </w:p>
        </w:tc>
      </w:tr>
      <w:tr w:rsidR="00F64139" w:rsidRPr="00B52BB6" w:rsidTr="002F280B">
        <w:tc>
          <w:tcPr>
            <w:tcW w:w="1701" w:type="dxa"/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GAPDH Probe</w:t>
            </w:r>
          </w:p>
        </w:tc>
        <w:tc>
          <w:tcPr>
            <w:tcW w:w="7325" w:type="dxa"/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FAM-CGTTCTCAGCCTTGACGGTGC</w:t>
            </w:r>
            <w:r w:rsidRPr="00482829">
              <w:rPr>
                <w:sz w:val="20"/>
              </w:rPr>
              <w:t>CA</w:t>
            </w:r>
            <w:r>
              <w:rPr>
                <w:sz w:val="20"/>
              </w:rPr>
              <w:t>-BHQ</w:t>
            </w:r>
          </w:p>
        </w:tc>
      </w:tr>
      <w:tr w:rsidR="00F64139" w:rsidRPr="00845CB4" w:rsidTr="002F280B">
        <w:tc>
          <w:tcPr>
            <w:tcW w:w="1701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GAPDH Standard</w:t>
            </w:r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spacing w:line="276" w:lineRule="auto"/>
              <w:rPr>
                <w:sz w:val="20"/>
              </w:rPr>
            </w:pPr>
            <w:r w:rsidRPr="00D5157B">
              <w:rPr>
                <w:sz w:val="20"/>
              </w:rPr>
              <w:t>TATGATTCCACCCATGGCAAATTCCATGGCACCGTCAAGGCTGAGAACGGGAAGCTTGTCATCAATGGAAATCCCATCA</w:t>
            </w:r>
          </w:p>
        </w:tc>
      </w:tr>
    </w:tbl>
    <w:p w:rsidR="00F64139" w:rsidRDefault="00F64139" w:rsidP="00F64139"/>
    <w:p w:rsidR="00F64139" w:rsidRDefault="00F64139" w:rsidP="00F64139"/>
    <w:p w:rsidR="00F64139" w:rsidRPr="00900A63" w:rsidRDefault="00F64139" w:rsidP="00F64139">
      <w:pPr>
        <w:rPr>
          <w:sz w:val="16"/>
        </w:rPr>
      </w:pPr>
      <w:r w:rsidRPr="00900A63">
        <w:rPr>
          <w:sz w:val="16"/>
        </w:rPr>
        <w:t xml:space="preserve">Table </w:t>
      </w:r>
      <w:r>
        <w:rPr>
          <w:sz w:val="16"/>
        </w:rPr>
        <w:t>S</w:t>
      </w:r>
      <w:r w:rsidR="0028347B">
        <w:rPr>
          <w:sz w:val="16"/>
        </w:rPr>
        <w:t>4</w:t>
      </w:r>
      <w:r w:rsidRPr="00900A63">
        <w:rPr>
          <w:sz w:val="16"/>
        </w:rPr>
        <w:t>: Primers, probes and standards used with the respective modifications for RT-qPCR.</w:t>
      </w:r>
    </w:p>
    <w:tbl>
      <w:tblPr>
        <w:tblStyle w:val="TableGrid"/>
        <w:tblpPr w:leftFromText="180" w:rightFromText="180" w:vertAnchor="text" w:horzAnchor="margin" w:tblpY="315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82"/>
        <w:gridCol w:w="1808"/>
        <w:gridCol w:w="1139"/>
        <w:gridCol w:w="1701"/>
      </w:tblGrid>
      <w:tr w:rsidR="00F64139" w:rsidTr="002F280B">
        <w:tc>
          <w:tcPr>
            <w:tcW w:w="2582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Program name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Temperature/</w:t>
            </w:r>
            <w:r w:rsidRPr="00845CB4">
              <w:rPr>
                <w:b/>
                <w:sz w:val="20"/>
              </w:rPr>
              <w:sym w:font="Symbol" w:char="F0B0"/>
            </w:r>
            <w:r w:rsidRPr="00845CB4">
              <w:rPr>
                <w:b/>
                <w:sz w:val="20"/>
              </w:rPr>
              <w:t>C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Time/min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Cycles</w:t>
            </w:r>
          </w:p>
        </w:tc>
      </w:tr>
      <w:tr w:rsidR="00F64139" w:rsidRPr="0066702B" w:rsidTr="002F280B">
        <w:tc>
          <w:tcPr>
            <w:tcW w:w="2582" w:type="dxa"/>
            <w:tcBorders>
              <w:top w:val="single" w:sz="4" w:space="0" w:color="auto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Reverse Transcription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</w:p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64139" w:rsidRPr="0066702B" w:rsidTr="002F280B">
        <w:tc>
          <w:tcPr>
            <w:tcW w:w="2582" w:type="dxa"/>
            <w:tcBorders>
              <w:bottom w:val="single" w:sz="4" w:space="0" w:color="auto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PCR Initial Activation Step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</w:p>
        </w:tc>
      </w:tr>
      <w:tr w:rsidR="00F64139" w:rsidRPr="0066702B" w:rsidTr="002F280B">
        <w:tc>
          <w:tcPr>
            <w:tcW w:w="2582" w:type="dxa"/>
            <w:tcBorders>
              <w:top w:val="single" w:sz="4" w:space="0" w:color="auto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Denaturation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</w:p>
          <w:p w:rsidR="00F64139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F64139" w:rsidRPr="00CF724C" w:rsidTr="002F280B">
        <w:trPr>
          <w:trHeight w:val="153"/>
        </w:trPr>
        <w:tc>
          <w:tcPr>
            <w:tcW w:w="2582" w:type="dxa"/>
            <w:tcBorders>
              <w:bottom w:val="single" w:sz="4" w:space="0" w:color="auto"/>
            </w:tcBorders>
          </w:tcPr>
          <w:p w:rsidR="00F64139" w:rsidRPr="00B26F45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Combined Annealing/Extension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4139" w:rsidRDefault="00F64139" w:rsidP="002F280B">
            <w:pPr>
              <w:jc w:val="center"/>
              <w:rPr>
                <w:sz w:val="20"/>
              </w:rPr>
            </w:pPr>
          </w:p>
        </w:tc>
      </w:tr>
      <w:tr w:rsidR="00F64139" w:rsidRPr="00CF724C" w:rsidTr="002F280B">
        <w:trPr>
          <w:trHeight w:val="153"/>
        </w:trPr>
        <w:tc>
          <w:tcPr>
            <w:tcW w:w="7230" w:type="dxa"/>
            <w:gridSpan w:val="4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both"/>
              <w:rPr>
                <w:sz w:val="20"/>
              </w:rPr>
            </w:pPr>
          </w:p>
        </w:tc>
      </w:tr>
    </w:tbl>
    <w:p w:rsidR="00F64139" w:rsidRDefault="00F64139" w:rsidP="00F64139"/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F64139" w:rsidRDefault="00F64139" w:rsidP="00F64139"/>
    <w:p w:rsidR="00F64139" w:rsidRDefault="00F64139" w:rsidP="00F64139">
      <w:pPr>
        <w:ind w:firstLine="720"/>
      </w:pPr>
    </w:p>
    <w:p w:rsidR="00F64139" w:rsidRPr="00900A63" w:rsidRDefault="00F64139" w:rsidP="00F64139">
      <w:r w:rsidRPr="00900A63">
        <w:rPr>
          <w:sz w:val="16"/>
          <w:szCs w:val="20"/>
        </w:rPr>
        <w:t xml:space="preserve">Table </w:t>
      </w:r>
      <w:r>
        <w:rPr>
          <w:sz w:val="16"/>
          <w:szCs w:val="20"/>
        </w:rPr>
        <w:t>S</w:t>
      </w:r>
      <w:r w:rsidR="0028347B">
        <w:rPr>
          <w:sz w:val="16"/>
          <w:szCs w:val="20"/>
        </w:rPr>
        <w:t>5</w:t>
      </w:r>
      <w:r w:rsidRPr="00900A63">
        <w:rPr>
          <w:sz w:val="16"/>
          <w:szCs w:val="20"/>
        </w:rPr>
        <w:t>: Reagents and volumes used for polyadenylation of RNA samples.</w:t>
      </w:r>
    </w:p>
    <w:p w:rsidR="00F64139" w:rsidRDefault="00F64139" w:rsidP="00F64139">
      <w:pPr>
        <w:ind w:firstLine="720"/>
      </w:pPr>
    </w:p>
    <w:tbl>
      <w:tblPr>
        <w:tblStyle w:val="TableGrid"/>
        <w:tblpPr w:leftFromText="180" w:rightFromText="180" w:vertAnchor="text" w:horzAnchor="margin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4536"/>
      </w:tblGrid>
      <w:tr w:rsidR="00F64139" w:rsidRPr="00845CB4" w:rsidTr="002F280B">
        <w:tc>
          <w:tcPr>
            <w:tcW w:w="3114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Components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b/>
                <w:sz w:val="20"/>
              </w:rPr>
            </w:pPr>
            <w:r w:rsidRPr="00845CB4">
              <w:rPr>
                <w:b/>
                <w:sz w:val="20"/>
              </w:rPr>
              <w:t>Volume (</w:t>
            </w:r>
            <w:proofErr w:type="spellStart"/>
            <w:r w:rsidRPr="00845CB4">
              <w:rPr>
                <w:b/>
                <w:sz w:val="20"/>
              </w:rPr>
              <w:t>uL</w:t>
            </w:r>
            <w:proofErr w:type="spellEnd"/>
            <w:r w:rsidRPr="00845CB4">
              <w:rPr>
                <w:b/>
                <w:sz w:val="20"/>
              </w:rPr>
              <w:t>)</w:t>
            </w:r>
          </w:p>
        </w:tc>
      </w:tr>
      <w:tr w:rsidR="00F64139" w:rsidRPr="00845CB4" w:rsidTr="002F280B">
        <w:trPr>
          <w:trHeight w:val="293"/>
        </w:trPr>
        <w:tc>
          <w:tcPr>
            <w:tcW w:w="3114" w:type="dxa"/>
            <w:tcBorders>
              <w:top w:val="single" w:sz="4" w:space="0" w:color="auto"/>
            </w:tcBorders>
          </w:tcPr>
          <w:p w:rsidR="00F64139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RNA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F64139" w:rsidRPr="00845CB4" w:rsidTr="002F280B">
        <w:trPr>
          <w:trHeight w:val="293"/>
        </w:trPr>
        <w:tc>
          <w:tcPr>
            <w:tcW w:w="3114" w:type="dxa"/>
          </w:tcPr>
          <w:p w:rsidR="00F64139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10x E. Coli Poly(A) Polymerase Reaction Buffer</w:t>
            </w:r>
          </w:p>
        </w:tc>
        <w:tc>
          <w:tcPr>
            <w:tcW w:w="4536" w:type="dxa"/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F64139" w:rsidRPr="00845CB4" w:rsidTr="002F280B">
        <w:trPr>
          <w:trHeight w:val="293"/>
        </w:trPr>
        <w:tc>
          <w:tcPr>
            <w:tcW w:w="3114" w:type="dxa"/>
          </w:tcPr>
          <w:p w:rsidR="00F64139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ATP (10mM)</w:t>
            </w:r>
          </w:p>
        </w:tc>
        <w:tc>
          <w:tcPr>
            <w:tcW w:w="4536" w:type="dxa"/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F64139" w:rsidRPr="00845CB4" w:rsidTr="002F280B">
        <w:trPr>
          <w:trHeight w:val="293"/>
        </w:trPr>
        <w:tc>
          <w:tcPr>
            <w:tcW w:w="3114" w:type="dxa"/>
            <w:tcBorders>
              <w:bottom w:val="single" w:sz="4" w:space="0" w:color="auto"/>
            </w:tcBorders>
          </w:tcPr>
          <w:p w:rsidR="00F64139" w:rsidRPr="00B26F45" w:rsidRDefault="00F64139" w:rsidP="002F28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E. Coli Poly(A) Polymerase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4139" w:rsidRPr="00845CB4" w:rsidRDefault="00F64139" w:rsidP="002F2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</w:tbl>
    <w:p w:rsidR="00F64139" w:rsidRPr="00F64195" w:rsidRDefault="00F64139" w:rsidP="00F64139"/>
    <w:p w:rsidR="00F64139" w:rsidRDefault="00F64139" w:rsidP="00F64139">
      <w:pPr>
        <w:ind w:firstLine="720"/>
      </w:pPr>
    </w:p>
    <w:p w:rsidR="00F64139" w:rsidRPr="00235A8D" w:rsidRDefault="00F64139" w:rsidP="00F64139">
      <w:pPr>
        <w:rPr>
          <w:i/>
          <w:sz w:val="16"/>
        </w:rPr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F64139" w:rsidRDefault="00F64139" w:rsidP="00F64139">
      <w:pPr>
        <w:ind w:firstLine="720"/>
      </w:pPr>
    </w:p>
    <w:p w:rsidR="00CB06AE" w:rsidRDefault="00CB06AE" w:rsidP="00CB06AE">
      <w:pPr>
        <w:keepNext/>
        <w:spacing w:line="240" w:lineRule="auto"/>
      </w:pPr>
    </w:p>
    <w:p w:rsidR="00CB06AE" w:rsidRDefault="00CB06AE" w:rsidP="00605D0B">
      <w:pPr>
        <w:pStyle w:val="Caption"/>
        <w:rPr>
          <w:i w:val="0"/>
          <w:color w:val="auto"/>
          <w:sz w:val="16"/>
        </w:rPr>
      </w:pPr>
    </w:p>
    <w:p w:rsidR="00605D0B" w:rsidRPr="00983F5D" w:rsidRDefault="00605D0B" w:rsidP="00605D0B">
      <w:pPr>
        <w:pStyle w:val="Caption"/>
        <w:rPr>
          <w:i w:val="0"/>
          <w:color w:val="auto"/>
          <w:sz w:val="16"/>
        </w:rPr>
      </w:pPr>
      <w:r w:rsidRPr="00983F5D">
        <w:rPr>
          <w:i w:val="0"/>
          <w:color w:val="auto"/>
          <w:sz w:val="16"/>
        </w:rPr>
        <w:t>Figure S</w:t>
      </w:r>
      <w:r w:rsidR="0038168E" w:rsidRPr="00983F5D">
        <w:rPr>
          <w:i w:val="0"/>
          <w:color w:val="auto"/>
          <w:sz w:val="16"/>
        </w:rPr>
        <w:fldChar w:fldCharType="begin"/>
      </w:r>
      <w:r w:rsidRPr="00983F5D">
        <w:rPr>
          <w:i w:val="0"/>
          <w:color w:val="auto"/>
          <w:sz w:val="16"/>
        </w:rPr>
        <w:instrText xml:space="preserve"> SEQ Supplementary_Figure \* ARABIC </w:instrText>
      </w:r>
      <w:r w:rsidR="0038168E" w:rsidRPr="00983F5D">
        <w:rPr>
          <w:i w:val="0"/>
          <w:color w:val="auto"/>
          <w:sz w:val="16"/>
        </w:rPr>
        <w:fldChar w:fldCharType="separate"/>
      </w:r>
      <w:r w:rsidR="00E46274">
        <w:rPr>
          <w:i w:val="0"/>
          <w:noProof/>
          <w:color w:val="auto"/>
          <w:sz w:val="16"/>
        </w:rPr>
        <w:t>1</w:t>
      </w:r>
      <w:r w:rsidR="0038168E" w:rsidRPr="00983F5D">
        <w:rPr>
          <w:i w:val="0"/>
          <w:color w:val="auto"/>
          <w:sz w:val="16"/>
        </w:rPr>
        <w:fldChar w:fldCharType="end"/>
      </w:r>
      <w:r w:rsidRPr="00983F5D">
        <w:rPr>
          <w:i w:val="0"/>
          <w:color w:val="auto"/>
          <w:sz w:val="16"/>
        </w:rPr>
        <w:t>: DENV1 and GAPDH standard curves used for calculation of primer efficiency.</w:t>
      </w:r>
    </w:p>
    <w:p w:rsidR="00605D0B" w:rsidRDefault="00605D0B" w:rsidP="00605D0B">
      <w:pPr>
        <w:rPr>
          <w:b/>
          <w:sz w:val="20"/>
        </w:rPr>
      </w:pPr>
    </w:p>
    <w:p w:rsidR="00605D0B" w:rsidRDefault="00605D0B" w:rsidP="00605D0B">
      <w:r>
        <w:rPr>
          <w:noProof/>
          <w:lang w:val="en-IN" w:eastAsia="en-IN"/>
        </w:rPr>
        <w:drawing>
          <wp:inline distT="0" distB="0" distL="0" distR="0">
            <wp:extent cx="5014991" cy="2948079"/>
            <wp:effectExtent l="0" t="0" r="14605" b="50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5D0B" w:rsidRDefault="00605D0B" w:rsidP="00605D0B">
      <w:pPr>
        <w:keepNext/>
      </w:pPr>
      <w:r>
        <w:rPr>
          <w:noProof/>
          <w:lang w:val="en-IN" w:eastAsia="en-IN"/>
        </w:rPr>
        <w:drawing>
          <wp:inline distT="0" distB="0" distL="0" distR="0">
            <wp:extent cx="5014991" cy="2948079"/>
            <wp:effectExtent l="0" t="0" r="14605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5D0B" w:rsidRDefault="00605D0B">
      <w:pPr>
        <w:spacing w:after="200" w:line="276" w:lineRule="auto"/>
      </w:pPr>
      <w:r>
        <w:br w:type="page"/>
      </w:r>
    </w:p>
    <w:p w:rsidR="00605D0B" w:rsidRPr="00983F5D" w:rsidRDefault="00605D0B" w:rsidP="00605D0B">
      <w:pPr>
        <w:pStyle w:val="Caption"/>
        <w:rPr>
          <w:i w:val="0"/>
          <w:color w:val="000000" w:themeColor="text1"/>
          <w:sz w:val="16"/>
        </w:rPr>
      </w:pPr>
      <w:r w:rsidRPr="00983F5D">
        <w:rPr>
          <w:i w:val="0"/>
          <w:color w:val="000000" w:themeColor="text1"/>
          <w:sz w:val="16"/>
        </w:rPr>
        <w:lastRenderedPageBreak/>
        <w:t>Figure S</w:t>
      </w:r>
      <w:r w:rsidR="0038168E" w:rsidRPr="00983F5D">
        <w:rPr>
          <w:i w:val="0"/>
          <w:color w:val="000000" w:themeColor="text1"/>
          <w:sz w:val="16"/>
        </w:rPr>
        <w:fldChar w:fldCharType="begin"/>
      </w:r>
      <w:r w:rsidRPr="00983F5D">
        <w:rPr>
          <w:i w:val="0"/>
          <w:color w:val="000000" w:themeColor="text1"/>
          <w:sz w:val="16"/>
        </w:rPr>
        <w:instrText xml:space="preserve"> SEQ Supplementary_Figure \* ARABIC </w:instrText>
      </w:r>
      <w:r w:rsidR="0038168E" w:rsidRPr="00983F5D">
        <w:rPr>
          <w:i w:val="0"/>
          <w:color w:val="000000" w:themeColor="text1"/>
          <w:sz w:val="16"/>
        </w:rPr>
        <w:fldChar w:fldCharType="separate"/>
      </w:r>
      <w:r w:rsidR="00E46274">
        <w:rPr>
          <w:i w:val="0"/>
          <w:noProof/>
          <w:color w:val="000000" w:themeColor="text1"/>
          <w:sz w:val="16"/>
        </w:rPr>
        <w:t>2</w:t>
      </w:r>
      <w:r w:rsidR="0038168E" w:rsidRPr="00983F5D">
        <w:rPr>
          <w:i w:val="0"/>
          <w:color w:val="000000" w:themeColor="text1"/>
          <w:sz w:val="16"/>
        </w:rPr>
        <w:fldChar w:fldCharType="end"/>
      </w:r>
      <w:r w:rsidRPr="00983F5D">
        <w:rPr>
          <w:i w:val="0"/>
          <w:color w:val="000000" w:themeColor="text1"/>
          <w:sz w:val="16"/>
        </w:rPr>
        <w:t xml:space="preserve">: Coverage plot against nucleotide position on DENV1 reference for pre-capture </w:t>
      </w:r>
      <w:proofErr w:type="spellStart"/>
      <w:r w:rsidRPr="00983F5D">
        <w:rPr>
          <w:i w:val="0"/>
          <w:color w:val="000000" w:themeColor="text1"/>
          <w:sz w:val="16"/>
        </w:rPr>
        <w:t>MinION</w:t>
      </w:r>
      <w:proofErr w:type="spellEnd"/>
      <w:r w:rsidRPr="00983F5D">
        <w:rPr>
          <w:i w:val="0"/>
          <w:color w:val="000000" w:themeColor="text1"/>
          <w:sz w:val="16"/>
        </w:rPr>
        <w:t xml:space="preserve"> sequencing run.</w:t>
      </w:r>
    </w:p>
    <w:p w:rsidR="00605D0B" w:rsidRDefault="00605D0B" w:rsidP="00605D0B">
      <w:pPr>
        <w:keepNext/>
      </w:pPr>
      <w:r w:rsidRPr="00DE6201">
        <w:rPr>
          <w:noProof/>
          <w:lang w:val="en-IN" w:eastAsia="en-IN"/>
        </w:rPr>
        <w:drawing>
          <wp:inline distT="0" distB="0" distL="0" distR="0">
            <wp:extent cx="5109232" cy="38633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496" cy="38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0B" w:rsidRDefault="00605D0B">
      <w:pPr>
        <w:spacing w:after="200" w:line="276" w:lineRule="auto"/>
      </w:pPr>
      <w:r>
        <w:br w:type="page"/>
      </w:r>
    </w:p>
    <w:p w:rsidR="00605D0B" w:rsidRPr="00983F5D" w:rsidRDefault="00605D0B" w:rsidP="00605D0B">
      <w:pPr>
        <w:pStyle w:val="Caption"/>
        <w:rPr>
          <w:i w:val="0"/>
          <w:color w:val="000000" w:themeColor="text1"/>
          <w:sz w:val="16"/>
        </w:rPr>
      </w:pPr>
      <w:r w:rsidRPr="00983F5D">
        <w:rPr>
          <w:i w:val="0"/>
          <w:color w:val="000000" w:themeColor="text1"/>
          <w:sz w:val="16"/>
        </w:rPr>
        <w:lastRenderedPageBreak/>
        <w:t>Figure S</w:t>
      </w:r>
      <w:r w:rsidR="0038168E" w:rsidRPr="00983F5D">
        <w:rPr>
          <w:i w:val="0"/>
          <w:color w:val="000000" w:themeColor="text1"/>
          <w:sz w:val="16"/>
        </w:rPr>
        <w:fldChar w:fldCharType="begin"/>
      </w:r>
      <w:r w:rsidRPr="00983F5D">
        <w:rPr>
          <w:i w:val="0"/>
          <w:color w:val="000000" w:themeColor="text1"/>
          <w:sz w:val="16"/>
        </w:rPr>
        <w:instrText xml:space="preserve"> SEQ Supplementary_Figure \* ARABIC </w:instrText>
      </w:r>
      <w:r w:rsidR="0038168E" w:rsidRPr="00983F5D">
        <w:rPr>
          <w:i w:val="0"/>
          <w:color w:val="000000" w:themeColor="text1"/>
          <w:sz w:val="16"/>
        </w:rPr>
        <w:fldChar w:fldCharType="separate"/>
      </w:r>
      <w:r w:rsidR="00E46274">
        <w:rPr>
          <w:i w:val="0"/>
          <w:noProof/>
          <w:color w:val="000000" w:themeColor="text1"/>
          <w:sz w:val="16"/>
        </w:rPr>
        <w:t>3</w:t>
      </w:r>
      <w:r w:rsidR="0038168E" w:rsidRPr="00983F5D">
        <w:rPr>
          <w:i w:val="0"/>
          <w:color w:val="000000" w:themeColor="text1"/>
          <w:sz w:val="16"/>
        </w:rPr>
        <w:fldChar w:fldCharType="end"/>
      </w:r>
      <w:r w:rsidRPr="00983F5D">
        <w:rPr>
          <w:i w:val="0"/>
          <w:color w:val="000000" w:themeColor="text1"/>
          <w:sz w:val="16"/>
        </w:rPr>
        <w:t xml:space="preserve">: Coverage plot against nucleotide position on DENV1 reference for post-capture </w:t>
      </w:r>
      <w:proofErr w:type="spellStart"/>
      <w:r w:rsidRPr="00983F5D">
        <w:rPr>
          <w:i w:val="0"/>
          <w:color w:val="000000" w:themeColor="text1"/>
          <w:sz w:val="16"/>
        </w:rPr>
        <w:t>MinION</w:t>
      </w:r>
      <w:proofErr w:type="spellEnd"/>
      <w:r w:rsidRPr="00983F5D">
        <w:rPr>
          <w:i w:val="0"/>
          <w:color w:val="000000" w:themeColor="text1"/>
          <w:sz w:val="16"/>
        </w:rPr>
        <w:t xml:space="preserve"> sequencing run.</w:t>
      </w:r>
    </w:p>
    <w:p w:rsidR="00605D0B" w:rsidRDefault="00605D0B" w:rsidP="00605D0B">
      <w:pPr>
        <w:keepNext/>
      </w:pPr>
      <w:r w:rsidRPr="00DE6201">
        <w:rPr>
          <w:noProof/>
          <w:lang w:val="en-IN" w:eastAsia="en-IN"/>
        </w:rPr>
        <w:drawing>
          <wp:inline distT="0" distB="0" distL="0" distR="0">
            <wp:extent cx="5117238" cy="384048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2" cy="38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73" w:rsidRDefault="001A2373" w:rsidP="00605D0B">
      <w:pPr>
        <w:keepNext/>
      </w:pPr>
    </w:p>
    <w:p w:rsidR="001A2373" w:rsidRDefault="001A2373">
      <w:pPr>
        <w:spacing w:after="200" w:line="276" w:lineRule="auto"/>
      </w:pPr>
      <w:r>
        <w:br w:type="page"/>
      </w:r>
    </w:p>
    <w:p w:rsidR="001A2373" w:rsidRPr="004549FD" w:rsidRDefault="001A2373" w:rsidP="004549FD">
      <w:pPr>
        <w:pStyle w:val="Caption"/>
        <w:rPr>
          <w:color w:val="000000" w:themeColor="text1"/>
          <w:sz w:val="16"/>
        </w:rPr>
      </w:pPr>
      <w:r w:rsidRPr="0059006C">
        <w:rPr>
          <w:i w:val="0"/>
          <w:color w:val="000000" w:themeColor="text1"/>
          <w:sz w:val="16"/>
        </w:rPr>
        <w:lastRenderedPageBreak/>
        <w:t xml:space="preserve">Figure S4: Coverage plot against nucleotide position on DENV1 reference for concentrated post-capture group </w:t>
      </w:r>
      <w:proofErr w:type="spellStart"/>
      <w:r w:rsidRPr="0059006C">
        <w:rPr>
          <w:i w:val="0"/>
          <w:color w:val="000000" w:themeColor="text1"/>
          <w:sz w:val="16"/>
        </w:rPr>
        <w:t>MinION</w:t>
      </w:r>
      <w:proofErr w:type="spellEnd"/>
      <w:r w:rsidRPr="0059006C">
        <w:rPr>
          <w:i w:val="0"/>
          <w:color w:val="000000" w:themeColor="text1"/>
          <w:sz w:val="16"/>
        </w:rPr>
        <w:t xml:space="preserve"> sequencing run.</w:t>
      </w:r>
    </w:p>
    <w:p w:rsidR="001A2373" w:rsidRPr="00E53487" w:rsidRDefault="001A2373" w:rsidP="001A2373">
      <w:r>
        <w:rPr>
          <w:noProof/>
          <w:lang w:val="en-IN" w:eastAsia="en-IN"/>
        </w:rPr>
        <w:drawing>
          <wp:inline distT="0" distB="0" distL="0" distR="0">
            <wp:extent cx="5731510" cy="4303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373" w:rsidRPr="00E53487" w:rsidSect="00381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hyphenationZone w:val="425"/>
  <w:characterSpacingControl w:val="doNotCompress"/>
  <w:compat>
    <w:useFELayout/>
  </w:compat>
  <w:rsids>
    <w:rsidRoot w:val="00605D0B"/>
    <w:rsid w:val="00051F50"/>
    <w:rsid w:val="000D777C"/>
    <w:rsid w:val="001A2373"/>
    <w:rsid w:val="002620ED"/>
    <w:rsid w:val="0028347B"/>
    <w:rsid w:val="0038168E"/>
    <w:rsid w:val="004549FD"/>
    <w:rsid w:val="004921ED"/>
    <w:rsid w:val="00605D0B"/>
    <w:rsid w:val="006D1D33"/>
    <w:rsid w:val="00941E00"/>
    <w:rsid w:val="00983F5D"/>
    <w:rsid w:val="00C45518"/>
    <w:rsid w:val="00CB06AE"/>
    <w:rsid w:val="00E46274"/>
    <w:rsid w:val="00F64139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0B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0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5D0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0B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641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mailto:cedriccstan@gmail.com" TargetMode="Externa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nt\Enrichment%20Capture%20Nanopore\Data\TAQMAN%20VIIA7%20STANDARD%20CURV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nt\Enrichment%20Capture%20Nanopore\Data\TAQMAN%20VIIA7%20STANDARD%20CURV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Standard Curve for DENV1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0692071339039213"/>
                  <c:y val="-0.1251935821782370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DENV1!$C$23:$C$40</c:f>
              <c:numCache>
                <c:formatCode>General</c:formatCode>
                <c:ptCount val="18"/>
                <c:pt idx="0">
                  <c:v>31.132076263427727</c:v>
                </c:pt>
                <c:pt idx="3">
                  <c:v>25.449158668518074</c:v>
                </c:pt>
                <c:pt idx="6">
                  <c:v>20.785436630248963</c:v>
                </c:pt>
                <c:pt idx="9">
                  <c:v>15.864382425944012</c:v>
                </c:pt>
                <c:pt idx="12">
                  <c:v>11.796275138854979</c:v>
                </c:pt>
                <c:pt idx="15">
                  <c:v>8.588196436564127</c:v>
                </c:pt>
              </c:numCache>
            </c:numRef>
          </c:xVal>
          <c:yVal>
            <c:numRef>
              <c:f>DENV1!$E$23:$E$40</c:f>
              <c:numCache>
                <c:formatCode>General</c:formatCode>
                <c:ptCount val="18"/>
                <c:pt idx="0">
                  <c:v>14.556745526004702</c:v>
                </c:pt>
                <c:pt idx="3">
                  <c:v>17.878673620892062</c:v>
                </c:pt>
                <c:pt idx="6">
                  <c:v>21.20060171577941</c:v>
                </c:pt>
                <c:pt idx="9">
                  <c:v>24.522529810666732</c:v>
                </c:pt>
                <c:pt idx="12">
                  <c:v>27.84445790555414</c:v>
                </c:pt>
                <c:pt idx="15">
                  <c:v>31.166386000441499</c:v>
                </c:pt>
              </c:numCache>
            </c:numRef>
          </c:yVal>
        </c:ser>
        <c:dLbls>
          <c:showVal val="1"/>
        </c:dLbls>
        <c:axId val="141807616"/>
        <c:axId val="141809536"/>
      </c:scatterChart>
      <c:valAx>
        <c:axId val="141807616"/>
        <c:scaling>
          <c:orientation val="minMax"/>
          <c:max val="35"/>
          <c:min val="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 sz="900" b="0" i="0" u="none" strike="noStrike" cap="all" baseline="0">
                    <a:effectLst/>
                  </a:rPr>
                  <a:t>&lt;CT&gt;</a:t>
                </a:r>
                <a:endParaRPr lang="en-SG"/>
              </a:p>
            </c:rich>
          </c:tx>
          <c:layout>
            <c:manualLayout>
              <c:xMode val="edge"/>
              <c:yMode val="edge"/>
              <c:x val="0.43726366843819398"/>
              <c:y val="0.8842835121418249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09536"/>
        <c:crosses val="autoZero"/>
        <c:crossBetween val="midCat"/>
      </c:valAx>
      <c:valAx>
        <c:axId val="141809536"/>
        <c:scaling>
          <c:orientation val="minMax"/>
          <c:max val="35"/>
          <c:min val="1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Log2(amount)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807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SG"/>
              <a:t>Standard</a:t>
            </a:r>
            <a:r>
              <a:rPr lang="en-SG" baseline="0"/>
              <a:t> Curve for GAPDH</a:t>
            </a:r>
            <a:endParaRPr lang="en-SG"/>
          </a:p>
        </c:rich>
      </c:tx>
      <c:layout/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</c:trendline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54118113050978212"/>
                  <c:y val="-3.8015661530640614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GAPDH!$C$17:$C$40</c:f>
              <c:numCache>
                <c:formatCode>General</c:formatCode>
                <c:ptCount val="24"/>
                <c:pt idx="0">
                  <c:v>32.552665710449197</c:v>
                </c:pt>
                <c:pt idx="3">
                  <c:v>29.224141120910641</c:v>
                </c:pt>
                <c:pt idx="6">
                  <c:v>25.441364288330067</c:v>
                </c:pt>
                <c:pt idx="9">
                  <c:v>21.738620122273748</c:v>
                </c:pt>
                <c:pt idx="12">
                  <c:v>18.137844721476256</c:v>
                </c:pt>
                <c:pt idx="15">
                  <c:v>14.589344024658201</c:v>
                </c:pt>
                <c:pt idx="18">
                  <c:v>11.125906308492031</c:v>
                </c:pt>
                <c:pt idx="21">
                  <c:v>8.2310543060302681</c:v>
                </c:pt>
              </c:numCache>
            </c:numRef>
          </c:xVal>
          <c:yVal>
            <c:numRef>
              <c:f>GAPDH!$E$17:$E$40</c:f>
              <c:numCache>
                <c:formatCode>General</c:formatCode>
                <c:ptCount val="24"/>
                <c:pt idx="0">
                  <c:v>7.9128893362299539</c:v>
                </c:pt>
                <c:pt idx="3">
                  <c:v>11.234817431117317</c:v>
                </c:pt>
                <c:pt idx="6">
                  <c:v>14.556745526004702</c:v>
                </c:pt>
                <c:pt idx="9">
                  <c:v>17.878673620892062</c:v>
                </c:pt>
                <c:pt idx="12">
                  <c:v>21.20060171577941</c:v>
                </c:pt>
                <c:pt idx="15">
                  <c:v>24.522529810666732</c:v>
                </c:pt>
                <c:pt idx="18">
                  <c:v>27.84445790555414</c:v>
                </c:pt>
                <c:pt idx="21">
                  <c:v>31.166386000441499</c:v>
                </c:pt>
              </c:numCache>
            </c:numRef>
          </c:yVal>
        </c:ser>
        <c:dLbls>
          <c:showVal val="1"/>
        </c:dLbls>
        <c:axId val="142869632"/>
        <c:axId val="142871552"/>
      </c:scatterChart>
      <c:valAx>
        <c:axId val="142869632"/>
        <c:scaling>
          <c:orientation val="minMax"/>
          <c:max val="35"/>
          <c:min val="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 sz="900" b="0" i="0" u="none" strike="noStrike" cap="all" baseline="0">
                    <a:effectLst/>
                  </a:rPr>
                  <a:t>&lt;CT&gt;</a:t>
                </a:r>
              </a:p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SG"/>
              </a:p>
            </c:rich>
          </c:tx>
          <c:layout>
            <c:manualLayout>
              <c:xMode val="edge"/>
              <c:yMode val="edge"/>
              <c:x val="0.43726366843819398"/>
              <c:y val="0.8842835121418249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871552"/>
        <c:crosses val="autoZero"/>
        <c:crossBetween val="midCat"/>
      </c:valAx>
      <c:valAx>
        <c:axId val="142871552"/>
        <c:scaling>
          <c:orientation val="minMax"/>
          <c:max val="35"/>
          <c:min val="4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LOG2(copies/</a:t>
                </a:r>
                <a:r>
                  <a:rPr lang="en-SG" sz="900" b="0" i="0" u="none" strike="noStrike" cap="all" baseline="0">
                    <a:effectLst/>
                  </a:rPr>
                  <a:t>U</a:t>
                </a:r>
                <a:r>
                  <a:rPr lang="en-SG"/>
                  <a:t>L)</a:t>
                </a:r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8696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0012761</cp:lastModifiedBy>
  <cp:revision>3</cp:revision>
  <cp:lastPrinted>2019-02-04T13:19:00Z</cp:lastPrinted>
  <dcterms:created xsi:type="dcterms:W3CDTF">2019-04-01T19:20:00Z</dcterms:created>
  <dcterms:modified xsi:type="dcterms:W3CDTF">2019-04-05T00:42:00Z</dcterms:modified>
</cp:coreProperties>
</file>