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CE" w:rsidRPr="0033668C" w:rsidRDefault="009C28CE" w:rsidP="009C28CE">
      <w:pPr>
        <w:autoSpaceDE w:val="0"/>
        <w:autoSpaceDN w:val="0"/>
        <w:adjustRightInd w:val="0"/>
        <w:spacing w:line="480" w:lineRule="auto"/>
        <w:rPr>
          <w:color w:val="010205"/>
          <w:lang w:val="en-US"/>
        </w:rPr>
      </w:pPr>
      <w:r w:rsidRPr="0033668C">
        <w:rPr>
          <w:b/>
          <w:lang w:val="en-US"/>
        </w:rPr>
        <w:t>Table 5.</w:t>
      </w:r>
      <w:r w:rsidRPr="0033668C">
        <w:rPr>
          <w:lang w:val="en-US"/>
        </w:rPr>
        <w:t xml:space="preserve"> Pattern matrix with PPQ items and 3 components taken from the reliability sample. </w:t>
      </w:r>
    </w:p>
    <w:tbl>
      <w:tblPr>
        <w:tblW w:w="8789" w:type="dxa"/>
        <w:tblLook w:val="00A0" w:firstRow="1" w:lastRow="0" w:firstColumn="1" w:lastColumn="0" w:noHBand="0" w:noVBand="0"/>
      </w:tblPr>
      <w:tblGrid>
        <w:gridCol w:w="3119"/>
        <w:gridCol w:w="1843"/>
        <w:gridCol w:w="1984"/>
        <w:gridCol w:w="1843"/>
      </w:tblGrid>
      <w:tr w:rsidR="009C28CE" w:rsidRPr="0033668C" w:rsidTr="0008260B">
        <w:tc>
          <w:tcPr>
            <w:tcW w:w="3119" w:type="dxa"/>
            <w:tcBorders>
              <w:top w:val="single" w:sz="4" w:space="0" w:color="auto"/>
            </w:tcBorders>
          </w:tcPr>
          <w:p w:rsidR="009C28CE" w:rsidRPr="0033668C" w:rsidRDefault="009C28CE" w:rsidP="0008260B">
            <w:pPr>
              <w:autoSpaceDE w:val="0"/>
              <w:autoSpaceDN w:val="0"/>
              <w:adjustRightInd w:val="0"/>
              <w:rPr>
                <w:b/>
                <w:color w:val="000000"/>
                <w:lang w:val="en-US"/>
              </w:rPr>
            </w:pPr>
            <w:r w:rsidRPr="0033668C">
              <w:rPr>
                <w:b/>
                <w:color w:val="000000"/>
                <w:lang w:val="en-US"/>
              </w:rPr>
              <w:t>PPQ item*</w:t>
            </w:r>
          </w:p>
        </w:tc>
        <w:tc>
          <w:tcPr>
            <w:tcW w:w="1843" w:type="dxa"/>
            <w:tcBorders>
              <w:top w:val="single" w:sz="4" w:space="0" w:color="auto"/>
            </w:tcBorders>
          </w:tcPr>
          <w:p w:rsidR="009C28CE" w:rsidRPr="0033668C" w:rsidRDefault="009C28CE" w:rsidP="0008260B">
            <w:pPr>
              <w:autoSpaceDE w:val="0"/>
              <w:autoSpaceDN w:val="0"/>
              <w:adjustRightInd w:val="0"/>
              <w:rPr>
                <w:b/>
                <w:color w:val="010205"/>
                <w:lang w:val="en-US"/>
              </w:rPr>
            </w:pPr>
            <w:r w:rsidRPr="0033668C">
              <w:rPr>
                <w:b/>
                <w:color w:val="010205"/>
                <w:lang w:val="en-US"/>
              </w:rPr>
              <w:t>Component 1**</w:t>
            </w:r>
            <w:r w:rsidRPr="0033668C">
              <w:rPr>
                <w:b/>
                <w:color w:val="010205"/>
                <w:lang w:val="en-US"/>
              </w:rPr>
              <w:br/>
              <w:t>‘Stress’</w:t>
            </w:r>
          </w:p>
        </w:tc>
        <w:tc>
          <w:tcPr>
            <w:tcW w:w="1984" w:type="dxa"/>
            <w:tcBorders>
              <w:top w:val="single" w:sz="4" w:space="0" w:color="auto"/>
            </w:tcBorders>
          </w:tcPr>
          <w:p w:rsidR="009C28CE" w:rsidRPr="0033668C" w:rsidRDefault="009C28CE" w:rsidP="0008260B">
            <w:pPr>
              <w:autoSpaceDE w:val="0"/>
              <w:autoSpaceDN w:val="0"/>
              <w:adjustRightInd w:val="0"/>
              <w:rPr>
                <w:b/>
                <w:color w:val="010205"/>
                <w:lang w:val="en-US"/>
              </w:rPr>
            </w:pPr>
            <w:r w:rsidRPr="0033668C">
              <w:rPr>
                <w:b/>
                <w:color w:val="010205"/>
                <w:lang w:val="en-US"/>
              </w:rPr>
              <w:t>Component 2**</w:t>
            </w:r>
            <w:r w:rsidRPr="0033668C">
              <w:rPr>
                <w:b/>
                <w:color w:val="010205"/>
                <w:lang w:val="en-US"/>
              </w:rPr>
              <w:br/>
              <w:t>‘Attitude’</w:t>
            </w:r>
          </w:p>
        </w:tc>
        <w:tc>
          <w:tcPr>
            <w:tcW w:w="1843" w:type="dxa"/>
            <w:tcBorders>
              <w:top w:val="single" w:sz="4" w:space="0" w:color="auto"/>
            </w:tcBorders>
          </w:tcPr>
          <w:p w:rsidR="009C28CE" w:rsidRPr="0033668C" w:rsidRDefault="009C28CE" w:rsidP="0008260B">
            <w:pPr>
              <w:autoSpaceDE w:val="0"/>
              <w:autoSpaceDN w:val="0"/>
              <w:adjustRightInd w:val="0"/>
              <w:rPr>
                <w:b/>
                <w:color w:val="010205"/>
                <w:lang w:val="en-US"/>
              </w:rPr>
            </w:pPr>
            <w:r w:rsidRPr="0033668C">
              <w:rPr>
                <w:b/>
                <w:color w:val="010205"/>
                <w:lang w:val="en-US"/>
              </w:rPr>
              <w:t>Component 3**</w:t>
            </w:r>
            <w:r w:rsidRPr="0033668C">
              <w:rPr>
                <w:b/>
                <w:color w:val="010205"/>
                <w:lang w:val="en-US"/>
              </w:rPr>
              <w:br/>
              <w:t xml:space="preserve">‘Resources’ </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Stress 1</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.466</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.123</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-.252</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Stress 2</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.711</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.123</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.164</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Stress 3</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.831</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-.034</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.135</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Stress 4</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.595</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.015</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-.295</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Stress 5</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.752</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-.045</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-.051</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Stress 6</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.587</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.102</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-.169</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Attitude 1</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.141</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.600</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.030</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Attitude 2</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-.025</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.784</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.037</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Attitude 3</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-.142</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.816</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-.055</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Attitude 4</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.115</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.745</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.097</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Attitude 5</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.191</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.312</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-.131</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Attitude 6</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-.073</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.716</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-.085</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Resources 1</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-.058</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-.027</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.659</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Resources 2</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-.164</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.056</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.582</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Resources 3</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.101</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-.003</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.743</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Resources 4</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.156</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-.020</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.751</w:t>
            </w:r>
          </w:p>
        </w:tc>
      </w:tr>
      <w:tr w:rsidR="009C28CE" w:rsidRPr="0033668C" w:rsidTr="0008260B">
        <w:tc>
          <w:tcPr>
            <w:tcW w:w="3119" w:type="dxa"/>
          </w:tcPr>
          <w:p w:rsidR="009C28CE" w:rsidRPr="0033668C" w:rsidRDefault="009C28CE" w:rsidP="0008260B">
            <w:pPr>
              <w:autoSpaceDE w:val="0"/>
              <w:autoSpaceDN w:val="0"/>
              <w:adjustRightInd w:val="0"/>
              <w:rPr>
                <w:color w:val="000000"/>
                <w:lang w:val="en-US"/>
              </w:rPr>
            </w:pPr>
            <w:r w:rsidRPr="0033668C">
              <w:rPr>
                <w:color w:val="000000"/>
                <w:lang w:val="en-US"/>
              </w:rPr>
              <w:t>Publication Resources 5</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-.281</w:t>
            </w:r>
          </w:p>
        </w:tc>
        <w:tc>
          <w:tcPr>
            <w:tcW w:w="1984" w:type="dxa"/>
          </w:tcPr>
          <w:p w:rsidR="009C28CE" w:rsidRPr="0033668C" w:rsidRDefault="009C28CE" w:rsidP="0008260B">
            <w:pPr>
              <w:autoSpaceDE w:val="0"/>
              <w:autoSpaceDN w:val="0"/>
              <w:adjustRightInd w:val="0"/>
              <w:rPr>
                <w:color w:val="010205"/>
                <w:lang w:val="en-US"/>
              </w:rPr>
            </w:pPr>
            <w:r w:rsidRPr="0033668C">
              <w:rPr>
                <w:color w:val="010205"/>
                <w:lang w:val="en-US"/>
              </w:rPr>
              <w:t>.007</w:t>
            </w:r>
          </w:p>
        </w:tc>
        <w:tc>
          <w:tcPr>
            <w:tcW w:w="1843" w:type="dxa"/>
          </w:tcPr>
          <w:p w:rsidR="009C28CE" w:rsidRPr="0033668C" w:rsidRDefault="009C28CE" w:rsidP="0008260B">
            <w:pPr>
              <w:autoSpaceDE w:val="0"/>
              <w:autoSpaceDN w:val="0"/>
              <w:adjustRightInd w:val="0"/>
              <w:rPr>
                <w:color w:val="010205"/>
                <w:lang w:val="en-US"/>
              </w:rPr>
            </w:pPr>
            <w:r w:rsidRPr="0033668C">
              <w:rPr>
                <w:color w:val="010205"/>
                <w:lang w:val="en-US"/>
              </w:rPr>
              <w:t>.510</w:t>
            </w:r>
          </w:p>
        </w:tc>
      </w:tr>
      <w:tr w:rsidR="009C28CE" w:rsidRPr="0033668C" w:rsidTr="0008260B">
        <w:tc>
          <w:tcPr>
            <w:tcW w:w="3119" w:type="dxa"/>
            <w:tcBorders>
              <w:bottom w:val="single" w:sz="4" w:space="0" w:color="auto"/>
            </w:tcBorders>
          </w:tcPr>
          <w:p w:rsidR="009C28CE" w:rsidRPr="0033668C" w:rsidRDefault="009C28CE" w:rsidP="0008260B">
            <w:pPr>
              <w:autoSpaceDE w:val="0"/>
              <w:autoSpaceDN w:val="0"/>
              <w:adjustRightInd w:val="0"/>
              <w:rPr>
                <w:color w:val="000000"/>
                <w:lang w:val="en-US"/>
              </w:rPr>
            </w:pPr>
            <w:r w:rsidRPr="0033668C">
              <w:rPr>
                <w:color w:val="000000"/>
                <w:lang w:val="en-US"/>
              </w:rPr>
              <w:t>Publication Resources 6</w:t>
            </w:r>
          </w:p>
        </w:tc>
        <w:tc>
          <w:tcPr>
            <w:tcW w:w="1843" w:type="dxa"/>
            <w:tcBorders>
              <w:bottom w:val="single" w:sz="4" w:space="0" w:color="auto"/>
            </w:tcBorders>
          </w:tcPr>
          <w:p w:rsidR="009C28CE" w:rsidRPr="0033668C" w:rsidRDefault="009C28CE" w:rsidP="0008260B">
            <w:pPr>
              <w:autoSpaceDE w:val="0"/>
              <w:autoSpaceDN w:val="0"/>
              <w:adjustRightInd w:val="0"/>
              <w:rPr>
                <w:color w:val="010205"/>
                <w:lang w:val="en-US"/>
              </w:rPr>
            </w:pPr>
            <w:r w:rsidRPr="0033668C">
              <w:rPr>
                <w:color w:val="010205"/>
                <w:lang w:val="en-US"/>
              </w:rPr>
              <w:t>.001</w:t>
            </w:r>
          </w:p>
        </w:tc>
        <w:tc>
          <w:tcPr>
            <w:tcW w:w="1984" w:type="dxa"/>
            <w:tcBorders>
              <w:bottom w:val="single" w:sz="4" w:space="0" w:color="auto"/>
            </w:tcBorders>
          </w:tcPr>
          <w:p w:rsidR="009C28CE" w:rsidRPr="0033668C" w:rsidRDefault="009C28CE" w:rsidP="0008260B">
            <w:pPr>
              <w:autoSpaceDE w:val="0"/>
              <w:autoSpaceDN w:val="0"/>
              <w:adjustRightInd w:val="0"/>
              <w:rPr>
                <w:color w:val="010205"/>
                <w:lang w:val="en-US"/>
              </w:rPr>
            </w:pPr>
            <w:r w:rsidRPr="0033668C">
              <w:rPr>
                <w:color w:val="010205"/>
                <w:lang w:val="en-US"/>
              </w:rPr>
              <w:t>-.134</w:t>
            </w:r>
          </w:p>
        </w:tc>
        <w:tc>
          <w:tcPr>
            <w:tcW w:w="1843" w:type="dxa"/>
            <w:tcBorders>
              <w:bottom w:val="single" w:sz="4" w:space="0" w:color="auto"/>
            </w:tcBorders>
          </w:tcPr>
          <w:p w:rsidR="009C28CE" w:rsidRPr="0033668C" w:rsidRDefault="009C28CE" w:rsidP="0008260B">
            <w:pPr>
              <w:autoSpaceDE w:val="0"/>
              <w:autoSpaceDN w:val="0"/>
              <w:adjustRightInd w:val="0"/>
              <w:rPr>
                <w:color w:val="010205"/>
                <w:lang w:val="en-US"/>
              </w:rPr>
            </w:pPr>
            <w:r w:rsidRPr="0033668C">
              <w:rPr>
                <w:color w:val="010205"/>
                <w:lang w:val="en-US"/>
              </w:rPr>
              <w:t>.617</w:t>
            </w:r>
          </w:p>
        </w:tc>
      </w:tr>
    </w:tbl>
    <w:p w:rsidR="009C28CE" w:rsidRDefault="009C28CE" w:rsidP="009C28CE">
      <w:pPr>
        <w:autoSpaceDE w:val="0"/>
        <w:autoSpaceDN w:val="0"/>
        <w:adjustRightInd w:val="0"/>
        <w:spacing w:line="480" w:lineRule="auto"/>
        <w:rPr>
          <w:color w:val="010205"/>
          <w:lang w:val="en-US"/>
        </w:rPr>
      </w:pPr>
      <w:r w:rsidRPr="0033668C">
        <w:rPr>
          <w:color w:val="010205"/>
          <w:lang w:val="en-US"/>
        </w:rPr>
        <w:t xml:space="preserve">* </w:t>
      </w:r>
      <w:r w:rsidRPr="00021A43">
        <w:rPr>
          <w:color w:val="010205"/>
          <w:sz w:val="22"/>
          <w:szCs w:val="22"/>
          <w:lang w:val="en-US"/>
        </w:rPr>
        <w:t xml:space="preserve">For written items, see </w:t>
      </w:r>
      <w:r w:rsidRPr="00021A43">
        <w:rPr>
          <w:b/>
          <w:color w:val="010205"/>
          <w:sz w:val="22"/>
          <w:szCs w:val="22"/>
          <w:lang w:val="en-US"/>
        </w:rPr>
        <w:t>Table 2</w:t>
      </w:r>
      <w:r w:rsidRPr="00021A43">
        <w:rPr>
          <w:color w:val="010205"/>
          <w:sz w:val="22"/>
          <w:szCs w:val="22"/>
          <w:lang w:val="en-US"/>
        </w:rPr>
        <w:t xml:space="preserve"> main text. ** Rotation Method: Oblimin with Kaiser Normalization.</w:t>
      </w:r>
    </w:p>
    <w:p w:rsidR="009C28CE" w:rsidRPr="009574F9" w:rsidRDefault="009C28CE" w:rsidP="009C28CE">
      <w:pPr>
        <w:autoSpaceDE w:val="0"/>
        <w:autoSpaceDN w:val="0"/>
        <w:adjustRightInd w:val="0"/>
        <w:spacing w:line="480" w:lineRule="auto"/>
        <w:ind w:firstLine="720"/>
        <w:rPr>
          <w:rFonts w:ascii="Times" w:hAnsi="Times"/>
          <w:color w:val="333333"/>
          <w:lang w:val="en-US"/>
        </w:rPr>
      </w:pPr>
      <w:r w:rsidRPr="009574F9">
        <w:rPr>
          <w:rFonts w:ascii="Times" w:hAnsi="Times"/>
          <w:color w:val="333333"/>
          <w:lang w:val="en-US"/>
        </w:rPr>
        <w:t>A full report of the CFA and subsequent measurement invariance analyses would be beyond the scope of the paper. Still, we do want to inform the interested reader about the results. A simple three factor model did not fit satisfactorily (CHISQ(132) = 1126.9, RMSEA = 0.086) because a few inter-item correlations were somewhat higher than expected under the simple model. After accounting for these violations of local independence, which are inconsequential for PCA’s and reliability, the fit was satisfactory (CHISQ(128) = 565.8, RMSEA = 0.057). This model also yielded satisfactory fit to each of the subgroups (men and women, four disciplines, and five academic ranks).</w:t>
      </w:r>
    </w:p>
    <w:p w:rsidR="009C28CE" w:rsidRPr="00B84672" w:rsidRDefault="009C28CE" w:rsidP="009C28CE">
      <w:pPr>
        <w:autoSpaceDE w:val="0"/>
        <w:autoSpaceDN w:val="0"/>
        <w:adjustRightInd w:val="0"/>
        <w:spacing w:line="480" w:lineRule="auto"/>
        <w:ind w:firstLine="720"/>
        <w:rPr>
          <w:rFonts w:ascii="Times" w:hAnsi="Times"/>
          <w:color w:val="333333"/>
          <w:lang w:val="en-US"/>
        </w:rPr>
      </w:pPr>
      <w:r w:rsidRPr="009574F9">
        <w:rPr>
          <w:rFonts w:ascii="Times" w:hAnsi="Times"/>
          <w:color w:val="333333"/>
          <w:lang w:val="en-US"/>
        </w:rPr>
        <w:t xml:space="preserve"> Moreover, hypotheses of invariance of factor loadings and intercepts were not rejected according to RMSEA and ECVI differences, except for the intercepts of three stress items that indicated that, if stress levels would be equal, these items were easier to agree with for PhD students than for other subgroups.</w:t>
      </w:r>
    </w:p>
    <w:p w:rsidR="00720526" w:rsidRDefault="00720526">
      <w:bookmarkStart w:id="0" w:name="_GoBack"/>
      <w:bookmarkEnd w:id="0"/>
    </w:p>
    <w:sectPr w:rsidR="00720526" w:rsidSect="005506A5">
      <w:footerReference w:type="even" r:id="rId5"/>
      <w:footerReference w:type="default" r:id="rI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1990862"/>
      <w:docPartObj>
        <w:docPartGallery w:val="Page Numbers (Bottom of Page)"/>
        <w:docPartUnique/>
      </w:docPartObj>
    </w:sdtPr>
    <w:sdtEndPr>
      <w:rPr>
        <w:rStyle w:val="PageNumber"/>
      </w:rPr>
    </w:sdtEndPr>
    <w:sdtContent>
      <w:p w:rsidR="00D15515" w:rsidRDefault="009C28CE" w:rsidP="009E08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5515" w:rsidRDefault="009C28CE" w:rsidP="00D15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74674902"/>
      <w:docPartObj>
        <w:docPartGallery w:val="Page Numbers (Bottom of Page)"/>
        <w:docPartUnique/>
      </w:docPartObj>
    </w:sdtPr>
    <w:sdtEndPr>
      <w:rPr>
        <w:rStyle w:val="PageNumber"/>
      </w:rPr>
    </w:sdtEndPr>
    <w:sdtContent>
      <w:p w:rsidR="00D15515" w:rsidRDefault="009C28CE" w:rsidP="009E08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15515" w:rsidRDefault="009C28CE" w:rsidP="00D1551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CE"/>
    <w:rsid w:val="00063B31"/>
    <w:rsid w:val="00644F4D"/>
    <w:rsid w:val="00720526"/>
    <w:rsid w:val="009C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C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8CE"/>
    <w:pPr>
      <w:tabs>
        <w:tab w:val="center" w:pos="4513"/>
        <w:tab w:val="right" w:pos="9026"/>
      </w:tabs>
    </w:pPr>
  </w:style>
  <w:style w:type="character" w:customStyle="1" w:styleId="FooterChar">
    <w:name w:val="Footer Char"/>
    <w:basedOn w:val="DefaultParagraphFont"/>
    <w:link w:val="Footer"/>
    <w:uiPriority w:val="99"/>
    <w:rsid w:val="009C28CE"/>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9C2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C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8CE"/>
    <w:pPr>
      <w:tabs>
        <w:tab w:val="center" w:pos="4513"/>
        <w:tab w:val="right" w:pos="9026"/>
      </w:tabs>
    </w:pPr>
  </w:style>
  <w:style w:type="character" w:customStyle="1" w:styleId="FooterChar">
    <w:name w:val="Footer Char"/>
    <w:basedOn w:val="DefaultParagraphFont"/>
    <w:link w:val="Footer"/>
    <w:uiPriority w:val="99"/>
    <w:rsid w:val="009C28CE"/>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9C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1653</Characters>
  <Application>Microsoft Office Word</Application>
  <DocSecurity>0</DocSecurity>
  <Lines>118</Lines>
  <Paragraphs>94</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JOLANO</dc:creator>
  <cp:lastModifiedBy>JOLANO</cp:lastModifiedBy>
  <cp:revision>1</cp:revision>
  <dcterms:created xsi:type="dcterms:W3CDTF">2019-03-11T23:50:00Z</dcterms:created>
  <dcterms:modified xsi:type="dcterms:W3CDTF">2019-03-11T23:50:00Z</dcterms:modified>
</cp:coreProperties>
</file>