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30" w:rsidRPr="002B6E30" w:rsidRDefault="002B6E30" w:rsidP="002B6E3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Additional File 1</w:t>
      </w:r>
    </w:p>
    <w:p w:rsid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Table S1: Practice characteristics by </w:t>
      </w:r>
      <w:proofErr w:type="spellStart"/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tertile</w:t>
      </w:r>
      <w:proofErr w:type="spellEnd"/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of GP consultation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  <w:gridCol w:w="2075"/>
        <w:gridCol w:w="2075"/>
      </w:tblGrid>
      <w:tr w:rsidR="002B6E30" w:rsidRPr="002B6E30" w:rsidTr="00F770EA">
        <w:tc>
          <w:tcPr>
            <w:tcW w:w="6941" w:type="dxa"/>
          </w:tcPr>
          <w:p w:rsidR="002B6E30" w:rsidRPr="002B6E30" w:rsidRDefault="002B6E30" w:rsidP="002B6E30"/>
        </w:tc>
        <w:tc>
          <w:tcPr>
            <w:tcW w:w="6225" w:type="dxa"/>
            <w:gridSpan w:val="3"/>
          </w:tcPr>
          <w:p w:rsidR="002B6E30" w:rsidRPr="002B6E30" w:rsidRDefault="002B6E30" w:rsidP="002B6E30">
            <w:r w:rsidRPr="002B6E30">
              <w:t>Mean (SD)/ N (%)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/>
        </w:tc>
        <w:tc>
          <w:tcPr>
            <w:tcW w:w="6225" w:type="dxa"/>
            <w:gridSpan w:val="3"/>
          </w:tcPr>
          <w:p w:rsidR="002B6E30" w:rsidRPr="002B6E30" w:rsidRDefault="002B6E30" w:rsidP="002B6E30">
            <w:proofErr w:type="spellStart"/>
            <w:r w:rsidRPr="002B6E30">
              <w:t>Tertile</w:t>
            </w:r>
            <w:proofErr w:type="spellEnd"/>
            <w:r w:rsidRPr="002B6E30">
              <w:t xml:space="preserve"> of GP consultation rate (per person-year)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Variable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&lt; 3.25 (N=91)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3.25 to 4 (N=97)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 to 12.9 (N=95)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GP consultation rate (per patient person-year)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2.60 (0.61)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3.61 (0.23)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4.98 (1.18)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Nurse consultation rate (per patient person-year)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1.15 (0.71)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1.41 (0.80)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1.47 (0.80)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FTE GPs per 1000 patients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0.51 (0.16)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0.56 (0.13)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0.59 (0.16)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FTE Nurses per 1000 patients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0.24 (0.10)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0.25 (0.11)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0.27 (0.19)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patients in most deprived quintile of IMD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16.3 (20.8)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17.9 (22.8)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16.0 (22.4)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 patients female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50.7 (1.82)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50.6 (1.49)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50.7 (1.13)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patients over 64 years old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16.3 (6.19)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17.3 (6.04)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18.7 (6.09)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Number of deaths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54.0 (36.3)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75.1 (49.7)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74.6 (43.8)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Number of hospital admissions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1868 (1117)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2521 (1505)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2247 (1215)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List size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8936 (4106)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10546 (5166)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9889 (4697)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Patient person years of follow-up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7312 (4068)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9320 (4962)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8249 (3913)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Training practice (yes)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28 (30.8%)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51 (52.6%)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41 (43.2%)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Urban practice (yes)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82 (90.1%)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84 (86.6%)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71 (74.7%)</w:t>
            </w:r>
          </w:p>
        </w:tc>
      </w:tr>
    </w:tbl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2B6E30" w:rsidRPr="002B6E30" w:rsidRDefault="002B6E30" w:rsidP="002B6E3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br w:type="page"/>
      </w:r>
    </w:p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 xml:space="preserve">Table S2: Practice characteristics by </w:t>
      </w:r>
      <w:proofErr w:type="spellStart"/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tertile</w:t>
      </w:r>
      <w:proofErr w:type="spellEnd"/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of nurse consultation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  <w:gridCol w:w="2075"/>
        <w:gridCol w:w="2075"/>
      </w:tblGrid>
      <w:tr w:rsidR="002B6E30" w:rsidRPr="002B6E30" w:rsidTr="00F770EA">
        <w:tc>
          <w:tcPr>
            <w:tcW w:w="6941" w:type="dxa"/>
          </w:tcPr>
          <w:p w:rsidR="002B6E30" w:rsidRPr="002B6E30" w:rsidRDefault="002B6E30" w:rsidP="002B6E30"/>
        </w:tc>
        <w:tc>
          <w:tcPr>
            <w:tcW w:w="6225" w:type="dxa"/>
            <w:gridSpan w:val="3"/>
          </w:tcPr>
          <w:p w:rsidR="002B6E30" w:rsidRPr="002B6E30" w:rsidRDefault="002B6E30" w:rsidP="002B6E30">
            <w:r w:rsidRPr="002B6E30">
              <w:t>Mean (SD)/ N (%)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/>
        </w:tc>
        <w:tc>
          <w:tcPr>
            <w:tcW w:w="6225" w:type="dxa"/>
            <w:gridSpan w:val="3"/>
          </w:tcPr>
          <w:p w:rsidR="002B6E30" w:rsidRPr="002B6E30" w:rsidRDefault="002B6E30" w:rsidP="002B6E30">
            <w:proofErr w:type="spellStart"/>
            <w:r w:rsidRPr="002B6E30">
              <w:t>Tertile</w:t>
            </w:r>
            <w:proofErr w:type="spellEnd"/>
            <w:r w:rsidRPr="002B6E30">
              <w:t xml:space="preserve"> of nurse consultation rate (per person-year)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Variable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&lt; 0.90 (N=93)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0.90 to 1.56 (N=91)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1.56 to 3.80 (N=99)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GP consultation rate (per patient person-year)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3.31 (1.06)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3.86 (1.10)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4.05 (1.41)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Nurse consultation rate (per patient person-year)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0.56 (0.28)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1.20 (0.19)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2.21 (0.52)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FTE GPs per 1000 patients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0.54 (0.16)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0.52 (0.12)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0.59 (0.17)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FTE Nurses per 1000 patients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0.20 (0.09)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0.23 (0.08)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0.32 (0.19)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patients in most deprived quintile of IMD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21.7 (23.5)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12.3 (19.7)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16.1 (21.7)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 patients female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50.5 (1.84)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50.8 (1.22)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50.7 (1.36)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Percentage of patients over 64 years old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15.1 (5.82)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17.6 (5.66)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19.6 (6.19)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Number of deaths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54.0 (39.7)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74.5 (41.8)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75.5 (48.6)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Number of hospital admissions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1898 (1183)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2404 (1255)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2350 (1442)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List size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8872 (4194)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10299 (4459)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10236 (5294)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Patient person years of follow-up in 2013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7311 (4074)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9200 (4408)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8444 (4563)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Training practice (yes)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30 (32.3%)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46 (50.6%)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44 (44.4%)</w:t>
            </w:r>
          </w:p>
        </w:tc>
      </w:tr>
      <w:tr w:rsidR="002B6E30" w:rsidRPr="002B6E30" w:rsidTr="00F770EA">
        <w:tc>
          <w:tcPr>
            <w:tcW w:w="6941" w:type="dxa"/>
          </w:tcPr>
          <w:p w:rsidR="002B6E30" w:rsidRPr="002B6E30" w:rsidRDefault="002B6E30" w:rsidP="002B6E30">
            <w:r w:rsidRPr="002B6E30">
              <w:t>Urban practice (yes)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86 (92.5%)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75 (82.4%)</w:t>
            </w:r>
          </w:p>
        </w:tc>
        <w:tc>
          <w:tcPr>
            <w:tcW w:w="2075" w:type="dxa"/>
          </w:tcPr>
          <w:p w:rsidR="002B6E30" w:rsidRPr="002B6E30" w:rsidRDefault="002B6E30" w:rsidP="002B6E30">
            <w:r w:rsidRPr="002B6E30">
              <w:t>76 (76.8%)</w:t>
            </w:r>
          </w:p>
        </w:tc>
      </w:tr>
    </w:tbl>
    <w:p w:rsidR="002B6E30" w:rsidRPr="002B6E30" w:rsidRDefault="002B6E30" w:rsidP="002B6E3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br w:type="page"/>
      </w:r>
    </w:p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>Table S3: Percentage of practices in each decile of QOF performance or GPPS domain (N=283)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383"/>
        <w:gridCol w:w="1490"/>
        <w:gridCol w:w="1608"/>
        <w:gridCol w:w="1042"/>
        <w:gridCol w:w="1328"/>
        <w:gridCol w:w="1175"/>
        <w:gridCol w:w="1267"/>
        <w:gridCol w:w="1740"/>
        <w:gridCol w:w="1112"/>
        <w:gridCol w:w="1132"/>
      </w:tblGrid>
      <w:tr w:rsidR="002B6E30" w:rsidRPr="002B6E30" w:rsidTr="00F770EA">
        <w:tc>
          <w:tcPr>
            <w:tcW w:w="0" w:type="auto"/>
          </w:tcPr>
          <w:p w:rsidR="002B6E30" w:rsidRPr="002B6E30" w:rsidRDefault="002B6E30" w:rsidP="002B6E30"/>
        </w:tc>
        <w:tc>
          <w:tcPr>
            <w:tcW w:w="0" w:type="auto"/>
          </w:tcPr>
          <w:p w:rsidR="002B6E30" w:rsidRPr="002B6E30" w:rsidRDefault="002B6E30" w:rsidP="002B6E30"/>
        </w:tc>
        <w:tc>
          <w:tcPr>
            <w:tcW w:w="0" w:type="auto"/>
            <w:gridSpan w:val="7"/>
          </w:tcPr>
          <w:p w:rsidR="002B6E30" w:rsidRPr="002B6E30" w:rsidRDefault="002B6E30" w:rsidP="002B6E30">
            <w:pPr>
              <w:rPr>
                <w:highlight w:val="yellow"/>
              </w:rPr>
            </w:pPr>
            <w:r w:rsidRPr="002B6E30">
              <w:t>GPPS satisfaction measures</w:t>
            </w:r>
          </w:p>
        </w:tc>
        <w:tc>
          <w:tcPr>
            <w:tcW w:w="0" w:type="auto"/>
          </w:tcPr>
          <w:p w:rsidR="002B6E30" w:rsidRPr="002B6E30" w:rsidRDefault="002B6E30" w:rsidP="002B6E30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2B6E30" w:rsidRPr="002B6E30" w:rsidRDefault="002B6E30" w:rsidP="002B6E30">
            <w:pPr>
              <w:rPr>
                <w:highlight w:val="yellow"/>
              </w:rPr>
            </w:pP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QOF achievement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Able to get an appointment to see or speak to someone (% "Yes"),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Convenience of appointment (% "Convenient"),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How long until actually saw or spoke to GP / nurse (% "Same or next day"),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Is GP surgery currently open at times that are convenient (% "Yes"),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Ease of getting through to someone at GP surgery on the phone (% "Easy"),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Frequency of seeing preferred GP (% "Always" or "Almost always"),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Recommending GP surgery to someone who has just moved to area (% "Yes"),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GPPS Response rate (%), decile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Long-standing health condition (% "Yes"), decile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4.2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6.7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10.6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2.5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13.1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5.7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6.7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13.4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13.1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15.2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10.6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15.2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10.6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6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14.8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9.2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15.9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10.6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15.2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13.8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14.8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9.2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6.0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17.3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11.3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12.4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6.7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5.3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9.9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9.5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5.3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10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18.0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7.1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8.8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8.5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10.6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10.3</w:t>
            </w:r>
          </w:p>
        </w:tc>
      </w:tr>
      <w:tr w:rsidR="002B6E30" w:rsidRPr="002B6E30" w:rsidTr="00F770EA">
        <w:tc>
          <w:tcPr>
            <w:tcW w:w="0" w:type="auto"/>
          </w:tcPr>
          <w:p w:rsidR="002B6E30" w:rsidRPr="002B6E30" w:rsidRDefault="002B6E30" w:rsidP="002B6E30">
            <w:r w:rsidRPr="002B6E30">
              <w:t>Missing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0.4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1.1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  <w:tc>
          <w:tcPr>
            <w:tcW w:w="0" w:type="auto"/>
          </w:tcPr>
          <w:p w:rsidR="002B6E30" w:rsidRPr="002B6E30" w:rsidRDefault="002B6E30" w:rsidP="002B6E30">
            <w:r w:rsidRPr="002B6E30">
              <w:t>0.0</w:t>
            </w:r>
          </w:p>
        </w:tc>
      </w:tr>
    </w:tbl>
    <w:p w:rsidR="002B6E30" w:rsidRPr="002B6E30" w:rsidRDefault="002B6E30" w:rsidP="002B6E30"/>
    <w:p w:rsidR="002B6E30" w:rsidRPr="002B6E30" w:rsidRDefault="002B6E30" w:rsidP="002B6E30">
      <w:r w:rsidRPr="002B6E30">
        <w:br w:type="page"/>
      </w:r>
    </w:p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>Table S4: Association between practice characteristics and decile of patient satisfaction measures related to access (adjusted results from ordinal logistic regression modelling).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1054"/>
        <w:gridCol w:w="543"/>
        <w:gridCol w:w="635"/>
        <w:gridCol w:w="779"/>
        <w:gridCol w:w="779"/>
        <w:gridCol w:w="911"/>
        <w:gridCol w:w="774"/>
        <w:gridCol w:w="774"/>
        <w:gridCol w:w="905"/>
        <w:gridCol w:w="911"/>
        <w:gridCol w:w="779"/>
        <w:gridCol w:w="1043"/>
      </w:tblGrid>
      <w:tr w:rsidR="002B6E30" w:rsidRPr="002B6E30" w:rsidTr="00F770EA">
        <w:trPr>
          <w:trHeight w:hRule="exact" w:val="7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30" w:rsidRPr="002B6E30" w:rsidRDefault="002B6E30" w:rsidP="002B6E30">
            <w:pPr>
              <w:rPr>
                <w:sz w:val="18"/>
                <w:szCs w:val="18"/>
              </w:rPr>
            </w:pPr>
            <w:r w:rsidRPr="002B6E30">
              <w:rPr>
                <w:sz w:val="18"/>
                <w:szCs w:val="18"/>
              </w:rPr>
              <w:t>Ease of getting through to someone at GP surgery on the phone (% "Easy")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rPr>
                <w:sz w:val="18"/>
                <w:szCs w:val="18"/>
              </w:rPr>
            </w:pPr>
            <w:r w:rsidRPr="002B6E30">
              <w:rPr>
                <w:sz w:val="18"/>
                <w:szCs w:val="18"/>
              </w:rPr>
              <w:t>Frequency of seeing preferred GP (% "Always" or "Almost always")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Able to get an appointment to see or speak to someone (% "Yes")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How long until actually saw or spoke to GP / nurse (% "Same or next day")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List size (per 1000 patients)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1.02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GP consultation rate (per patient person-year)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1.60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Nurse consultation rate (per patient person-year)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1.39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aged over 64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who are female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1.10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Number of FTE doctors per 1000 patients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12.74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3.37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Number of FTE nurses per 1000 patients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32.06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Urban location (compared to rural)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1.42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in most deprived quintile of IMD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Training practice (yes compared to no)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2.24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GPPS response rate decile (1 = lowest response rate)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11.86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21.68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21.76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35.27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12.89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30.95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36.94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18.49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44.17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56.54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61.63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110.83</w:t>
            </w:r>
          </w:p>
        </w:tc>
      </w:tr>
    </w:tbl>
    <w:p w:rsidR="002B6E30" w:rsidRPr="002B6E30" w:rsidRDefault="002B6E30" w:rsidP="002B6E30">
      <w:r w:rsidRPr="002B6E30">
        <w:br/>
      </w:r>
    </w:p>
    <w:p w:rsidR="002B6E30" w:rsidRPr="002B6E30" w:rsidRDefault="002B6E30" w:rsidP="002B6E30">
      <w:r w:rsidRPr="002B6E30">
        <w:br w:type="page"/>
      </w:r>
    </w:p>
    <w:p w:rsidR="002B6E30" w:rsidRPr="002B6E30" w:rsidRDefault="002B6E30" w:rsidP="002B6E3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B6E3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>Table S5: Association between practice characteristics and decile of patient satisfaction measures related to convenience and recommendations (adjusted results from ordinal logistic regression modelling).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844"/>
        <w:gridCol w:w="844"/>
        <w:gridCol w:w="987"/>
        <w:gridCol w:w="1076"/>
        <w:gridCol w:w="1076"/>
        <w:gridCol w:w="1259"/>
        <w:gridCol w:w="1199"/>
        <w:gridCol w:w="1199"/>
        <w:gridCol w:w="1403"/>
      </w:tblGrid>
      <w:tr w:rsidR="002B6E30" w:rsidRPr="002B6E30" w:rsidTr="00F770EA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Convenience of appointment (% "Convenient")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Is GP surgery currently open at times that are convenient (% "Yes")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Recommending GP surgery to someone who has just moved to area (% "Yes")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95% CI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List size (per 1000 patients)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GP consultation rate (per patient person-year)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Nurse consultation rate (per patient person-year)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aged over 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1.05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who are female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1.11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Number of FTE doctors per 1000 patients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3.74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Number of FTE nurses per 1000 patients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51.26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8.07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Urban location (compared to rural)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1.15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Percentage of patients in most deprived quintile of IMD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1.00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  <w:r w:rsidRPr="002B6E30">
              <w:rPr>
                <w:rFonts w:cstheme="minorHAnsi"/>
                <w:sz w:val="18"/>
                <w:szCs w:val="18"/>
              </w:rPr>
              <w:t>Training practice (yes compared to no)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1.76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GPPS response rate decile (1 = lowest response rate)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1.24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1.28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3.15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0.82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2.15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4.51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5.26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3.90</w:t>
            </w:r>
          </w:p>
        </w:tc>
      </w:tr>
      <w:tr w:rsidR="002B6E30" w:rsidRPr="002B6E30" w:rsidTr="00F770EA">
        <w:trPr>
          <w:trHeight w:hRule="exact" w:val="26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E30" w:rsidRPr="002B6E30" w:rsidRDefault="002B6E30" w:rsidP="002B6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B6E3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auto"/>
          </w:tcPr>
          <w:p w:rsidR="002B6E30" w:rsidRPr="002B6E30" w:rsidRDefault="002B6E30" w:rsidP="002B6E3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6E30">
              <w:rPr>
                <w:rFonts w:cstheme="minorHAnsi"/>
                <w:color w:val="000000"/>
                <w:sz w:val="18"/>
                <w:szCs w:val="18"/>
              </w:rPr>
              <w:t>11.34</w:t>
            </w:r>
          </w:p>
        </w:tc>
      </w:tr>
    </w:tbl>
    <w:p w:rsidR="002B6E30" w:rsidRPr="002B6E30" w:rsidRDefault="002B6E30" w:rsidP="002B6E30"/>
    <w:p w:rsidR="0005067C" w:rsidRDefault="0005067C"/>
    <w:sectPr w:rsidR="0005067C" w:rsidSect="00EF3A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880"/>
    <w:multiLevelType w:val="hybridMultilevel"/>
    <w:tmpl w:val="AB44C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11D0"/>
    <w:multiLevelType w:val="hybridMultilevel"/>
    <w:tmpl w:val="2CBC6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0"/>
    <w:rsid w:val="0005067C"/>
    <w:rsid w:val="0023041B"/>
    <w:rsid w:val="002B6E30"/>
    <w:rsid w:val="005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E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2B6E30"/>
  </w:style>
  <w:style w:type="paragraph" w:styleId="ListParagraph">
    <w:name w:val="List Paragraph"/>
    <w:basedOn w:val="Normal"/>
    <w:uiPriority w:val="34"/>
    <w:qFormat/>
    <w:rsid w:val="002B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B6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2B6E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6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E30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2B6E30"/>
  </w:style>
  <w:style w:type="character" w:customStyle="1" w:styleId="nlm-given-names">
    <w:name w:val="nlm-given-names"/>
    <w:basedOn w:val="DefaultParagraphFont"/>
    <w:rsid w:val="002B6E30"/>
  </w:style>
  <w:style w:type="character" w:customStyle="1" w:styleId="apple-converted-space">
    <w:name w:val="apple-converted-space"/>
    <w:basedOn w:val="DefaultParagraphFont"/>
    <w:rsid w:val="002B6E30"/>
  </w:style>
  <w:style w:type="character" w:customStyle="1" w:styleId="nlm-surname">
    <w:name w:val="nlm-surname"/>
    <w:basedOn w:val="DefaultParagraphFont"/>
    <w:rsid w:val="002B6E30"/>
  </w:style>
  <w:style w:type="character" w:customStyle="1" w:styleId="highwire-cite-title">
    <w:name w:val="highwire-cite-title"/>
    <w:basedOn w:val="DefaultParagraphFont"/>
    <w:rsid w:val="002B6E30"/>
  </w:style>
  <w:style w:type="character" w:customStyle="1" w:styleId="highwire-cite-metadata-journal">
    <w:name w:val="highwire-cite-metadata-journal"/>
    <w:basedOn w:val="DefaultParagraphFont"/>
    <w:rsid w:val="002B6E30"/>
  </w:style>
  <w:style w:type="character" w:customStyle="1" w:styleId="highwire-cite-metadata-date">
    <w:name w:val="highwire-cite-metadata-date"/>
    <w:basedOn w:val="DefaultParagraphFont"/>
    <w:rsid w:val="002B6E30"/>
  </w:style>
  <w:style w:type="character" w:customStyle="1" w:styleId="highwire-cite-metadata-volume">
    <w:name w:val="highwire-cite-metadata-volume"/>
    <w:basedOn w:val="DefaultParagraphFont"/>
    <w:rsid w:val="002B6E30"/>
  </w:style>
  <w:style w:type="character" w:customStyle="1" w:styleId="highwire-cite-metadata-issue">
    <w:name w:val="highwire-cite-metadata-issue"/>
    <w:basedOn w:val="DefaultParagraphFont"/>
    <w:rsid w:val="002B6E30"/>
  </w:style>
  <w:style w:type="character" w:customStyle="1" w:styleId="highwire-cite-metadata-pages">
    <w:name w:val="highwire-cite-metadata-pages"/>
    <w:basedOn w:val="DefaultParagraphFont"/>
    <w:rsid w:val="002B6E30"/>
  </w:style>
  <w:style w:type="character" w:customStyle="1" w:styleId="highwire-cite-metadata-doi">
    <w:name w:val="highwire-cite-metadata-doi"/>
    <w:basedOn w:val="DefaultParagraphFont"/>
    <w:rsid w:val="002B6E30"/>
  </w:style>
  <w:style w:type="character" w:customStyle="1" w:styleId="label">
    <w:name w:val="label"/>
    <w:basedOn w:val="DefaultParagraphFont"/>
    <w:rsid w:val="002B6E30"/>
  </w:style>
  <w:style w:type="character" w:styleId="FollowedHyperlink">
    <w:name w:val="FollowedHyperlink"/>
    <w:basedOn w:val="DefaultParagraphFont"/>
    <w:uiPriority w:val="99"/>
    <w:semiHidden/>
    <w:unhideWhenUsed/>
    <w:rsid w:val="002B6E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30"/>
  </w:style>
  <w:style w:type="paragraph" w:styleId="Footer">
    <w:name w:val="footer"/>
    <w:basedOn w:val="Normal"/>
    <w:link w:val="FooterChar"/>
    <w:uiPriority w:val="99"/>
    <w:unhideWhenUsed/>
    <w:rsid w:val="002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E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2B6E30"/>
  </w:style>
  <w:style w:type="paragraph" w:styleId="ListParagraph">
    <w:name w:val="List Paragraph"/>
    <w:basedOn w:val="Normal"/>
    <w:uiPriority w:val="34"/>
    <w:qFormat/>
    <w:rsid w:val="002B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B6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2B6E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6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E30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2B6E30"/>
  </w:style>
  <w:style w:type="character" w:customStyle="1" w:styleId="nlm-given-names">
    <w:name w:val="nlm-given-names"/>
    <w:basedOn w:val="DefaultParagraphFont"/>
    <w:rsid w:val="002B6E30"/>
  </w:style>
  <w:style w:type="character" w:customStyle="1" w:styleId="apple-converted-space">
    <w:name w:val="apple-converted-space"/>
    <w:basedOn w:val="DefaultParagraphFont"/>
    <w:rsid w:val="002B6E30"/>
  </w:style>
  <w:style w:type="character" w:customStyle="1" w:styleId="nlm-surname">
    <w:name w:val="nlm-surname"/>
    <w:basedOn w:val="DefaultParagraphFont"/>
    <w:rsid w:val="002B6E30"/>
  </w:style>
  <w:style w:type="character" w:customStyle="1" w:styleId="highwire-cite-title">
    <w:name w:val="highwire-cite-title"/>
    <w:basedOn w:val="DefaultParagraphFont"/>
    <w:rsid w:val="002B6E30"/>
  </w:style>
  <w:style w:type="character" w:customStyle="1" w:styleId="highwire-cite-metadata-journal">
    <w:name w:val="highwire-cite-metadata-journal"/>
    <w:basedOn w:val="DefaultParagraphFont"/>
    <w:rsid w:val="002B6E30"/>
  </w:style>
  <w:style w:type="character" w:customStyle="1" w:styleId="highwire-cite-metadata-date">
    <w:name w:val="highwire-cite-metadata-date"/>
    <w:basedOn w:val="DefaultParagraphFont"/>
    <w:rsid w:val="002B6E30"/>
  </w:style>
  <w:style w:type="character" w:customStyle="1" w:styleId="highwire-cite-metadata-volume">
    <w:name w:val="highwire-cite-metadata-volume"/>
    <w:basedOn w:val="DefaultParagraphFont"/>
    <w:rsid w:val="002B6E30"/>
  </w:style>
  <w:style w:type="character" w:customStyle="1" w:styleId="highwire-cite-metadata-issue">
    <w:name w:val="highwire-cite-metadata-issue"/>
    <w:basedOn w:val="DefaultParagraphFont"/>
    <w:rsid w:val="002B6E30"/>
  </w:style>
  <w:style w:type="character" w:customStyle="1" w:styleId="highwire-cite-metadata-pages">
    <w:name w:val="highwire-cite-metadata-pages"/>
    <w:basedOn w:val="DefaultParagraphFont"/>
    <w:rsid w:val="002B6E30"/>
  </w:style>
  <w:style w:type="character" w:customStyle="1" w:styleId="highwire-cite-metadata-doi">
    <w:name w:val="highwire-cite-metadata-doi"/>
    <w:basedOn w:val="DefaultParagraphFont"/>
    <w:rsid w:val="002B6E30"/>
  </w:style>
  <w:style w:type="character" w:customStyle="1" w:styleId="label">
    <w:name w:val="label"/>
    <w:basedOn w:val="DefaultParagraphFont"/>
    <w:rsid w:val="002B6E30"/>
  </w:style>
  <w:style w:type="character" w:styleId="FollowedHyperlink">
    <w:name w:val="FollowedHyperlink"/>
    <w:basedOn w:val="DefaultParagraphFont"/>
    <w:uiPriority w:val="99"/>
    <w:semiHidden/>
    <w:unhideWhenUsed/>
    <w:rsid w:val="002B6E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30"/>
  </w:style>
  <w:style w:type="paragraph" w:styleId="Footer">
    <w:name w:val="footer"/>
    <w:basedOn w:val="Normal"/>
    <w:link w:val="FooterChar"/>
    <w:uiPriority w:val="99"/>
    <w:unhideWhenUsed/>
    <w:rsid w:val="002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Lay-Flurrie</dc:creator>
  <cp:lastModifiedBy>Joseph Minus</cp:lastModifiedBy>
  <cp:revision>2</cp:revision>
  <dcterms:created xsi:type="dcterms:W3CDTF">2019-03-22T10:52:00Z</dcterms:created>
  <dcterms:modified xsi:type="dcterms:W3CDTF">2019-03-22T10:52:00Z</dcterms:modified>
</cp:coreProperties>
</file>