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9" w:rsidRDefault="002D0659">
      <w:r>
        <w:t>Additional file 3</w:t>
      </w:r>
    </w:p>
    <w:p w:rsidR="00B25795" w:rsidRDefault="00B25795">
      <w:r>
        <w:t xml:space="preserve">Table </w:t>
      </w:r>
      <w:r w:rsidR="002D0659">
        <w:t>S</w:t>
      </w:r>
      <w:r>
        <w:t>1 Exosome proteins enriched within the EV fraction of the whole ADSC secretome.</w:t>
      </w:r>
    </w:p>
    <w:tbl>
      <w:tblPr>
        <w:tblStyle w:val="LightShading"/>
        <w:tblW w:w="9242" w:type="dxa"/>
        <w:tblLook w:val="04A0" w:firstRow="1" w:lastRow="0" w:firstColumn="1" w:lastColumn="0" w:noHBand="0" w:noVBand="1"/>
      </w:tblPr>
      <w:tblGrid>
        <w:gridCol w:w="2310"/>
        <w:gridCol w:w="5039"/>
        <w:gridCol w:w="1893"/>
      </w:tblGrid>
      <w:tr w:rsidR="00B25795" w:rsidRPr="008A3631" w:rsidTr="00B25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25795" w:rsidRPr="008A3631" w:rsidRDefault="00B25795" w:rsidP="00D0349A">
            <w:pPr>
              <w:rPr>
                <w:b w:val="0"/>
              </w:rPr>
            </w:pPr>
            <w:r w:rsidRPr="008A3631">
              <w:t>Pathway</w:t>
            </w:r>
          </w:p>
        </w:tc>
        <w:tc>
          <w:tcPr>
            <w:tcW w:w="5039" w:type="dxa"/>
          </w:tcPr>
          <w:p w:rsidR="00B25795" w:rsidRPr="008A3631" w:rsidRDefault="00B25795" w:rsidP="00D0349A">
            <w:pPr>
              <w:cnfStyle w:val="100000000000" w:firstRow="1" w:lastRow="0" w:firstColumn="0" w:lastColumn="0" w:oddVBand="0" w:evenVBand="0" w:oddHBand="0" w:evenHBand="0" w:firstRowFirstColumn="0" w:firstRowLastColumn="0" w:lastRowFirstColumn="0" w:lastRowLastColumn="0"/>
              <w:rPr>
                <w:b w:val="0"/>
              </w:rPr>
            </w:pPr>
            <w:r w:rsidRPr="008A3631">
              <w:t>Protein</w:t>
            </w:r>
          </w:p>
        </w:tc>
        <w:tc>
          <w:tcPr>
            <w:tcW w:w="1893" w:type="dxa"/>
          </w:tcPr>
          <w:p w:rsidR="00B25795" w:rsidRPr="008A3631" w:rsidRDefault="00B25795" w:rsidP="00CD2D8A">
            <w:pPr>
              <w:cnfStyle w:val="100000000000" w:firstRow="1" w:lastRow="0" w:firstColumn="0" w:lastColumn="0" w:oddVBand="0" w:evenVBand="0" w:oddHBand="0" w:evenHBand="0" w:firstRowFirstColumn="0" w:firstRowLastColumn="0" w:lastRowFirstColumn="0" w:lastRowLastColumn="0"/>
              <w:rPr>
                <w:b w:val="0"/>
              </w:rPr>
            </w:pPr>
            <w:r w:rsidRPr="008A3631">
              <w:t>Reference</w:t>
            </w:r>
          </w:p>
        </w:tc>
      </w:tr>
      <w:tr w:rsidR="00B25795" w:rsidTr="00B2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25795" w:rsidRPr="008A3631" w:rsidRDefault="00B25795" w:rsidP="00D0349A">
            <w:proofErr w:type="spellStart"/>
            <w:r w:rsidRPr="008A3631">
              <w:t>Tetraspanins</w:t>
            </w:r>
            <w:proofErr w:type="spellEnd"/>
          </w:p>
        </w:tc>
        <w:tc>
          <w:tcPr>
            <w:tcW w:w="5039" w:type="dxa"/>
          </w:tcPr>
          <w:p w:rsidR="00B25795" w:rsidRDefault="00B25795" w:rsidP="00D0349A">
            <w:pPr>
              <w:cnfStyle w:val="000000100000" w:firstRow="0" w:lastRow="0" w:firstColumn="0" w:lastColumn="0" w:oddVBand="0" w:evenVBand="0" w:oddHBand="1" w:evenHBand="0" w:firstRowFirstColumn="0" w:firstRowLastColumn="0" w:lastRowFirstColumn="0" w:lastRowLastColumn="0"/>
              <w:rPr>
                <w:b/>
              </w:rPr>
            </w:pPr>
            <w:r w:rsidRPr="008A3631">
              <w:t>CD63</w:t>
            </w:r>
          </w:p>
        </w:tc>
        <w:tc>
          <w:tcPr>
            <w:tcW w:w="1893" w:type="dxa"/>
          </w:tcPr>
          <w:p w:rsidR="00B25795" w:rsidRPr="008A3631" w:rsidRDefault="00B25795" w:rsidP="00CD2D8A">
            <w:pPr>
              <w:cnfStyle w:val="000000100000" w:firstRow="0" w:lastRow="0" w:firstColumn="0" w:lastColumn="0" w:oddVBand="0" w:evenVBand="0" w:oddHBand="1" w:evenHBand="0" w:firstRowFirstColumn="0" w:firstRowLastColumn="0" w:lastRowFirstColumn="0" w:lastRowLastColumn="0"/>
            </w:pPr>
            <w:r>
              <w:fldChar w:fldCharType="begin" w:fldLock="1"/>
            </w:r>
            <w:r>
              <w:instrText>ADDIN CSL_CITATION { "citationItems" : [ { "id" : "ITEM-1", "itemData" : { "DOI" : "10.3389/fncel.2016.00109", "ISBN" : "1662-5102 (Electronic)\\r1662-5102 (Linking)", "ISSN" : "1662-5102", "PMID" : "27199663", "abstract" : "Extracellular vesicles (EVs) are membrane-surrounded structures released by most cell types. They are characterized by a specific set of proteins, lipids and nucleic acids. EVs have been recognized as potent vehicles of intercellular communication to transmit biological signals between cells. In addition, pathophysiological roles of EVs in conditions like cancer, infectious diseases and neurodegenerative disorders are well established. In recent years focus has been shifted on therapeutic use of stem cell derived-EVs. Use of stem cell derived-EVs present distinct advantage over the whole stem cells as EVs do not replicate and after intravenous administration, they are less likely to trap inside the lungs. From the therapeutic perspective, the most promising cellular sources of EVs are mesenchymal stem cells (MSCs), which are easy to obtain and maintain. Therapeutic activity of MSCs has been shown in numerous animal models and the beneficial paracrine effect of MSCs may be mediated by EVs. The various components of MSC derived-EVs such as proteins, lipids and RNA might play a specific therapeutic role. In this review, we characterize the role of EVs in immune and central nervous system (CNS); present evidences for defective signalling of these vesicles in neurodegeneration and therapeutic role of EVs in CNS.", "author" : [ { "dropping-particle" : "", "family" : "Koniusz", "given" : "Sylwia", "non-dropping-particle" : "", "parse-names" : false, "suffix" : "" }, { "dropping-particle" : "", "family" : "Andrzejewska", "given" : "Anna", "non-dropping-particle" : "", "parse-names" : false, "suffix" : "" }, { "dropping-particle" : "", "family" : "Muraca", "given" : "Maurizio", "non-dropping-particle" : "", "parse-names" : false, "suffix" : "" }, { "dropping-particle" : "", "family" : "Srivastava", "given" : "Amit K.", "non-dropping-particle" : "", "parse-names" : false, "suffix" : "" }, { "dropping-particle" : "", "family" : "Janowski", "given" : "Miroslaw", "non-dropping-particle" : "", "parse-names" : false, "suffix" : "" }, { "dropping-particle" : "", "family" : "Lukomska", "given" : "Barbara", "non-dropping-particle" : "", "parse-names" : false, "suffix" : "" } ], "container-title" : "Frontiers in Cellular Neuroscience", "id" : "ITEM-1", "issued" : { "date-parts" : [ [ "2016" ] ] }, "title" : "Extracellular Vesicles in Physiology, Pathology, and Therapy of the Immune and Central Nervous System, with Focus on Extracellular Vesicles Derived from Mesenchymal Stem Cells as Therapeutic Tools", "type" : "article-journal", "volume" : "10" }, "uris" : [ "http://www.mendeley.com/documents/?uuid=0707c281-f9e2-410f-8781-ee54420ebc2f" ] }, { "id" : "ITEM-2", "itemData" : { "DOI" : "10.1155/2017/6305295", "ISBN" : "1687-966X (Print)", "ISSN" : "16879678", "PMID" : "29410682", "abstract" : "&lt;p&gt;Mesenchymal stem cells have been at the forefront of regenerative medicine for many years. Exosomes, which are nanovesicles involved in intercellular communication and the transportation of genetic material transportation that can be released by mesenchymal stem cells, have been recently reported to play a role in cell-free therapy of many diseases, including myocardial infarction, drug addiction, and status epilepticus. They are also thought to help ameliorate inflammation-induced preterm brain injury, liver injury, and various types of cancer. This review highlights recent advances in the exploration of mesenchymal stem cell-derived exosomes in therapeutic applications. The natural contents, drug delivery potency, modification methods, and drug loading methods of exosomes are also discussed.&lt;/p&gt;", "author" : [ { "dropping-particle" : "", "family" : "Cheng", "given" : "Lin", "non-dropping-particle" : "", "parse-names" : false, "suffix" : "" }, { "dropping-particle" : "", "family" : "Zhang", "given" : "Kun", "non-dropping-particle" : "", "parse-names" : false, "suffix" : "" }, { "dropping-particle" : "", "family" : "Wu", "given" : "Shuying", "non-dropping-particle" : "", "parse-names" : false, "suffix" : "" }, { "dropping-particle" : "", "family" : "Cui", "given" : "Manhua", "non-dropping-particle" : "", "parse-names" : false, "suffix" : "" }, { "dropping-particle" : "", "family" : "Xu", "given" : "Tianmin", "non-dropping-particle" : "", "parse-names" : false, "suffix" : "" } ], "container-title" : "Stem Cells International", "id" : "ITEM-2", "issued" : { "date-parts" : [ [ "2017" ] ] }, "title" : "Focus on mesenchymal stem cell-derived exosomes: Opportunities and challenges in cell-free therapy", "type" : "article", "volume" : "2017" }, "uris" : [ "http://www.mendeley.com/documents/?uuid=676726f4-a77b-47a6-8dc2-9e0fa7bd5e11" ] } ], "mendeley" : { "formattedCitation" : "(Cheng, Zhang, Wu, Cui, &amp; Xu, 2017; Koniusz et al., 2016)", "plainTextFormattedCitation" : "(Cheng, Zhang, Wu, Cui, &amp; Xu, 2017; Koniusz et al., 2016)", "previouslyFormattedCitation" : "(Koniusz et al. 2016; Cheng et al. 2017)" }, "properties" : { "noteIndex" : 0 }, "schema" : "https://github.com/citation-style-language/schema/raw/master/csl-citation.json" }</w:instrText>
            </w:r>
            <w:r>
              <w:fldChar w:fldCharType="separate"/>
            </w:r>
            <w:r w:rsidRPr="00B25795">
              <w:rPr>
                <w:noProof/>
              </w:rPr>
              <w:t>(Cheng, Zhang, Wu, Cui, &amp; Xu, 2017; Koniusz et al., 2016)</w:t>
            </w:r>
            <w:r>
              <w:fldChar w:fldCharType="end"/>
            </w:r>
          </w:p>
        </w:tc>
      </w:tr>
      <w:tr w:rsidR="00B25795" w:rsidTr="00B25795">
        <w:tc>
          <w:tcPr>
            <w:cnfStyle w:val="001000000000" w:firstRow="0" w:lastRow="0" w:firstColumn="1" w:lastColumn="0" w:oddVBand="0" w:evenVBand="0" w:oddHBand="0" w:evenHBand="0" w:firstRowFirstColumn="0" w:firstRowLastColumn="0" w:lastRowFirstColumn="0" w:lastRowLastColumn="0"/>
            <w:tcW w:w="2310" w:type="dxa"/>
          </w:tcPr>
          <w:p w:rsidR="00B25795" w:rsidRPr="008A3631" w:rsidRDefault="00B25795" w:rsidP="00D0349A">
            <w:r w:rsidRPr="008A3631">
              <w:t xml:space="preserve">Heat shock proteins: </w:t>
            </w:r>
          </w:p>
        </w:tc>
        <w:tc>
          <w:tcPr>
            <w:tcW w:w="5039" w:type="dxa"/>
          </w:tcPr>
          <w:p w:rsidR="00B25795" w:rsidRPr="008A3631" w:rsidRDefault="00B25795" w:rsidP="00D0349A">
            <w:pPr>
              <w:cnfStyle w:val="000000000000" w:firstRow="0" w:lastRow="0" w:firstColumn="0" w:lastColumn="0" w:oddVBand="0" w:evenVBand="0" w:oddHBand="0" w:evenHBand="0" w:firstRowFirstColumn="0" w:firstRowLastColumn="0" w:lastRowFirstColumn="0" w:lastRowLastColumn="0"/>
            </w:pPr>
            <w:r w:rsidRPr="008A3631">
              <w:t xml:space="preserve">HSP 70, </w:t>
            </w:r>
          </w:p>
          <w:p w:rsidR="00B25795" w:rsidRPr="008A3631" w:rsidRDefault="00B25795" w:rsidP="00D0349A">
            <w:pPr>
              <w:cnfStyle w:val="000000000000" w:firstRow="0" w:lastRow="0" w:firstColumn="0" w:lastColumn="0" w:oddVBand="0" w:evenVBand="0" w:oddHBand="0" w:evenHBand="0" w:firstRowFirstColumn="0" w:firstRowLastColumn="0" w:lastRowFirstColumn="0" w:lastRowLastColumn="0"/>
            </w:pPr>
            <w:r w:rsidRPr="008A3631">
              <w:t xml:space="preserve">HSP 90, </w:t>
            </w:r>
          </w:p>
          <w:p w:rsidR="00B25795" w:rsidRPr="008A3631" w:rsidRDefault="00B25795" w:rsidP="00D0349A">
            <w:pPr>
              <w:cnfStyle w:val="000000000000" w:firstRow="0" w:lastRow="0" w:firstColumn="0" w:lastColumn="0" w:oddVBand="0" w:evenVBand="0" w:oddHBand="0" w:evenHBand="0" w:firstRowFirstColumn="0" w:firstRowLastColumn="0" w:lastRowFirstColumn="0" w:lastRowLastColumn="0"/>
            </w:pPr>
            <w:r w:rsidRPr="008A3631">
              <w:t xml:space="preserve">HSP 105, </w:t>
            </w:r>
          </w:p>
          <w:p w:rsidR="00B25795" w:rsidRDefault="00B25795" w:rsidP="00D0349A">
            <w:pPr>
              <w:cnfStyle w:val="000000000000" w:firstRow="0" w:lastRow="0" w:firstColumn="0" w:lastColumn="0" w:oddVBand="0" w:evenVBand="0" w:oddHBand="0" w:evenHBand="0" w:firstRowFirstColumn="0" w:firstRowLastColumn="0" w:lastRowFirstColumn="0" w:lastRowLastColumn="0"/>
              <w:rPr>
                <w:b/>
              </w:rPr>
            </w:pPr>
            <w:r w:rsidRPr="008A3631">
              <w:t>beta 1,</w:t>
            </w:r>
          </w:p>
        </w:tc>
        <w:tc>
          <w:tcPr>
            <w:tcW w:w="1893" w:type="dxa"/>
          </w:tcPr>
          <w:p w:rsidR="00B25795" w:rsidRPr="008A3631" w:rsidRDefault="00B25795" w:rsidP="00CD2D8A">
            <w:pPr>
              <w:cnfStyle w:val="000000000000" w:firstRow="0" w:lastRow="0" w:firstColumn="0" w:lastColumn="0" w:oddVBand="0" w:evenVBand="0" w:oddHBand="0" w:evenHBand="0" w:firstRowFirstColumn="0" w:firstRowLastColumn="0" w:lastRowFirstColumn="0" w:lastRowLastColumn="0"/>
            </w:pPr>
            <w:r>
              <w:fldChar w:fldCharType="begin" w:fldLock="1"/>
            </w:r>
            <w:r>
              <w:instrText>ADDIN CSL_CITATION { "citationItems" : [ { "id" : "ITEM-1", "itemData" : { "DOI" : "10.3389/fncel.2016.00109", "ISBN" : "1662-5102 (Electronic)\\r1662-5102 (Linking)", "ISSN" : "1662-5102", "PMID" : "27199663", "abstract" : "Extracellular vesicles (EVs) are membrane-surrounded structures released by most cell types. They are characterized by a specific set of proteins, lipids and nucleic acids. EVs have been recognized as potent vehicles of intercellular communication to transmit biological signals between cells. In addition, pathophysiological roles of EVs in conditions like cancer, infectious diseases and neurodegenerative disorders are well established. In recent years focus has been shifted on therapeutic use of stem cell derived-EVs. Use of stem cell derived-EVs present distinct advantage over the whole stem cells as EVs do not replicate and after intravenous administration, they are less likely to trap inside the lungs. From the therapeutic perspective, the most promising cellular sources of EVs are mesenchymal stem cells (MSCs), which are easy to obtain and maintain. Therapeutic activity of MSCs has been shown in numerous animal models and the beneficial paracrine effect of MSCs may be mediated by EVs. The various components of MSC derived-EVs such as proteins, lipids and RNA might play a specific therapeutic role. In this review, we characterize the role of EVs in immune and central nervous system (CNS); present evidences for defective signalling of these vesicles in neurodegeneration and therapeutic role of EVs in CNS.", "author" : [ { "dropping-particle" : "", "family" : "Koniusz", "given" : "Sylwia", "non-dropping-particle" : "", "parse-names" : false, "suffix" : "" }, { "dropping-particle" : "", "family" : "Andrzejewska", "given" : "Anna", "non-dropping-particle" : "", "parse-names" : false, "suffix" : "" }, { "dropping-particle" : "", "family" : "Muraca", "given" : "Maurizio", "non-dropping-particle" : "", "parse-names" : false, "suffix" : "" }, { "dropping-particle" : "", "family" : "Srivastava", "given" : "Amit K.", "non-dropping-particle" : "", "parse-names" : false, "suffix" : "" }, { "dropping-particle" : "", "family" : "Janowski", "given" : "Miroslaw", "non-dropping-particle" : "", "parse-names" : false, "suffix" : "" }, { "dropping-particle" : "", "family" : "Lukomska", "given" : "Barbara", "non-dropping-particle" : "", "parse-names" : false, "suffix" : "" } ], "container-title" : "Frontiers in Cellular Neuroscience", "id" : "ITEM-1", "issued" : { "date-parts" : [ [ "2016" ] ] }, "title" : "Extracellular Vesicles in Physiology, Pathology, and Therapy of the Immune and Central Nervous System, with Focus on Extracellular Vesicles Derived from Mesenchymal Stem Cells as Therapeutic Tools", "type" : "article-journal", "volume" : "10" }, "uris" : [ "http://www.mendeley.com/documents/?uuid=0707c281-f9e2-410f-8781-ee54420ebc2f" ] }, { "id" : "ITEM-2", "itemData" : { "DOI" : "10.1155/2017/6305295", "ISBN" : "1687-966X (Print)", "ISSN" : "16879678", "PMID" : "29410682", "abstract" : "&lt;p&gt;Mesenchymal stem cells have been at the forefront of regenerative medicine for many years. Exosomes, which are nanovesicles involved in intercellular communication and the transportation of genetic material transportation that can be released by mesenchymal stem cells, have been recently reported to play a role in cell-free therapy of many diseases, including myocardial infarction, drug addiction, and status epilepticus. They are also thought to help ameliorate inflammation-induced preterm brain injury, liver injury, and various types of cancer. This review highlights recent advances in the exploration of mesenchymal stem cell-derived exosomes in therapeutic applications. The natural contents, drug delivery potency, modification methods, and drug loading methods of exosomes are also discussed.&lt;/p&gt;", "author" : [ { "dropping-particle" : "", "family" : "Cheng", "given" : "Lin", "non-dropping-particle" : "", "parse-names" : false, "suffix" : "" }, { "dropping-particle" : "", "family" : "Zhang", "given" : "Kun", "non-dropping-particle" : "", "parse-names" : false, "suffix" : "" }, { "dropping-particle" : "", "family" : "Wu", "given" : "Shuying", "non-dropping-particle" : "", "parse-names" : false, "suffix" : "" }, { "dropping-particle" : "", "family" : "Cui", "given" : "Manhua", "non-dropping-particle" : "", "parse-names" : false, "suffix" : "" }, { "dropping-particle" : "", "family" : "Xu", "given" : "Tianmin", "non-dropping-particle" : "", "parse-names" : false, "suffix" : "" } ], "container-title" : "Stem Cells International", "id" : "ITEM-2", "issued" : { "date-parts" : [ [ "2017" ] ] }, "title" : "Focus on mesenchymal stem cell-derived exosomes: Opportunities and challenges in cell-free therapy", "type" : "article", "volume" : "2017" }, "uris" : [ "http://www.mendeley.com/documents/?uuid=676726f4-a77b-47a6-8dc2-9e0fa7bd5e11" ] } ], "mendeley" : { "formattedCitation" : "(Cheng et al., 2017; Koniusz et al., 2016)", "plainTextFormattedCitation" : "(Cheng et al., 2017; Koniusz et al., 2016)", "previouslyFormattedCitation" : "(Koniusz et al. 2016; Cheng et al. 2017)" }, "properties" : { "noteIndex" : 0 }, "schema" : "https://github.com/citation-style-language/schema/raw/master/csl-citation.json" }</w:instrText>
            </w:r>
            <w:r>
              <w:fldChar w:fldCharType="separate"/>
            </w:r>
            <w:r w:rsidRPr="00B25795">
              <w:rPr>
                <w:noProof/>
              </w:rPr>
              <w:t>(Cheng et al., 2017; Koniusz et al., 2016)</w:t>
            </w:r>
            <w:r>
              <w:fldChar w:fldCharType="end"/>
            </w:r>
          </w:p>
        </w:tc>
      </w:tr>
      <w:tr w:rsidR="00B25795" w:rsidTr="00B2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25795" w:rsidRPr="008A3631" w:rsidRDefault="00B25795" w:rsidP="00D0349A">
            <w:r w:rsidRPr="008A3631">
              <w:t xml:space="preserve">Lysosomal proteins: </w:t>
            </w:r>
          </w:p>
        </w:tc>
        <w:tc>
          <w:tcPr>
            <w:tcW w:w="5039" w:type="dxa"/>
          </w:tcPr>
          <w:p w:rsidR="00B25795" w:rsidRDefault="00B25795" w:rsidP="00D0349A">
            <w:pPr>
              <w:cnfStyle w:val="000000100000" w:firstRow="0" w:lastRow="0" w:firstColumn="0" w:lastColumn="0" w:oddVBand="0" w:evenVBand="0" w:oddHBand="1" w:evenHBand="0" w:firstRowFirstColumn="0" w:firstRowLastColumn="0" w:lastRowFirstColumn="0" w:lastRowLastColumn="0"/>
              <w:rPr>
                <w:b/>
              </w:rPr>
            </w:pPr>
            <w:r w:rsidRPr="008A3631">
              <w:t>LAMP2</w:t>
            </w:r>
          </w:p>
        </w:tc>
        <w:tc>
          <w:tcPr>
            <w:tcW w:w="1893" w:type="dxa"/>
          </w:tcPr>
          <w:p w:rsidR="00B25795" w:rsidRPr="008A3631" w:rsidRDefault="00B25795" w:rsidP="00CD2D8A">
            <w:pPr>
              <w:cnfStyle w:val="000000100000" w:firstRow="0" w:lastRow="0" w:firstColumn="0" w:lastColumn="0" w:oddVBand="0" w:evenVBand="0" w:oddHBand="1" w:evenHBand="0" w:firstRowFirstColumn="0" w:firstRowLastColumn="0" w:lastRowFirstColumn="0" w:lastRowLastColumn="0"/>
            </w:pPr>
            <w:r>
              <w:fldChar w:fldCharType="begin" w:fldLock="1"/>
            </w:r>
            <w:r>
              <w:instrText>ADDIN CSL_CITATION { "citationItems" : [ { "id" : "ITEM-1", "itemData" : { "DOI" : "10.3389/fncel.2016.00109", "ISBN" : "1662-5102 (Electronic)\\r1662-5102 (Linking)", "ISSN" : "1662-5102", "PMID" : "27199663", "abstract" : "Extracellular vesicles (EVs) are membrane-surrounded structures released by most cell types. They are characterized by a specific set of proteins, lipids and nucleic acids. EVs have been recognized as potent vehicles of intercellular communication to transmit biological signals between cells. In addition, pathophysiological roles of EVs in conditions like cancer, infectious diseases and neurodegenerative disorders are well established. In recent years focus has been shifted on therapeutic use of stem cell derived-EVs. Use of stem cell derived-EVs present distinct advantage over the whole stem cells as EVs do not replicate and after intravenous administration, they are less likely to trap inside the lungs. From the therapeutic perspective, the most promising cellular sources of EVs are mesenchymal stem cells (MSCs), which are easy to obtain and maintain. Therapeutic activity of MSCs has been shown in numerous animal models and the beneficial paracrine effect of MSCs may be mediated by EVs. The various components of MSC derived-EVs such as proteins, lipids and RNA might play a specific therapeutic role. In this review, we characterize the role of EVs in immune and central nervous system (CNS); present evidences for defective signalling of these vesicles in neurodegeneration and therapeutic role of EVs in CNS.", "author" : [ { "dropping-particle" : "", "family" : "Koniusz", "given" : "Sylwia", "non-dropping-particle" : "", "parse-names" : false, "suffix" : "" }, { "dropping-particle" : "", "family" : "Andrzejewska", "given" : "Anna", "non-dropping-particle" : "", "parse-names" : false, "suffix" : "" }, { "dropping-particle" : "", "family" : "Muraca", "given" : "Maurizio", "non-dropping-particle" : "", "parse-names" : false, "suffix" : "" }, { "dropping-particle" : "", "family" : "Srivastava", "given" : "Amit K.", "non-dropping-particle" : "", "parse-names" : false, "suffix" : "" }, { "dropping-particle" : "", "family" : "Janowski", "given" : "Miroslaw", "non-dropping-particle" : "", "parse-names" : false, "suffix" : "" }, { "dropping-particle" : "", "family" : "Lukomska", "given" : "Barbara", "non-dropping-particle" : "", "parse-names" : false, "suffix" : "" } ], "container-title" : "Frontiers in Cellular Neuroscience", "id" : "ITEM-1", "issued" : { "date-parts" : [ [ "2016" ] ] }, "title" : "Extracellular Vesicles in Physiology, Pathology, and Therapy of the Immune and Central Nervous System, with Focus on Extracellular Vesicles Derived from Mesenchymal Stem Cells as Therapeutic Tools", "type" : "article-journal", "volume" : "10" }, "uris" : [ "http://www.mendeley.com/documents/?uuid=0707c281-f9e2-410f-8781-ee54420ebc2f" ] }, { "id" : "ITEM-2", "itemData" : { "DOI" : "10.1155/2017/6305295", "ISBN" : "1687-966X (Print)", "ISSN" : "16879678", "PMID" : "29410682", "abstract" : "&lt;p&gt;Mesenchymal stem cells have been at the forefront of regenerative medicine for many years. Exosomes, which are nanovesicles involved in intercellular communication and the transportation of genetic material transportation that can be released by mesenchymal stem cells, have been recently reported to play a role in cell-free therapy of many diseases, including myocardial infarction, drug addiction, and status epilepticus. They are also thought to help ameliorate inflammation-induced preterm brain injury, liver injury, and various types of cancer. This review highlights recent advances in the exploration of mesenchymal stem cell-derived exosomes in therapeutic applications. The natural contents, drug delivery potency, modification methods, and drug loading methods of exosomes are also discussed.&lt;/p&gt;", "author" : [ { "dropping-particle" : "", "family" : "Cheng", "given" : "Lin", "non-dropping-particle" : "", "parse-names" : false, "suffix" : "" }, { "dropping-particle" : "", "family" : "Zhang", "given" : "Kun", "non-dropping-particle" : "", "parse-names" : false, "suffix" : "" }, { "dropping-particle" : "", "family" : "Wu", "given" : "Shuying", "non-dropping-particle" : "", "parse-names" : false, "suffix" : "" }, { "dropping-particle" : "", "family" : "Cui", "given" : "Manhua", "non-dropping-particle" : "", "parse-names" : false, "suffix" : "" }, { "dropping-particle" : "", "family" : "Xu", "given" : "Tianmin", "non-dropping-particle" : "", "parse-names" : false, "suffix" : "" } ], "container-title" : "Stem Cells International", "id" : "ITEM-2", "issued" : { "date-parts" : [ [ "2017" ] ] }, "title" : "Focus on mesenchymal stem cell-derived exosomes: Opportunities and challenges in cell-free therapy", "type" : "article", "volume" : "2017" }, "uris" : [ "http://www.mendeley.com/documents/?uuid=676726f4-a77b-47a6-8dc2-9e0fa7bd5e11" ] } ], "mendeley" : { "formattedCitation" : "(Cheng et al., 2017; Koniusz et al., 2016)", "plainTextFormattedCitation" : "(Cheng et al., 2017; Koniusz et al., 2016)", "previouslyFormattedCitation" : "(Koniusz et al. 2016; Cheng et al. 2017)" }, "properties" : { "noteIndex" : 0 }, "schema" : "https://github.com/citation-style-language/schema/raw/master/csl-citation.json" }</w:instrText>
            </w:r>
            <w:r>
              <w:fldChar w:fldCharType="separate"/>
            </w:r>
            <w:r w:rsidRPr="00B25795">
              <w:rPr>
                <w:noProof/>
              </w:rPr>
              <w:t>(Cheng et al., 2017; Koniusz et al., 2016)</w:t>
            </w:r>
            <w:r>
              <w:fldChar w:fldCharType="end"/>
            </w:r>
          </w:p>
        </w:tc>
      </w:tr>
      <w:tr w:rsidR="00B25795" w:rsidTr="00B25795">
        <w:tc>
          <w:tcPr>
            <w:cnfStyle w:val="001000000000" w:firstRow="0" w:lastRow="0" w:firstColumn="1" w:lastColumn="0" w:oddVBand="0" w:evenVBand="0" w:oddHBand="0" w:evenHBand="0" w:firstRowFirstColumn="0" w:firstRowLastColumn="0" w:lastRowFirstColumn="0" w:lastRowLastColumn="0"/>
            <w:tcW w:w="2310" w:type="dxa"/>
          </w:tcPr>
          <w:p w:rsidR="00B25795" w:rsidRPr="008A3631" w:rsidRDefault="00B25795" w:rsidP="00D0349A">
            <w:r w:rsidRPr="008A3631">
              <w:t>Fusion proteins:</w:t>
            </w:r>
          </w:p>
        </w:tc>
        <w:tc>
          <w:tcPr>
            <w:tcW w:w="5039" w:type="dxa"/>
          </w:tcPr>
          <w:p w:rsidR="00B25795" w:rsidRDefault="00B25795" w:rsidP="00D0349A">
            <w:pPr>
              <w:cnfStyle w:val="000000000000" w:firstRow="0" w:lastRow="0" w:firstColumn="0" w:lastColumn="0" w:oddVBand="0" w:evenVBand="0" w:oddHBand="0" w:evenHBand="0" w:firstRowFirstColumn="0" w:firstRowLastColumn="0" w:lastRowFirstColumn="0" w:lastRowLastColumn="0"/>
              <w:rPr>
                <w:b/>
              </w:rPr>
            </w:pPr>
            <w:proofErr w:type="spellStart"/>
            <w:r w:rsidRPr="008A3631">
              <w:t>Annexin</w:t>
            </w:r>
            <w:proofErr w:type="spellEnd"/>
          </w:p>
        </w:tc>
        <w:tc>
          <w:tcPr>
            <w:tcW w:w="1893" w:type="dxa"/>
          </w:tcPr>
          <w:p w:rsidR="00B25795" w:rsidRPr="008A3631" w:rsidRDefault="00B25795" w:rsidP="00CD2D8A">
            <w:pPr>
              <w:cnfStyle w:val="000000000000" w:firstRow="0" w:lastRow="0" w:firstColumn="0" w:lastColumn="0" w:oddVBand="0" w:evenVBand="0" w:oddHBand="0" w:evenHBand="0" w:firstRowFirstColumn="0" w:firstRowLastColumn="0" w:lastRowFirstColumn="0" w:lastRowLastColumn="0"/>
            </w:pPr>
            <w:r>
              <w:fldChar w:fldCharType="begin" w:fldLock="1"/>
            </w:r>
            <w:r>
              <w:instrText>ADDIN CSL_CITATION { "citationItems" : [ { "id" : "ITEM-1", "itemData" : { "DOI" : "10.1155/2017/6305295", "ISBN" : "1687-966X (Print)", "ISSN" : "16879678", "PMID" : "29410682", "abstract" : "&lt;p&gt;Mesenchymal stem cells have been at the forefront of regenerative medicine for many years. Exosomes, which are nanovesicles involved in intercellular communication and the transportation of genetic material transportation that can be released by mesenchymal stem cells, have been recently reported to play a role in cell-free therapy of many diseases, including myocardial infarction, drug addiction, and status epilepticus. They are also thought to help ameliorate inflammation-induced preterm brain injury, liver injury, and various types of cancer. This review highlights recent advances in the exploration of mesenchymal stem cell-derived exosomes in therapeutic applications. The natural contents, drug delivery potency, modification methods, and drug loading methods of exosomes are also discussed.&lt;/p&gt;", "author" : [ { "dropping-particle" : "", "family" : "Cheng", "given" : "Lin", "non-dropping-particle" : "", "parse-names" : false, "suffix" : "" }, { "dropping-particle" : "", "family" : "Zhang", "given" : "Kun", "non-dropping-particle" : "", "parse-names" : false, "suffix" : "" }, { "dropping-particle" : "", "family" : "Wu", "given" : "Shuying", "non-dropping-particle" : "", "parse-names" : false, "suffix" : "" }, { "dropping-particle" : "", "family" : "Cui", "given" : "Manhua", "non-dropping-particle" : "", "parse-names" : false, "suffix" : "" }, { "dropping-particle" : "", "family" : "Xu", "given" : "Tianmin", "non-dropping-particle" : "", "parse-names" : false, "suffix" : "" } ], "container-title" : "Stem Cells International", "id" : "ITEM-1", "issued" : { "date-parts" : [ [ "2017" ] ] }, "title" : "Focus on mesenchymal stem cell-derived exosomes: Opportunities and challenges in cell-free therapy", "type" : "article", "volume" : "2017" }, "uris" : [ "http://www.mendeley.com/documents/?uuid=676726f4-a77b-47a6-8dc2-9e0fa7bd5e11" ] } ], "mendeley" : { "formattedCitation" : "(Cheng et al., 2017)", "plainTextFormattedCitation" : "(Cheng et al., 2017)", "previouslyFormattedCitation" : "(Cheng et al. 2017)" }, "properties" : { "noteIndex" : 0 }, "schema" : "https://github.com/citation-style-language/schema/raw/master/csl-citation.json" }</w:instrText>
            </w:r>
            <w:r>
              <w:fldChar w:fldCharType="separate"/>
            </w:r>
            <w:r w:rsidRPr="00B25795">
              <w:rPr>
                <w:noProof/>
              </w:rPr>
              <w:t>(Cheng et al., 2017)</w:t>
            </w:r>
            <w:r>
              <w:fldChar w:fldCharType="end"/>
            </w:r>
          </w:p>
        </w:tc>
      </w:tr>
      <w:tr w:rsidR="00B25795" w:rsidTr="00B2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25795" w:rsidRPr="008A3631" w:rsidRDefault="00B25795" w:rsidP="00D0349A">
            <w:proofErr w:type="spellStart"/>
            <w:r w:rsidRPr="008A3631">
              <w:t>GTPases</w:t>
            </w:r>
            <w:proofErr w:type="spellEnd"/>
          </w:p>
        </w:tc>
        <w:tc>
          <w:tcPr>
            <w:tcW w:w="5039" w:type="dxa"/>
          </w:tcPr>
          <w:p w:rsidR="00B25795" w:rsidRPr="008A3631" w:rsidRDefault="00B25795" w:rsidP="00D0349A">
            <w:pPr>
              <w:cnfStyle w:val="000000100000" w:firstRow="0" w:lastRow="0" w:firstColumn="0" w:lastColumn="0" w:oddVBand="0" w:evenVBand="0" w:oddHBand="1" w:evenHBand="0" w:firstRowFirstColumn="0" w:firstRowLastColumn="0" w:lastRowFirstColumn="0" w:lastRowLastColumn="0"/>
            </w:pPr>
            <w:r w:rsidRPr="008A3631">
              <w:t xml:space="preserve">Elongation factor 1-alpha 1: EEF1A1, </w:t>
            </w:r>
          </w:p>
          <w:p w:rsidR="00B25795" w:rsidRDefault="00B25795" w:rsidP="00D0349A">
            <w:pPr>
              <w:cnfStyle w:val="000000100000" w:firstRow="0" w:lastRow="0" w:firstColumn="0" w:lastColumn="0" w:oddVBand="0" w:evenVBand="0" w:oddHBand="1" w:evenHBand="0" w:firstRowFirstColumn="0" w:firstRowLastColumn="0" w:lastRowFirstColumn="0" w:lastRowLastColumn="0"/>
              <w:rPr>
                <w:b/>
              </w:rPr>
            </w:pPr>
            <w:r w:rsidRPr="008A3631">
              <w:t>Eukaryotic Translocation Elongation Factor 2: EEF2</w:t>
            </w:r>
          </w:p>
        </w:tc>
        <w:tc>
          <w:tcPr>
            <w:tcW w:w="1893" w:type="dxa"/>
          </w:tcPr>
          <w:p w:rsidR="00B25795" w:rsidRPr="003A6851" w:rsidRDefault="00B25795" w:rsidP="00CD2D8A">
            <w:pPr>
              <w:cnfStyle w:val="000000100000" w:firstRow="0" w:lastRow="0" w:firstColumn="0" w:lastColumn="0" w:oddVBand="0" w:evenVBand="0" w:oddHBand="1" w:evenHBand="0" w:firstRowFirstColumn="0" w:firstRowLastColumn="0" w:lastRowFirstColumn="0" w:lastRowLastColumn="0"/>
            </w:pPr>
            <w:r>
              <w:fldChar w:fldCharType="begin" w:fldLock="1"/>
            </w:r>
            <w:r>
              <w:instrText>ADDIN CSL_CITATION { "citationItems" : [ { "id" : "ITEM-1", "itemData" : { "DOI" : "10.15171/apb.2016.041", "ISBN" : "2228-5881 (Print)\\r2228-5881", "ISSN" : "22517308", "PMID" : "27766213", "abstract" : "Mesenchymal stromal/stem cells (MSCs) are involved in tissue homeostasis through direct cell-to-cell interaction, as well as secretion of soluble factors. Exosomes are the sort of soluble biological mediators that obtained from MSCs cultured media in vitro. MSC-derived exosomes (MSC-DEs) which produced under physiological or pathological conditions are central mediators of intercellular communications by conveying proteins, lipids, mRNAs, siRNA, ribosomal RNAs and miRNAs to the neighbor or distant cells. MSC-DEs have been tested in various disease models, and the results have revealed that their functions are similar to those of MSCs. They have the supportive functions in organisms such as repairing tissue damages, suppressing inflammatory responses, and modulating the immune system. MSC-DEs are of great interest in the scope of regenerative medicine because of their unique capacity to the regeneration of the damaged tissues, and the present paper aims to introduce MSC-DEs as a novel hope in cell-free therapy.", "author" : [ { "dropping-particle" : "", "family" : "Sarvar", "given" : "Davod Pashoutan", "non-dropping-particle" : "", "parse-names" : false, "suffix" : "" }, { "dropping-particle" : "", "family" : "Shamsasenjan", "given" : "Karim", "non-dropping-particle" : "", "parse-names" : false, "suffix" : "" }, { "dropping-particle" : "", "family" : "Akbarzadehlaleh", "given" : "Parvin", "non-dropping-particle" : "", "parse-names" : false, "suffix" : "" } ], "container-title" : "Advanced Pharmaceutical Bulletin", "id" : "ITEM-1", "issue" : "3", "issued" : { "date-parts" : [ [ "2016" ] ] }, "page" : "293-299", "title" : "Mesenchymal stem cell-derived exosomes: New opportunity in cell-free therapy", "type" : "article-magazine", "volume" : "6" }, "uris" : [ "http://www.mendeley.com/documents/?uuid=ce3c8b41-7695-47b9-9868-87d7da8cad30" ] } ], "mendeley" : { "formattedCitation" : "(Sarvar, Shamsasenjan, &amp; Akbarzadehlaleh, 2016)", "plainTextFormattedCitation" : "(Sarvar, Shamsasenjan, &amp; Akbarzadehlaleh, 2016)", "previouslyFormattedCitation" : "(Sarvar, Shamsasenjan, and Akbarzadehlaleh 2016)" }, "properties" : { "noteIndex" : 0 }, "schema" : "https://github.com/citation-style-language/schema/raw/master/csl-citation.json" }</w:instrText>
            </w:r>
            <w:r>
              <w:fldChar w:fldCharType="separate"/>
            </w:r>
            <w:r w:rsidRPr="00B25795">
              <w:rPr>
                <w:noProof/>
              </w:rPr>
              <w:t>(Sarvar, Shamsasenjan, &amp; Akbarzadehlaleh, 2016)</w:t>
            </w:r>
            <w:r>
              <w:fldChar w:fldCharType="end"/>
            </w:r>
          </w:p>
        </w:tc>
      </w:tr>
      <w:tr w:rsidR="00B25795" w:rsidTr="00B25795">
        <w:tc>
          <w:tcPr>
            <w:cnfStyle w:val="001000000000" w:firstRow="0" w:lastRow="0" w:firstColumn="1" w:lastColumn="0" w:oddVBand="0" w:evenVBand="0" w:oddHBand="0" w:evenHBand="0" w:firstRowFirstColumn="0" w:firstRowLastColumn="0" w:lastRowFirstColumn="0" w:lastRowLastColumn="0"/>
            <w:tcW w:w="2310" w:type="dxa"/>
          </w:tcPr>
          <w:p w:rsidR="00B25795" w:rsidRPr="008A3631" w:rsidRDefault="00B25795" w:rsidP="00D0349A">
            <w:r w:rsidRPr="008A3631">
              <w:t xml:space="preserve">Metabolic enzymes: </w:t>
            </w:r>
          </w:p>
        </w:tc>
        <w:tc>
          <w:tcPr>
            <w:tcW w:w="5039" w:type="dxa"/>
          </w:tcPr>
          <w:p w:rsidR="00B25795" w:rsidRPr="008A3631" w:rsidRDefault="00B25795" w:rsidP="00D0349A">
            <w:pPr>
              <w:cnfStyle w:val="000000000000" w:firstRow="0" w:lastRow="0" w:firstColumn="0" w:lastColumn="0" w:oddVBand="0" w:evenVBand="0" w:oddHBand="0" w:evenHBand="0" w:firstRowFirstColumn="0" w:firstRowLastColumn="0" w:lastRowFirstColumn="0" w:lastRowLastColumn="0"/>
            </w:pPr>
            <w:r w:rsidRPr="008A3631">
              <w:rPr>
                <w:rStyle w:val="ilfuvd"/>
              </w:rPr>
              <w:t xml:space="preserve">Glyceraldehyde 3-phosphate dehydrogenase: </w:t>
            </w:r>
            <w:r w:rsidRPr="008A3631">
              <w:t xml:space="preserve">GAPDH, </w:t>
            </w:r>
          </w:p>
          <w:p w:rsidR="00B25795" w:rsidRPr="008A3631" w:rsidRDefault="00B25795" w:rsidP="00D0349A">
            <w:pPr>
              <w:cnfStyle w:val="000000000000" w:firstRow="0" w:lastRow="0" w:firstColumn="0" w:lastColumn="0" w:oddVBand="0" w:evenVBand="0" w:oddHBand="0" w:evenHBand="0" w:firstRowFirstColumn="0" w:firstRowLastColumn="0" w:lastRowFirstColumn="0" w:lastRowLastColumn="0"/>
            </w:pPr>
            <w:r w:rsidRPr="008A3631">
              <w:t xml:space="preserve">Lactate Dehydrogenase A: LDHA, </w:t>
            </w:r>
          </w:p>
          <w:p w:rsidR="00B25795" w:rsidRDefault="00B25795" w:rsidP="00D0349A">
            <w:pPr>
              <w:cnfStyle w:val="000000000000" w:firstRow="0" w:lastRow="0" w:firstColumn="0" w:lastColumn="0" w:oddVBand="0" w:evenVBand="0" w:oddHBand="0" w:evenHBand="0" w:firstRowFirstColumn="0" w:firstRowLastColumn="0" w:lastRowFirstColumn="0" w:lastRowLastColumn="0"/>
              <w:rPr>
                <w:b/>
              </w:rPr>
            </w:pPr>
            <w:r w:rsidRPr="008A3631">
              <w:t>Phosphoglycerate Kinase 1: PGK1</w:t>
            </w:r>
          </w:p>
        </w:tc>
        <w:tc>
          <w:tcPr>
            <w:tcW w:w="1893" w:type="dxa"/>
          </w:tcPr>
          <w:p w:rsidR="00B25795" w:rsidRPr="008A3631" w:rsidRDefault="00B25795" w:rsidP="00CD2D8A">
            <w:pPr>
              <w:cnfStyle w:val="000000000000" w:firstRow="0" w:lastRow="0" w:firstColumn="0" w:lastColumn="0" w:oddVBand="0" w:evenVBand="0" w:oddHBand="0" w:evenHBand="0" w:firstRowFirstColumn="0" w:firstRowLastColumn="0" w:lastRowFirstColumn="0" w:lastRowLastColumn="0"/>
            </w:pPr>
            <w:r>
              <w:fldChar w:fldCharType="begin" w:fldLock="1"/>
            </w:r>
            <w:r>
              <w:instrText>ADDIN CSL_CITATION { "citationItems" : [ { "id" : "ITEM-1", "itemData" : { "DOI" : "10.15171/apb.2016.041", "ISBN" : "2228-5881 (Print)\\r2228-5881", "ISSN" : "22517308", "PMID" : "27766213", "abstract" : "Mesenchymal stromal/stem cells (MSCs) are involved in tissue homeostasis through direct cell-to-cell interaction, as well as secretion of soluble factors. Exosomes are the sort of soluble biological mediators that obtained from MSCs cultured media in vitro. MSC-derived exosomes (MSC-DEs) which produced under physiological or pathological conditions are central mediators of intercellular communications by conveying proteins, lipids, mRNAs, siRNA, ribosomal RNAs and miRNAs to the neighbor or distant cells. MSC-DEs have been tested in various disease models, and the results have revealed that their functions are similar to those of MSCs. They have the supportive functions in organisms such as repairing tissue damages, suppressing inflammatory responses, and modulating the immune system. MSC-DEs are of great interest in the scope of regenerative medicine because of their unique capacity to the regeneration of the damaged tissues, and the present paper aims to introduce MSC-DEs as a novel hope in cell-free therapy.", "author" : [ { "dropping-particle" : "", "family" : "Sarvar", "given" : "Davod Pashoutan", "non-dropping-particle" : "", "parse-names" : false, "suffix" : "" }, { "dropping-particle" : "", "family" : "Shamsasenjan", "given" : "Karim", "non-dropping-particle" : "", "parse-names" : false, "suffix" : "" }, { "dropping-particle" : "", "family" : "Akbarzadehlaleh", "given" : "Parvin", "non-dropping-particle" : "", "parse-names" : false, "suffix" : "" } ], "container-title" : "Advanced Pharmaceutical Bulletin", "id" : "ITEM-1", "issue" : "3", "issued" : { "date-parts" : [ [ "2016" ] ] }, "page" : "293-299", "title" : "Mesenchymal stem cell-derived exosomes: New opportunity in cell-free therapy", "type" : "article-magazine", "volume" : "6" }, "uris" : [ "http://www.mendeley.com/documents/?uuid=ce3c8b41-7695-47b9-9868-87d7da8cad30" ] } ], "mendeley" : { "formattedCitation" : "(Sarvar et al., 2016)", "plainTextFormattedCitation" : "(Sarvar et al., 2016)", "previouslyFormattedCitation" : "(Sarvar, Shamsasenjan, and Akbarzadehlaleh 2016)" }, "properties" : { "noteIndex" : 0 }, "schema" : "https://github.com/citation-style-language/schema/raw/master/csl-citation.json" }</w:instrText>
            </w:r>
            <w:r>
              <w:fldChar w:fldCharType="separate"/>
            </w:r>
            <w:r w:rsidRPr="00B25795">
              <w:rPr>
                <w:noProof/>
              </w:rPr>
              <w:t>(Sarvar et al., 2016)</w:t>
            </w:r>
            <w:r>
              <w:fldChar w:fldCharType="end"/>
            </w:r>
          </w:p>
        </w:tc>
      </w:tr>
      <w:tr w:rsidR="00B25795" w:rsidTr="00B2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25795" w:rsidRPr="008A3631" w:rsidRDefault="00B25795" w:rsidP="00D0349A">
            <w:r w:rsidRPr="008A3631">
              <w:t>MSC markers:</w:t>
            </w:r>
          </w:p>
        </w:tc>
        <w:tc>
          <w:tcPr>
            <w:tcW w:w="5039" w:type="dxa"/>
          </w:tcPr>
          <w:p w:rsidR="00B25795" w:rsidRDefault="00B25795" w:rsidP="00D0349A">
            <w:pPr>
              <w:cnfStyle w:val="000000100000" w:firstRow="0" w:lastRow="0" w:firstColumn="0" w:lastColumn="0" w:oddVBand="0" w:evenVBand="0" w:oddHBand="1" w:evenHBand="0" w:firstRowFirstColumn="0" w:firstRowLastColumn="0" w:lastRowFirstColumn="0" w:lastRowLastColumn="0"/>
              <w:rPr>
                <w:b/>
              </w:rPr>
            </w:pPr>
            <w:r w:rsidRPr="008A3631">
              <w:t>CD44</w:t>
            </w:r>
          </w:p>
        </w:tc>
        <w:tc>
          <w:tcPr>
            <w:tcW w:w="1893" w:type="dxa"/>
          </w:tcPr>
          <w:p w:rsidR="00B25795" w:rsidRPr="008A3631" w:rsidRDefault="00B25795" w:rsidP="00CD2D8A">
            <w:pPr>
              <w:cnfStyle w:val="000000100000" w:firstRow="0" w:lastRow="0" w:firstColumn="0" w:lastColumn="0" w:oddVBand="0" w:evenVBand="0" w:oddHBand="1" w:evenHBand="0" w:firstRowFirstColumn="0" w:firstRowLastColumn="0" w:lastRowFirstColumn="0" w:lastRowLastColumn="0"/>
            </w:pPr>
            <w:r>
              <w:fldChar w:fldCharType="begin" w:fldLock="1"/>
            </w:r>
            <w:r>
              <w:instrText>ADDIN CSL_CITATION { "citationItems" : [ { "id" : "ITEM-1", "itemData" : { "DOI" : "10.15171/apb.2016.041", "ISBN" : "2228-5881 (Print)\\r2228-5881", "ISSN" : "22517308", "PMID" : "27766213", "abstract" : "Mesenchymal stromal/stem cells (MSCs) are involved in tissue homeostasis through direct cell-to-cell interaction, as well as secretion of soluble factors. Exosomes are the sort of soluble biological mediators that obtained from MSCs cultured media in vitro. MSC-derived exosomes (MSC-DEs) which produced under physiological or pathological conditions are central mediators of intercellular communications by conveying proteins, lipids, mRNAs, siRNA, ribosomal RNAs and miRNAs to the neighbor or distant cells. MSC-DEs have been tested in various disease models, and the results have revealed that their functions are similar to those of MSCs. They have the supportive functions in organisms such as repairing tissue damages, suppressing inflammatory responses, and modulating the immune system. MSC-DEs are of great interest in the scope of regenerative medicine because of their unique capacity to the regeneration of the damaged tissues, and the present paper aims to introduce MSC-DEs as a novel hope in cell-free therapy.", "author" : [ { "dropping-particle" : "", "family" : "Sarvar", "given" : "Davod Pashoutan", "non-dropping-particle" : "", "parse-names" : false, "suffix" : "" }, { "dropping-particle" : "", "family" : "Shamsasenjan", "given" : "Karim", "non-dropping-particle" : "", "parse-names" : false, "suffix" : "" }, { "dropping-particle" : "", "family" : "Akbarzadehlaleh", "given" : "Parvin", "non-dropping-particle" : "", "parse-names" : false, "suffix" : "" } ], "container-title" : "Advanced Pharmaceutical Bulletin", "id" : "ITEM-1", "issue" : "3", "issued" : { "date-parts" : [ [ "2016" ] ] }, "page" : "293-299", "title" : "Mesenchymal stem cell-derived exosomes: New opportunity in cell-free therapy", "type" : "article-magazine", "volume" : "6" }, "uris" : [ "http://www.mendeley.com/documents/?uuid=ce3c8b41-7695-47b9-9868-87d7da8cad30" ] } ], "mendeley" : { "formattedCitation" : "(Sarvar et al., 2016)", "plainTextFormattedCitation" : "(Sarvar et al., 2016)", "previouslyFormattedCitation" : "(Sarvar, Shamsasenjan, and Akbarzadehlaleh 2016)" }, "properties" : { "noteIndex" : 0 }, "schema" : "https://github.com/citation-style-language/schema/raw/master/csl-citation.json" }</w:instrText>
            </w:r>
            <w:r>
              <w:fldChar w:fldCharType="separate"/>
            </w:r>
            <w:r w:rsidRPr="00B25795">
              <w:rPr>
                <w:noProof/>
              </w:rPr>
              <w:t>(Sarvar et al., 2016)</w:t>
            </w:r>
            <w:r>
              <w:fldChar w:fldCharType="end"/>
            </w:r>
          </w:p>
        </w:tc>
      </w:tr>
    </w:tbl>
    <w:p w:rsidR="00D0349A" w:rsidRDefault="00D0349A" w:rsidP="00F3604B">
      <w:pPr>
        <w:spacing w:line="480" w:lineRule="auto"/>
        <w:rPr>
          <w:rFonts w:cs="Times New Roman"/>
        </w:rPr>
      </w:pPr>
    </w:p>
    <w:p w:rsidR="00D0349A" w:rsidRDefault="00D0349A" w:rsidP="00F3604B">
      <w:pPr>
        <w:spacing w:line="480" w:lineRule="auto"/>
        <w:rPr>
          <w:rFonts w:cs="Times New Roman"/>
        </w:rPr>
      </w:pPr>
    </w:p>
    <w:p w:rsidR="00B25795" w:rsidRDefault="00B25795">
      <w:pPr>
        <w:spacing w:after="200" w:line="276" w:lineRule="auto"/>
        <w:jc w:val="left"/>
        <w:rPr>
          <w:rFonts w:cs="Times New Roman"/>
        </w:rPr>
      </w:pPr>
      <w:r>
        <w:rPr>
          <w:rFonts w:cs="Times New Roman"/>
        </w:rPr>
        <w:br w:type="page"/>
      </w:r>
    </w:p>
    <w:p w:rsidR="00C90EE3" w:rsidRPr="000D6F8D" w:rsidRDefault="00B25795" w:rsidP="00F3604B">
      <w:pPr>
        <w:spacing w:line="480" w:lineRule="auto"/>
        <w:rPr>
          <w:rFonts w:cs="Times New Roman"/>
        </w:rPr>
      </w:pPr>
      <w:r>
        <w:rPr>
          <w:rFonts w:cs="Times New Roman"/>
        </w:rPr>
        <w:lastRenderedPageBreak/>
        <w:t xml:space="preserve">Table </w:t>
      </w:r>
      <w:r w:rsidR="002D0659">
        <w:rPr>
          <w:rFonts w:cs="Times New Roman"/>
        </w:rPr>
        <w:t>S</w:t>
      </w:r>
      <w:r>
        <w:rPr>
          <w:rFonts w:cs="Times New Roman"/>
        </w:rPr>
        <w:t xml:space="preserve">2 </w:t>
      </w:r>
      <w:r w:rsidR="00C90EE3" w:rsidRPr="000503A2">
        <w:rPr>
          <w:rFonts w:cs="Times New Roman"/>
        </w:rPr>
        <w:t>Soluble and EV GO-MF terms enrichment</w:t>
      </w:r>
    </w:p>
    <w:tbl>
      <w:tblPr>
        <w:tblStyle w:val="LightShading"/>
        <w:tblW w:w="9642" w:type="dxa"/>
        <w:tblInd w:w="-176" w:type="dxa"/>
        <w:tblLook w:val="04A0" w:firstRow="1" w:lastRow="0" w:firstColumn="1" w:lastColumn="0" w:noHBand="0" w:noVBand="1"/>
      </w:tblPr>
      <w:tblGrid>
        <w:gridCol w:w="3630"/>
        <w:gridCol w:w="983"/>
        <w:gridCol w:w="1005"/>
        <w:gridCol w:w="1698"/>
        <w:gridCol w:w="930"/>
        <w:gridCol w:w="1396"/>
      </w:tblGrid>
      <w:tr w:rsidR="00C90EE3" w:rsidRPr="000D6F8D" w:rsidTr="00D0349A">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jc w:val="center"/>
              <w:rPr>
                <w:rFonts w:cs="Times New Roman"/>
                <w:sz w:val="20"/>
                <w:szCs w:val="16"/>
              </w:rPr>
            </w:pPr>
            <w:r w:rsidRPr="000D6F8D">
              <w:rPr>
                <w:rFonts w:cs="Times New Roman"/>
                <w:bCs w:val="0"/>
                <w:sz w:val="20"/>
                <w:szCs w:val="16"/>
              </w:rPr>
              <w:t>Category value</w:t>
            </w:r>
          </w:p>
        </w:tc>
        <w:tc>
          <w:tcPr>
            <w:tcW w:w="983"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16"/>
              </w:rPr>
            </w:pPr>
            <w:r w:rsidRPr="000D6F8D">
              <w:rPr>
                <w:rFonts w:cs="Times New Roman"/>
                <w:bCs w:val="0"/>
                <w:sz w:val="20"/>
                <w:szCs w:val="16"/>
              </w:rPr>
              <w:t>Selection</w:t>
            </w:r>
          </w:p>
        </w:tc>
        <w:tc>
          <w:tcPr>
            <w:tcW w:w="1005"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16"/>
              </w:rPr>
            </w:pPr>
            <w:r w:rsidRPr="000D6F8D">
              <w:rPr>
                <w:rFonts w:cs="Times New Roman"/>
                <w:bCs w:val="0"/>
                <w:sz w:val="20"/>
                <w:szCs w:val="16"/>
              </w:rPr>
              <w:t>Category</w:t>
            </w:r>
          </w:p>
        </w:tc>
        <w:tc>
          <w:tcPr>
            <w:tcW w:w="1698"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16"/>
              </w:rPr>
            </w:pPr>
            <w:r w:rsidRPr="000D6F8D">
              <w:rPr>
                <w:rFonts w:cs="Times New Roman"/>
                <w:bCs w:val="0"/>
                <w:sz w:val="20"/>
                <w:szCs w:val="16"/>
              </w:rPr>
              <w:t>Enrichment factor</w:t>
            </w:r>
          </w:p>
        </w:tc>
        <w:tc>
          <w:tcPr>
            <w:tcW w:w="930"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16"/>
              </w:rPr>
            </w:pPr>
            <w:r w:rsidRPr="000D6F8D">
              <w:rPr>
                <w:rFonts w:cs="Times New Roman"/>
                <w:bCs w:val="0"/>
                <w:sz w:val="20"/>
                <w:szCs w:val="16"/>
              </w:rPr>
              <w:t>P value</w:t>
            </w:r>
          </w:p>
        </w:tc>
        <w:tc>
          <w:tcPr>
            <w:tcW w:w="1396"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16"/>
              </w:rPr>
            </w:pPr>
            <w:r w:rsidRPr="000D6F8D">
              <w:rPr>
                <w:rFonts w:cs="Times New Roman"/>
                <w:bCs w:val="0"/>
                <w:sz w:val="20"/>
                <w:szCs w:val="16"/>
              </w:rPr>
              <w:t>Benj. Hoch. FDR</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Aminoacyl-</w:t>
            </w:r>
            <w:proofErr w:type="spellStart"/>
            <w:r w:rsidRPr="000D6F8D">
              <w:rPr>
                <w:rFonts w:cs="Times New Roman"/>
                <w:sz w:val="16"/>
                <w:szCs w:val="16"/>
              </w:rPr>
              <w:t>tRNA</w:t>
            </w:r>
            <w:proofErr w:type="spellEnd"/>
            <w:r w:rsidRPr="000D6F8D">
              <w:rPr>
                <w:rFonts w:cs="Times New Roman"/>
                <w:sz w:val="16"/>
                <w:szCs w:val="16"/>
              </w:rPr>
              <w:t xml:space="preserve"> biosynthesis</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13</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13</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29,538</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1,94E-24</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9,24E-20</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B25795" w:rsidP="00F3604B">
            <w:pPr>
              <w:spacing w:line="480" w:lineRule="auto"/>
              <w:rPr>
                <w:rFonts w:cs="Times New Roman"/>
                <w:sz w:val="16"/>
                <w:szCs w:val="16"/>
              </w:rPr>
            </w:pPr>
            <w:r w:rsidRPr="000D6F8D">
              <w:rPr>
                <w:rFonts w:cs="Times New Roman"/>
                <w:sz w:val="16"/>
                <w:szCs w:val="16"/>
              </w:rPr>
              <w:t>C</w:t>
            </w:r>
            <w:r w:rsidR="00C90EE3" w:rsidRPr="000D6F8D">
              <w:rPr>
                <w:rFonts w:cs="Times New Roman"/>
                <w:sz w:val="16"/>
                <w:szCs w:val="16"/>
              </w:rPr>
              <w:t>ytoskeleton</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43</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78</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4,3506</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2,99E-25</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1,28E-19</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small molecule metabolic process</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172</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96</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5,23E-26</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1,50E-19</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metabolic process</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172</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253</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1,4031</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2,35E-25</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3,35E-19</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nucleic acid metabolic process</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85</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84</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2,958</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7,27E-24</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1,73E-18</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primary metabolic process</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172</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227</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1,4359</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1,63E-21</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2,91E-16</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regulation of catalytic activity</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33</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59</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5,5223</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3,02E-21</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5,08E-16</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proofErr w:type="spellStart"/>
            <w:r w:rsidRPr="000D6F8D">
              <w:rPr>
                <w:rFonts w:cs="Times New Roman"/>
                <w:sz w:val="16"/>
                <w:szCs w:val="16"/>
              </w:rPr>
              <w:t>ncRNA</w:t>
            </w:r>
            <w:proofErr w:type="spellEnd"/>
            <w:r w:rsidRPr="000D6F8D">
              <w:rPr>
                <w:rFonts w:cs="Times New Roman"/>
                <w:sz w:val="16"/>
                <w:szCs w:val="16"/>
              </w:rPr>
              <w:t xml:space="preserve"> metabolic process</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13</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17</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22,588</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4,61E-21</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5,73E-16</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proteolysis</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26</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30</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9,8462</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4,84E-21</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5,77E-16</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proofErr w:type="spellStart"/>
            <w:r w:rsidRPr="000D6F8D">
              <w:rPr>
                <w:rFonts w:cs="Times New Roman"/>
                <w:sz w:val="16"/>
                <w:szCs w:val="16"/>
              </w:rPr>
              <w:t>ncRNA</w:t>
            </w:r>
            <w:proofErr w:type="spellEnd"/>
            <w:r w:rsidRPr="000D6F8D">
              <w:rPr>
                <w:rFonts w:cs="Times New Roman"/>
                <w:sz w:val="16"/>
                <w:szCs w:val="16"/>
              </w:rPr>
              <w:t xml:space="preserve"> metabolic process</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13</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17</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22,588</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4,61E-21</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5,99E-16</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proofErr w:type="spellStart"/>
            <w:r w:rsidRPr="000D6F8D">
              <w:rPr>
                <w:rFonts w:cs="Times New Roman"/>
                <w:sz w:val="16"/>
                <w:szCs w:val="16"/>
              </w:rPr>
              <w:t>tRNA</w:t>
            </w:r>
            <w:proofErr w:type="spellEnd"/>
            <w:r w:rsidR="00B25795">
              <w:rPr>
                <w:rFonts w:cs="Times New Roman"/>
                <w:sz w:val="16"/>
                <w:szCs w:val="16"/>
              </w:rPr>
              <w:t xml:space="preserve"> </w:t>
            </w:r>
            <w:proofErr w:type="spellStart"/>
            <w:r w:rsidRPr="000D6F8D">
              <w:rPr>
                <w:rFonts w:cs="Times New Roman"/>
                <w:sz w:val="16"/>
                <w:szCs w:val="16"/>
              </w:rPr>
              <w:t>aminoacylation</w:t>
            </w:r>
            <w:proofErr w:type="spellEnd"/>
            <w:r w:rsidRPr="000D6F8D">
              <w:rPr>
                <w:rFonts w:cs="Times New Roman"/>
                <w:sz w:val="16"/>
                <w:szCs w:val="16"/>
              </w:rPr>
              <w:t xml:space="preserve"> for protein translation</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17</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13</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22,588</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4,61E-21</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6,28E-16</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ribonucleoprotein complex</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64</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44</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4,5</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9,05E-21</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1,95E-15</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proteolysis</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27</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30</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9,4815</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1,82E-20</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2,08E-15</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RNA metabolic process</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85</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73</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2,9705</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4,40E-20</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4,84E-15</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proofErr w:type="spellStart"/>
            <w:r w:rsidRPr="000D6F8D">
              <w:rPr>
                <w:rFonts w:cs="Times New Roman"/>
                <w:sz w:val="16"/>
                <w:szCs w:val="16"/>
              </w:rPr>
              <w:t>tRNA</w:t>
            </w:r>
            <w:proofErr w:type="spellEnd"/>
            <w:r w:rsidRPr="000D6F8D">
              <w:rPr>
                <w:rFonts w:cs="Times New Roman"/>
                <w:sz w:val="16"/>
                <w:szCs w:val="16"/>
              </w:rPr>
              <w:t xml:space="preserve"> metabolic process</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17</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14</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20,975</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6,39E-20</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6,76E-15</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cellular metabolic process</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172</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229</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1,4136</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7,21E-20</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7,37E-15</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cellular macromolecule biosynthetic process</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85</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59</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3,216</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3,66E-19</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3,49E-14</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actin cytoskeleton</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36</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8,5333</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2,57E-19</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3,68E-14</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oxoacid metabolic process</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172</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47</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2,2326</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7,35E-19</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6,18E-14</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organic acid metabolic process</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172</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47</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2,2326</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7,35E-19</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6,37E-14</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cellular ketone metabolic process</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172</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47</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2,2326</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7,35E-19</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6,57E-14</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protein folding</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20</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37</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9,3405</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8,79E-19</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7,18E-14</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regulation of gene expression</w:t>
            </w:r>
          </w:p>
        </w:tc>
        <w:tc>
          <w:tcPr>
            <w:tcW w:w="983"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85</w:t>
            </w:r>
          </w:p>
        </w:tc>
        <w:tc>
          <w:tcPr>
            <w:tcW w:w="1005"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89</w:t>
            </w:r>
          </w:p>
        </w:tc>
        <w:tc>
          <w:tcPr>
            <w:tcW w:w="169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2,6395</w:t>
            </w:r>
          </w:p>
        </w:tc>
        <w:tc>
          <w:tcPr>
            <w:tcW w:w="930"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1,21E-18</w:t>
            </w:r>
          </w:p>
        </w:tc>
        <w:tc>
          <w:tcPr>
            <w:tcW w:w="1396"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9,62E-14</w:t>
            </w:r>
          </w:p>
        </w:tc>
      </w:tr>
      <w:tr w:rsidR="00C90EE3" w:rsidRPr="000D6F8D" w:rsidTr="00D0349A">
        <w:trPr>
          <w:trHeight w:val="268"/>
        </w:trPr>
        <w:tc>
          <w:tcPr>
            <w:cnfStyle w:val="001000000000" w:firstRow="0" w:lastRow="0" w:firstColumn="1" w:lastColumn="0" w:oddVBand="0" w:evenVBand="0" w:oddHBand="0" w:evenHBand="0" w:firstRowFirstColumn="0" w:firstRowLastColumn="0" w:lastRowFirstColumn="0" w:lastRowLastColumn="0"/>
            <w:tcW w:w="3630"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actin cytoskeleton</w:t>
            </w:r>
          </w:p>
        </w:tc>
        <w:tc>
          <w:tcPr>
            <w:tcW w:w="983"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43</w:t>
            </w:r>
          </w:p>
        </w:tc>
        <w:tc>
          <w:tcPr>
            <w:tcW w:w="1005"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36</w:t>
            </w:r>
          </w:p>
        </w:tc>
        <w:tc>
          <w:tcPr>
            <w:tcW w:w="169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5,9535</w:t>
            </w:r>
          </w:p>
        </w:tc>
        <w:tc>
          <w:tcPr>
            <w:tcW w:w="930"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6,33E-18</w:t>
            </w:r>
          </w:p>
        </w:tc>
        <w:tc>
          <w:tcPr>
            <w:tcW w:w="1396"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5,44E-13</w:t>
            </w:r>
          </w:p>
        </w:tc>
      </w:tr>
    </w:tbl>
    <w:p w:rsidR="00C90EE3" w:rsidRDefault="00C90EE3" w:rsidP="00F3604B">
      <w:pPr>
        <w:spacing w:after="200" w:line="480" w:lineRule="auto"/>
        <w:jc w:val="left"/>
        <w:rPr>
          <w:rFonts w:cs="Times New Roman"/>
        </w:rPr>
      </w:pPr>
      <w:r>
        <w:rPr>
          <w:rFonts w:cs="Times New Roman"/>
        </w:rPr>
        <w:br w:type="page"/>
      </w:r>
    </w:p>
    <w:p w:rsidR="00C90EE3" w:rsidRPr="00B25795" w:rsidRDefault="00C90EE3" w:rsidP="00F3604B">
      <w:pPr>
        <w:spacing w:line="480" w:lineRule="auto"/>
        <w:rPr>
          <w:rFonts w:cs="Times New Roman"/>
        </w:rPr>
      </w:pPr>
      <w:r w:rsidRPr="00B25795">
        <w:rPr>
          <w:rFonts w:cs="Times New Roman"/>
        </w:rPr>
        <w:t xml:space="preserve">Table </w:t>
      </w:r>
      <w:r w:rsidR="002D0659">
        <w:rPr>
          <w:rFonts w:cs="Times New Roman"/>
        </w:rPr>
        <w:t>S</w:t>
      </w:r>
      <w:r w:rsidR="00B25795" w:rsidRPr="00B25795">
        <w:rPr>
          <w:rFonts w:cs="Times New Roman"/>
        </w:rPr>
        <w:t>3</w:t>
      </w:r>
      <w:r w:rsidRPr="00B25795">
        <w:rPr>
          <w:rFonts w:cs="Times New Roman"/>
        </w:rPr>
        <w:t xml:space="preserve"> EV fraction GO-MF terms enrichment</w:t>
      </w:r>
    </w:p>
    <w:tbl>
      <w:tblPr>
        <w:tblStyle w:val="LightShading"/>
        <w:tblW w:w="9652" w:type="dxa"/>
        <w:tblLook w:val="04A0" w:firstRow="1" w:lastRow="0" w:firstColumn="1" w:lastColumn="0" w:noHBand="0" w:noVBand="1"/>
      </w:tblPr>
      <w:tblGrid>
        <w:gridCol w:w="3613"/>
        <w:gridCol w:w="992"/>
        <w:gridCol w:w="1005"/>
        <w:gridCol w:w="1671"/>
        <w:gridCol w:w="980"/>
        <w:gridCol w:w="1391"/>
      </w:tblGrid>
      <w:tr w:rsidR="00C90EE3" w:rsidRPr="000D6F8D" w:rsidTr="00D0349A">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jc w:val="center"/>
              <w:rPr>
                <w:rFonts w:cs="Times New Roman"/>
                <w:sz w:val="20"/>
              </w:rPr>
            </w:pPr>
            <w:r w:rsidRPr="000D6F8D">
              <w:rPr>
                <w:rFonts w:cs="Times New Roman"/>
                <w:bCs w:val="0"/>
                <w:sz w:val="20"/>
              </w:rPr>
              <w:t>Category value</w:t>
            </w:r>
          </w:p>
        </w:tc>
        <w:tc>
          <w:tcPr>
            <w:tcW w:w="992"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rPr>
            </w:pPr>
            <w:r w:rsidRPr="000D6F8D">
              <w:rPr>
                <w:rFonts w:cs="Times New Roman"/>
                <w:bCs w:val="0"/>
                <w:sz w:val="20"/>
              </w:rPr>
              <w:t>Selection</w:t>
            </w:r>
          </w:p>
        </w:tc>
        <w:tc>
          <w:tcPr>
            <w:tcW w:w="864"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rPr>
            </w:pPr>
            <w:r w:rsidRPr="000D6F8D">
              <w:rPr>
                <w:rFonts w:cs="Times New Roman"/>
                <w:bCs w:val="0"/>
                <w:sz w:val="20"/>
              </w:rPr>
              <w:t>Category</w:t>
            </w:r>
          </w:p>
        </w:tc>
        <w:tc>
          <w:tcPr>
            <w:tcW w:w="1688"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rPr>
            </w:pPr>
            <w:r w:rsidRPr="000D6F8D">
              <w:rPr>
                <w:rFonts w:cs="Times New Roman"/>
                <w:bCs w:val="0"/>
                <w:sz w:val="20"/>
              </w:rPr>
              <w:t>Enrichment factor</w:t>
            </w:r>
          </w:p>
        </w:tc>
        <w:tc>
          <w:tcPr>
            <w:tcW w:w="992"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rPr>
            </w:pPr>
            <w:r w:rsidRPr="000D6F8D">
              <w:rPr>
                <w:rFonts w:cs="Times New Roman"/>
                <w:bCs w:val="0"/>
                <w:sz w:val="20"/>
              </w:rPr>
              <w:t>P value</w:t>
            </w:r>
          </w:p>
        </w:tc>
        <w:tc>
          <w:tcPr>
            <w:tcW w:w="1417" w:type="dxa"/>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rPr>
            </w:pPr>
            <w:r w:rsidRPr="000D6F8D">
              <w:rPr>
                <w:rFonts w:cs="Times New Roman"/>
                <w:bCs w:val="0"/>
                <w:sz w:val="20"/>
              </w:rPr>
              <w:t>Benj. Hoch. FDR</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Ribosome</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25</w:t>
            </w:r>
          </w:p>
        </w:tc>
        <w:tc>
          <w:tcPr>
            <w:tcW w:w="168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12,04</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4,69E-37</w:t>
            </w:r>
          </w:p>
        </w:tc>
        <w:tc>
          <w:tcPr>
            <w:tcW w:w="1417"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6,04E-32</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translational termination</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w:t>
            </w:r>
          </w:p>
        </w:tc>
        <w:tc>
          <w:tcPr>
            <w:tcW w:w="168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12,04</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4,69E-37</w:t>
            </w:r>
          </w:p>
        </w:tc>
        <w:tc>
          <w:tcPr>
            <w:tcW w:w="1417"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1,02E-30</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viral transcription</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26</w:t>
            </w:r>
          </w:p>
        </w:tc>
        <w:tc>
          <w:tcPr>
            <w:tcW w:w="168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11,577</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1,22E-35</w:t>
            </w:r>
          </w:p>
        </w:tc>
        <w:tc>
          <w:tcPr>
            <w:tcW w:w="1417"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3,81E-30</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viral reproductive process</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26</w:t>
            </w:r>
          </w:p>
        </w:tc>
        <w:tc>
          <w:tcPr>
            <w:tcW w:w="168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11,577</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1,22E-35</w:t>
            </w:r>
          </w:p>
        </w:tc>
        <w:tc>
          <w:tcPr>
            <w:tcW w:w="1417"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4,44E-30</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viral infectious cycle</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26</w:t>
            </w:r>
          </w:p>
        </w:tc>
        <w:tc>
          <w:tcPr>
            <w:tcW w:w="168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11,577</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1,22E-35</w:t>
            </w:r>
          </w:p>
        </w:tc>
        <w:tc>
          <w:tcPr>
            <w:tcW w:w="1417"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5,33E-30</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translational elongation</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26</w:t>
            </w:r>
          </w:p>
        </w:tc>
        <w:tc>
          <w:tcPr>
            <w:tcW w:w="168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11,577</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1,22E-35</w:t>
            </w:r>
          </w:p>
        </w:tc>
        <w:tc>
          <w:tcPr>
            <w:tcW w:w="1417"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6,66E-30</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protein complex disassembly</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26</w:t>
            </w:r>
          </w:p>
        </w:tc>
        <w:tc>
          <w:tcPr>
            <w:tcW w:w="168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11,577</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1,22E-35</w:t>
            </w:r>
          </w:p>
        </w:tc>
        <w:tc>
          <w:tcPr>
            <w:tcW w:w="1417"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8,88E-30</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cellular protein complex disassembly</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26</w:t>
            </w:r>
          </w:p>
        </w:tc>
        <w:tc>
          <w:tcPr>
            <w:tcW w:w="168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11,577</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1,22E-35</w:t>
            </w:r>
          </w:p>
        </w:tc>
        <w:tc>
          <w:tcPr>
            <w:tcW w:w="1417"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1,33E-29</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SRP-dependent cotranslational protein targeting to membrane</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27</w:t>
            </w:r>
          </w:p>
        </w:tc>
        <w:tc>
          <w:tcPr>
            <w:tcW w:w="168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11,148</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1,65E-34</w:t>
            </w:r>
          </w:p>
        </w:tc>
        <w:tc>
          <w:tcPr>
            <w:tcW w:w="1417"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3,27E-29</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protein targeting to ER</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27</w:t>
            </w:r>
          </w:p>
        </w:tc>
        <w:tc>
          <w:tcPr>
            <w:tcW w:w="168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11,148</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1,65E-34</w:t>
            </w:r>
          </w:p>
        </w:tc>
        <w:tc>
          <w:tcPr>
            <w:tcW w:w="1417"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3,60E-29</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establishment of protein localization in endoplasmic reticulum</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27</w:t>
            </w:r>
          </w:p>
        </w:tc>
        <w:tc>
          <w:tcPr>
            <w:tcW w:w="168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11,148</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1,65E-34</w:t>
            </w:r>
          </w:p>
        </w:tc>
        <w:tc>
          <w:tcPr>
            <w:tcW w:w="1417"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4,00E-29</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cotranslational protein targeting to membrane</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27</w:t>
            </w:r>
          </w:p>
        </w:tc>
        <w:tc>
          <w:tcPr>
            <w:tcW w:w="168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11,148</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1,65E-34</w:t>
            </w:r>
          </w:p>
        </w:tc>
        <w:tc>
          <w:tcPr>
            <w:tcW w:w="1417"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4,50E-29</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nuclear-transcribed mRNA catabolic process</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28</w:t>
            </w:r>
          </w:p>
        </w:tc>
        <w:tc>
          <w:tcPr>
            <w:tcW w:w="168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10,75</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1,54E-33</w:t>
            </w:r>
          </w:p>
        </w:tc>
        <w:tc>
          <w:tcPr>
            <w:tcW w:w="1417"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2,40E-28</w:t>
            </w:r>
          </w:p>
        </w:tc>
      </w:tr>
      <w:tr w:rsidR="00C90EE3" w:rsidRPr="000D6F8D" w:rsidTr="00D0349A">
        <w:trPr>
          <w:trHeight w:val="255"/>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macromolecular complex disassembly</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28</w:t>
            </w:r>
          </w:p>
        </w:tc>
        <w:tc>
          <w:tcPr>
            <w:tcW w:w="1688"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10,75</w:t>
            </w:r>
          </w:p>
        </w:tc>
        <w:tc>
          <w:tcPr>
            <w:tcW w:w="992"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1,54E-33</w:t>
            </w:r>
          </w:p>
        </w:tc>
        <w:tc>
          <w:tcPr>
            <w:tcW w:w="1417" w:type="dxa"/>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0D6F8D">
              <w:rPr>
                <w:rFonts w:cs="Times New Roman"/>
                <w:sz w:val="16"/>
                <w:szCs w:val="16"/>
              </w:rPr>
              <w:t>2,58E-28</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699" w:type="dxa"/>
            <w:hideMark/>
          </w:tcPr>
          <w:p w:rsidR="00C90EE3" w:rsidRPr="000D6F8D" w:rsidRDefault="00C90EE3" w:rsidP="00F3604B">
            <w:pPr>
              <w:spacing w:line="480" w:lineRule="auto"/>
              <w:rPr>
                <w:rFonts w:cs="Times New Roman"/>
                <w:sz w:val="16"/>
                <w:szCs w:val="16"/>
              </w:rPr>
            </w:pPr>
            <w:r w:rsidRPr="000D6F8D">
              <w:rPr>
                <w:rFonts w:cs="Times New Roman"/>
                <w:sz w:val="16"/>
                <w:szCs w:val="16"/>
              </w:rPr>
              <w:t>cellular macromolecular complex disassembly</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25</w:t>
            </w:r>
          </w:p>
        </w:tc>
        <w:tc>
          <w:tcPr>
            <w:tcW w:w="864"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28</w:t>
            </w:r>
          </w:p>
        </w:tc>
        <w:tc>
          <w:tcPr>
            <w:tcW w:w="1688"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10,75</w:t>
            </w:r>
          </w:p>
        </w:tc>
        <w:tc>
          <w:tcPr>
            <w:tcW w:w="992"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1,54E-33</w:t>
            </w:r>
          </w:p>
        </w:tc>
        <w:tc>
          <w:tcPr>
            <w:tcW w:w="1417" w:type="dxa"/>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0D6F8D">
              <w:rPr>
                <w:rFonts w:cs="Times New Roman"/>
                <w:sz w:val="16"/>
                <w:szCs w:val="16"/>
              </w:rPr>
              <w:t>2,80E-28</w:t>
            </w:r>
          </w:p>
        </w:tc>
      </w:tr>
    </w:tbl>
    <w:p w:rsidR="00C90EE3" w:rsidRDefault="00C90EE3" w:rsidP="00F3604B">
      <w:pPr>
        <w:spacing w:after="200" w:line="480" w:lineRule="auto"/>
        <w:jc w:val="left"/>
        <w:rPr>
          <w:rFonts w:cs="Times New Roman"/>
        </w:rPr>
      </w:pPr>
      <w:r>
        <w:rPr>
          <w:rFonts w:cs="Times New Roman"/>
        </w:rPr>
        <w:br w:type="page"/>
      </w:r>
    </w:p>
    <w:p w:rsidR="00C90EE3" w:rsidRPr="00B25795" w:rsidRDefault="00C90EE3" w:rsidP="00F3604B">
      <w:pPr>
        <w:spacing w:line="480" w:lineRule="auto"/>
        <w:rPr>
          <w:rFonts w:cs="Times New Roman"/>
          <w:lang w:val="it-IT"/>
        </w:rPr>
      </w:pPr>
      <w:r w:rsidRPr="00B25795">
        <w:rPr>
          <w:rFonts w:cs="Times New Roman"/>
        </w:rPr>
        <w:t xml:space="preserve">Table </w:t>
      </w:r>
      <w:r w:rsidR="002D0659">
        <w:rPr>
          <w:rFonts w:cs="Times New Roman"/>
        </w:rPr>
        <w:t>S</w:t>
      </w:r>
      <w:r w:rsidR="00B25795" w:rsidRPr="00B25795">
        <w:rPr>
          <w:rFonts w:cs="Times New Roman"/>
        </w:rPr>
        <w:t>4</w:t>
      </w:r>
      <w:r w:rsidR="00B25795">
        <w:rPr>
          <w:rFonts w:cs="Times New Roman"/>
        </w:rPr>
        <w:t xml:space="preserve"> </w:t>
      </w:r>
      <w:r w:rsidRPr="00B25795">
        <w:rPr>
          <w:rFonts w:cs="Times New Roman"/>
          <w:lang w:val="it-IT"/>
        </w:rPr>
        <w:t>Top 20 significantly enriched GO BP terms secretome-wide</w:t>
      </w:r>
    </w:p>
    <w:tbl>
      <w:tblPr>
        <w:tblStyle w:val="LightShading"/>
        <w:tblW w:w="10632" w:type="dxa"/>
        <w:tblInd w:w="-601" w:type="dxa"/>
        <w:tblLook w:val="04A0" w:firstRow="1" w:lastRow="0" w:firstColumn="1" w:lastColumn="0" w:noHBand="0" w:noVBand="1"/>
      </w:tblPr>
      <w:tblGrid>
        <w:gridCol w:w="993"/>
        <w:gridCol w:w="1984"/>
        <w:gridCol w:w="4536"/>
        <w:gridCol w:w="3119"/>
      </w:tblGrid>
      <w:tr w:rsidR="00C90EE3" w:rsidRPr="000D6F8D" w:rsidTr="00D034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rPr>
                <w:rFonts w:eastAsia="Times New Roman" w:cs="Times New Roman"/>
                <w:color w:val="000000"/>
                <w:sz w:val="20"/>
                <w:szCs w:val="16"/>
                <w:lang w:eastAsia="en-GB"/>
              </w:rPr>
            </w:pPr>
            <w:r w:rsidRPr="000D6F8D">
              <w:rPr>
                <w:rFonts w:eastAsia="Times New Roman" w:cs="Times New Roman"/>
                <w:color w:val="000000"/>
                <w:sz w:val="20"/>
                <w:szCs w:val="16"/>
                <w:lang w:eastAsia="en-GB"/>
              </w:rPr>
              <w:t>p-value</w:t>
            </w:r>
          </w:p>
        </w:tc>
        <w:tc>
          <w:tcPr>
            <w:tcW w:w="1984" w:type="dxa"/>
            <w:noWrap/>
            <w:hideMark/>
          </w:tcPr>
          <w:p w:rsidR="00C90EE3" w:rsidRPr="000D6F8D" w:rsidRDefault="00C90EE3" w:rsidP="00F3604B">
            <w:pPr>
              <w:spacing w:line="48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6"/>
                <w:lang w:eastAsia="en-GB"/>
              </w:rPr>
            </w:pPr>
            <w:r w:rsidRPr="000D6F8D">
              <w:rPr>
                <w:rFonts w:eastAsia="Times New Roman" w:cs="Times New Roman"/>
                <w:color w:val="000000"/>
                <w:sz w:val="20"/>
                <w:szCs w:val="16"/>
                <w:lang w:eastAsia="en-GB"/>
              </w:rPr>
              <w:t>GO term ID</w:t>
            </w:r>
          </w:p>
        </w:tc>
        <w:tc>
          <w:tcPr>
            <w:tcW w:w="4536" w:type="dxa"/>
            <w:noWrap/>
            <w:hideMark/>
          </w:tcPr>
          <w:p w:rsidR="00C90EE3" w:rsidRPr="000D6F8D" w:rsidRDefault="00C90EE3" w:rsidP="00F3604B">
            <w:pPr>
              <w:spacing w:line="48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6"/>
                <w:lang w:eastAsia="en-GB"/>
              </w:rPr>
            </w:pPr>
            <w:r w:rsidRPr="000D6F8D">
              <w:rPr>
                <w:rFonts w:eastAsia="Times New Roman" w:cs="Times New Roman"/>
                <w:color w:val="000000"/>
                <w:sz w:val="20"/>
                <w:szCs w:val="16"/>
                <w:lang w:eastAsia="en-GB"/>
              </w:rPr>
              <w:t>GO term</w:t>
            </w:r>
          </w:p>
        </w:tc>
        <w:tc>
          <w:tcPr>
            <w:tcW w:w="3119" w:type="dxa"/>
            <w:noWrap/>
            <w:hideMark/>
          </w:tcPr>
          <w:p w:rsidR="00C90EE3" w:rsidRPr="000D6F8D" w:rsidRDefault="00C90EE3" w:rsidP="00F3604B">
            <w:pPr>
              <w:spacing w:line="48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6"/>
                <w:lang w:eastAsia="en-GB"/>
              </w:rPr>
            </w:pPr>
            <w:r w:rsidRPr="000D6F8D">
              <w:rPr>
                <w:rFonts w:eastAsia="Times New Roman" w:cs="Times New Roman"/>
                <w:color w:val="000000"/>
                <w:sz w:val="20"/>
                <w:szCs w:val="16"/>
                <w:lang w:eastAsia="en-GB"/>
              </w:rPr>
              <w:t>Semantic class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3.1E-24</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GO:0006457</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folding</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metabolism - folding</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2.46E-20</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GO:0045055</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regulated exocytosis</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transport - exocytosis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2.8E-20</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GO:0016192</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vesicle-mediated transport</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 xml:space="preserve">transport - intracellular - vesicle </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2.89E-20</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GO:0006887</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exocytosis</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transport - exocytosis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1.98E-19</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GO:0036230</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granulocyte activation</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leukocytes</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4.77E-19</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GO:0002283</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neutrophil activation involved in immune response</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leukocytes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4.77E-19</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GO:0043312</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neutrophil degranulation</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leukocytes</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6.53E-19</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GO:0002275</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myeloid cell activation involved in immune response</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gene expression</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9.53E-19</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GO:0042119</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neutrophil activation</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leukocytes</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1.13E-18</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GO:0002446</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neutrophil mediated immunity</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leukocytes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5.06E-18</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GO:0043299</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leukocyte degranulation</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leukocytes</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8.22E-18</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GO:0002444</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myeloid leukocyte mediated immunity</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leukocytes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2.16E-17</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GO:0051179</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localization</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metabolism - localisation</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2.35E-17</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GO:0051234</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establishment of localization</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metabolism - localisation</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4.26E-17</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GO:0002274</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myeloid leukocyte activation</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differentiation</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6.3E-17</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GO:0032940</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secretion by cell</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transport - exocytosis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2.23E-16</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GO:0002366</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leukocyte activation involved in immune response</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 - leukocytes</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2.94E-16</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GO:0002263</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cell activation involved in immune response</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immune system</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9.19E-16</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GO:0046903</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secretion</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transport - exocytosis</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5.85E-15</w:t>
            </w:r>
          </w:p>
        </w:tc>
        <w:tc>
          <w:tcPr>
            <w:tcW w:w="1984"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GO:0001775</w:t>
            </w:r>
          </w:p>
        </w:tc>
        <w:tc>
          <w:tcPr>
            <w:tcW w:w="4536"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cell activation</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general</w:t>
            </w:r>
          </w:p>
        </w:tc>
      </w:tr>
    </w:tbl>
    <w:p w:rsidR="00C90EE3" w:rsidRDefault="00C90EE3" w:rsidP="00F3604B">
      <w:pPr>
        <w:spacing w:after="200" w:line="480" w:lineRule="auto"/>
        <w:jc w:val="left"/>
        <w:rPr>
          <w:rFonts w:cs="Times New Roman"/>
        </w:rPr>
      </w:pPr>
      <w:r>
        <w:rPr>
          <w:rFonts w:cs="Times New Roman"/>
        </w:rPr>
        <w:br w:type="page"/>
      </w:r>
    </w:p>
    <w:p w:rsidR="00C90EE3" w:rsidRPr="000D6F8D" w:rsidRDefault="00B25795" w:rsidP="00F3604B">
      <w:pPr>
        <w:spacing w:line="480" w:lineRule="auto"/>
        <w:rPr>
          <w:rFonts w:cs="Times New Roman"/>
        </w:rPr>
      </w:pPr>
      <w:r>
        <w:rPr>
          <w:rFonts w:cs="Times New Roman"/>
        </w:rPr>
        <w:t xml:space="preserve">Table </w:t>
      </w:r>
      <w:r w:rsidR="002D0659">
        <w:rPr>
          <w:rFonts w:cs="Times New Roman"/>
        </w:rPr>
        <w:t>S</w:t>
      </w:r>
      <w:r>
        <w:rPr>
          <w:rFonts w:cs="Times New Roman"/>
        </w:rPr>
        <w:t xml:space="preserve">5 </w:t>
      </w:r>
      <w:r w:rsidR="00C90EE3" w:rsidRPr="000D6F8D">
        <w:rPr>
          <w:rFonts w:cs="Times New Roman"/>
          <w:lang w:val="it-IT"/>
        </w:rPr>
        <w:t>Top 20 significa</w:t>
      </w:r>
      <w:r w:rsidR="00C90EE3">
        <w:rPr>
          <w:rFonts w:cs="Times New Roman"/>
          <w:lang w:val="it-IT"/>
        </w:rPr>
        <w:t>nt</w:t>
      </w:r>
      <w:r w:rsidR="00C90EE3" w:rsidRPr="000D6F8D">
        <w:rPr>
          <w:rFonts w:cs="Times New Roman"/>
          <w:lang w:val="it-IT"/>
        </w:rPr>
        <w:t xml:space="preserve">ly enriched GO BP terms in </w:t>
      </w:r>
      <w:r>
        <w:rPr>
          <w:rFonts w:cs="Times New Roman"/>
          <w:lang w:val="it-IT"/>
        </w:rPr>
        <w:t>ADSC</w:t>
      </w:r>
      <w:r w:rsidR="00C90EE3" w:rsidRPr="000D6F8D">
        <w:rPr>
          <w:rFonts w:cs="Times New Roman"/>
          <w:lang w:val="it-IT"/>
        </w:rPr>
        <w:t xml:space="preserve"> and AFS EV fractions</w:t>
      </w:r>
    </w:p>
    <w:tbl>
      <w:tblPr>
        <w:tblStyle w:val="LightShading"/>
        <w:tblW w:w="10632" w:type="dxa"/>
        <w:tblInd w:w="-743" w:type="dxa"/>
        <w:tblLook w:val="04A0" w:firstRow="1" w:lastRow="0" w:firstColumn="1" w:lastColumn="0" w:noHBand="0" w:noVBand="1"/>
      </w:tblPr>
      <w:tblGrid>
        <w:gridCol w:w="993"/>
        <w:gridCol w:w="1984"/>
        <w:gridCol w:w="4536"/>
        <w:gridCol w:w="3119"/>
      </w:tblGrid>
      <w:tr w:rsidR="00C90EE3" w:rsidRPr="000D6F8D" w:rsidTr="00D034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b w:val="0"/>
                <w:color w:val="000000"/>
                <w:sz w:val="18"/>
                <w:szCs w:val="16"/>
                <w:lang w:eastAsia="en-GB"/>
              </w:rPr>
            </w:pPr>
            <w:r w:rsidRPr="000D6F8D">
              <w:rPr>
                <w:rFonts w:eastAsia="Times New Roman" w:cs="Times New Roman"/>
                <w:b w:val="0"/>
                <w:color w:val="000000"/>
                <w:sz w:val="18"/>
                <w:szCs w:val="16"/>
                <w:lang w:eastAsia="en-GB"/>
              </w:rPr>
              <w:t>p-value</w:t>
            </w:r>
          </w:p>
        </w:tc>
        <w:tc>
          <w:tcPr>
            <w:tcW w:w="1984" w:type="dxa"/>
            <w:noWrap/>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6"/>
                <w:lang w:eastAsia="en-GB"/>
              </w:rPr>
            </w:pPr>
            <w:r w:rsidRPr="000D6F8D">
              <w:rPr>
                <w:rFonts w:eastAsia="Times New Roman" w:cs="Times New Roman"/>
                <w:b w:val="0"/>
                <w:color w:val="000000"/>
                <w:sz w:val="18"/>
                <w:szCs w:val="16"/>
                <w:lang w:eastAsia="en-GB"/>
              </w:rPr>
              <w:t>GO term ID</w:t>
            </w:r>
          </w:p>
        </w:tc>
        <w:tc>
          <w:tcPr>
            <w:tcW w:w="4536" w:type="dxa"/>
            <w:noWrap/>
            <w:hideMark/>
          </w:tcPr>
          <w:p w:rsidR="00C90EE3" w:rsidRPr="000D6F8D" w:rsidRDefault="00C90EE3" w:rsidP="00F3604B">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6"/>
                <w:lang w:eastAsia="en-GB"/>
              </w:rPr>
            </w:pPr>
            <w:r w:rsidRPr="000D6F8D">
              <w:rPr>
                <w:rFonts w:eastAsia="Times New Roman" w:cs="Times New Roman"/>
                <w:b w:val="0"/>
                <w:color w:val="000000"/>
                <w:sz w:val="18"/>
                <w:szCs w:val="16"/>
                <w:lang w:eastAsia="en-GB"/>
              </w:rPr>
              <w:t>GO term</w:t>
            </w:r>
          </w:p>
        </w:tc>
        <w:tc>
          <w:tcPr>
            <w:tcW w:w="3119" w:type="dxa"/>
            <w:noWrap/>
            <w:hideMark/>
          </w:tcPr>
          <w:p w:rsidR="00C90EE3" w:rsidRPr="000D6F8D" w:rsidRDefault="00C90EE3" w:rsidP="00F3604B">
            <w:pPr>
              <w:spacing w:line="48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6"/>
                <w:lang w:eastAsia="en-GB"/>
              </w:rPr>
            </w:pPr>
            <w:r w:rsidRPr="000D6F8D">
              <w:rPr>
                <w:rFonts w:eastAsia="Times New Roman" w:cs="Times New Roman"/>
                <w:b w:val="0"/>
                <w:color w:val="000000"/>
                <w:sz w:val="18"/>
                <w:szCs w:val="16"/>
                <w:lang w:eastAsia="en-GB"/>
              </w:rPr>
              <w:t>Semantic class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2.56E-32</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GO:0006614</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SRP-dependent cotranslational protein targeting to membrane</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metabolism - localisation - membrane</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2.31E-31</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GO:0006613</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cotranslational protein targeting to membrane</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metabolism - localisation - membrane</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4.2E-31</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GO:0045047</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targeting to ER</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metabolism - localisation - ER</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1.32E-30</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GO:0072599</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establishment of protein localization to endoplasmic reticulum</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metabolism - localisation - ER</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2.59E-30</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GO:0070972</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localization to endoplasmic reticulum</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metabolism - localisation - ER</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9.58E-30</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GO:0016071</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mRNA metabolic process</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RNA metabolism</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2.43E-29</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GO:0000184</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nuclear-transcribed mRNA catabolic process, nonsense-mediated decay</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RNA metabolism - stability</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8.57E-29</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GO:0006413</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translational initiation</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RNA metabolism - translation</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2.57E-27</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GO:0006401</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RNA catabolic process</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RNA metabolism</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3.77E-27</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GO:0006402</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mRNA catabolic process</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RNA metabolism</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7.47E-26</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GO:0006612</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targeting to membrane</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protein metabolism - localisation - membrane</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1.84E-24</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GO:0019083</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viral transcription</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physiology - virus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1.53E-23</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GO:0019080</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viral gene expression</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physiology - virus</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1.56E-23</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GO:0034655</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nucleobase-containing compound catabolic process</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metabolism</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2.36E-22</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GO:0000956</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nuclear-transcribed mRNA catabolic process</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RNA metabolism</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2.41E-22</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GO:0022613</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ribonucleoprotein complex biogenesis</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RNA metabolism</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2.44E-22</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GO:0046700</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heterocycle catabolic process</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metabolism</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2.79E-22</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GO:0044270</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cellular nitrogen compound catabolic process</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metabolism</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5.42E-22</w:t>
            </w:r>
          </w:p>
        </w:tc>
        <w:tc>
          <w:tcPr>
            <w:tcW w:w="1984"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GO:0019439</w:t>
            </w:r>
          </w:p>
        </w:tc>
        <w:tc>
          <w:tcPr>
            <w:tcW w:w="4536" w:type="dxa"/>
            <w:noWrap/>
            <w:hideMark/>
          </w:tcPr>
          <w:p w:rsidR="00C90EE3" w:rsidRPr="000D6F8D" w:rsidRDefault="00C90EE3" w:rsidP="00F3604B">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aromatic compound catabolic process</w:t>
            </w:r>
          </w:p>
        </w:tc>
        <w:tc>
          <w:tcPr>
            <w:tcW w:w="3119"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metabolism</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center"/>
              <w:rPr>
                <w:rFonts w:eastAsia="Times New Roman" w:cs="Times New Roman"/>
                <w:color w:val="000000"/>
                <w:sz w:val="16"/>
                <w:szCs w:val="16"/>
                <w:lang w:eastAsia="en-GB"/>
              </w:rPr>
            </w:pPr>
            <w:r w:rsidRPr="000D6F8D">
              <w:rPr>
                <w:rFonts w:eastAsia="Times New Roman" w:cs="Times New Roman"/>
                <w:color w:val="000000"/>
                <w:sz w:val="16"/>
                <w:szCs w:val="16"/>
                <w:lang w:eastAsia="en-GB"/>
              </w:rPr>
              <w:t>6.39E-22</w:t>
            </w:r>
          </w:p>
        </w:tc>
        <w:tc>
          <w:tcPr>
            <w:tcW w:w="1984"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GO:0006412</w:t>
            </w:r>
          </w:p>
        </w:tc>
        <w:tc>
          <w:tcPr>
            <w:tcW w:w="4536" w:type="dxa"/>
            <w:noWrap/>
            <w:hideMark/>
          </w:tcPr>
          <w:p w:rsidR="00C90EE3" w:rsidRPr="000D6F8D" w:rsidRDefault="00C90EE3" w:rsidP="00F3604B">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translation</w:t>
            </w:r>
          </w:p>
        </w:tc>
        <w:tc>
          <w:tcPr>
            <w:tcW w:w="3119" w:type="dxa"/>
            <w:noWrap/>
            <w:hideMark/>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RNA metabolism - translation</w:t>
            </w:r>
          </w:p>
        </w:tc>
      </w:tr>
    </w:tbl>
    <w:p w:rsidR="00C90EE3" w:rsidRDefault="00C90EE3" w:rsidP="00F3604B">
      <w:pPr>
        <w:spacing w:line="480" w:lineRule="auto"/>
        <w:rPr>
          <w:rFonts w:cs="Times New Roman"/>
        </w:rPr>
      </w:pPr>
    </w:p>
    <w:p w:rsidR="00C90EE3" w:rsidRDefault="00C90EE3" w:rsidP="00F3604B">
      <w:pPr>
        <w:spacing w:after="200" w:line="480" w:lineRule="auto"/>
        <w:jc w:val="left"/>
        <w:rPr>
          <w:rFonts w:cs="Times New Roman"/>
        </w:rPr>
      </w:pPr>
      <w:r>
        <w:rPr>
          <w:rFonts w:cs="Times New Roman"/>
        </w:rPr>
        <w:br w:type="page"/>
      </w:r>
    </w:p>
    <w:p w:rsidR="00C90EE3" w:rsidRPr="000D6F8D" w:rsidRDefault="00C90EE3" w:rsidP="00F3604B">
      <w:pPr>
        <w:spacing w:line="480" w:lineRule="auto"/>
        <w:rPr>
          <w:rFonts w:cs="Times New Roman"/>
          <w:lang w:val="it-IT"/>
        </w:rPr>
      </w:pPr>
      <w:r w:rsidRPr="000D6F8D">
        <w:rPr>
          <w:rFonts w:cs="Times New Roman"/>
        </w:rPr>
        <w:t xml:space="preserve">Table </w:t>
      </w:r>
      <w:r w:rsidR="002D0659">
        <w:rPr>
          <w:rFonts w:cs="Times New Roman"/>
        </w:rPr>
        <w:t>S</w:t>
      </w:r>
      <w:r w:rsidR="00B25795">
        <w:rPr>
          <w:rFonts w:cs="Times New Roman"/>
        </w:rPr>
        <w:t xml:space="preserve">6 </w:t>
      </w:r>
      <w:proofErr w:type="gramStart"/>
      <w:r w:rsidRPr="000D6F8D">
        <w:rPr>
          <w:rFonts w:cs="Times New Roman"/>
        </w:rPr>
        <w:t xml:space="preserve">Top  </w:t>
      </w:r>
      <w:r w:rsidRPr="000D6F8D">
        <w:rPr>
          <w:rFonts w:cs="Times New Roman"/>
          <w:lang w:val="it-IT"/>
        </w:rPr>
        <w:t>significa</w:t>
      </w:r>
      <w:r>
        <w:rPr>
          <w:rFonts w:cs="Times New Roman"/>
          <w:lang w:val="it-IT"/>
        </w:rPr>
        <w:t>n</w:t>
      </w:r>
      <w:r w:rsidRPr="000D6F8D">
        <w:rPr>
          <w:rFonts w:cs="Times New Roman"/>
          <w:lang w:val="it-IT"/>
        </w:rPr>
        <w:t>tly</w:t>
      </w:r>
      <w:proofErr w:type="gramEnd"/>
      <w:r w:rsidRPr="000D6F8D">
        <w:rPr>
          <w:rFonts w:cs="Times New Roman"/>
          <w:lang w:val="it-IT"/>
        </w:rPr>
        <w:t xml:space="preserve"> enriched GO BP terms in </w:t>
      </w:r>
      <w:r w:rsidR="00B25795">
        <w:rPr>
          <w:rFonts w:cs="Times New Roman"/>
          <w:lang w:val="it-IT"/>
        </w:rPr>
        <w:t>ADSC</w:t>
      </w:r>
      <w:r w:rsidRPr="000D6F8D">
        <w:rPr>
          <w:rFonts w:cs="Times New Roman"/>
          <w:lang w:val="it-IT"/>
        </w:rPr>
        <w:t xml:space="preserve"> and AFS soluble fractions</w:t>
      </w:r>
    </w:p>
    <w:tbl>
      <w:tblPr>
        <w:tblStyle w:val="LightShading"/>
        <w:tblW w:w="10632" w:type="dxa"/>
        <w:tblInd w:w="-459" w:type="dxa"/>
        <w:tblLook w:val="04A0" w:firstRow="1" w:lastRow="0" w:firstColumn="1" w:lastColumn="0" w:noHBand="0" w:noVBand="1"/>
      </w:tblPr>
      <w:tblGrid>
        <w:gridCol w:w="993"/>
        <w:gridCol w:w="1984"/>
        <w:gridCol w:w="4536"/>
        <w:gridCol w:w="3119"/>
      </w:tblGrid>
      <w:tr w:rsidR="00C90EE3" w:rsidRPr="000D6F8D" w:rsidTr="00D034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rPr>
                <w:rFonts w:eastAsia="Times New Roman" w:cs="Times New Roman"/>
                <w:color w:val="000000"/>
                <w:sz w:val="20"/>
                <w:szCs w:val="16"/>
                <w:lang w:eastAsia="en-GB"/>
              </w:rPr>
            </w:pPr>
            <w:r w:rsidRPr="000D6F8D">
              <w:rPr>
                <w:rFonts w:eastAsia="Times New Roman" w:cs="Times New Roman"/>
                <w:color w:val="000000"/>
                <w:sz w:val="20"/>
                <w:szCs w:val="16"/>
                <w:lang w:eastAsia="en-GB"/>
              </w:rPr>
              <w:t>p-value</w:t>
            </w:r>
          </w:p>
        </w:tc>
        <w:tc>
          <w:tcPr>
            <w:tcW w:w="1984" w:type="dxa"/>
            <w:noWrap/>
            <w:hideMark/>
          </w:tcPr>
          <w:p w:rsidR="00C90EE3" w:rsidRPr="000D6F8D" w:rsidRDefault="00C90EE3" w:rsidP="00F3604B">
            <w:pPr>
              <w:spacing w:line="48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6"/>
                <w:lang w:eastAsia="en-GB"/>
              </w:rPr>
            </w:pPr>
            <w:r w:rsidRPr="000D6F8D">
              <w:rPr>
                <w:rFonts w:eastAsia="Times New Roman" w:cs="Times New Roman"/>
                <w:color w:val="000000"/>
                <w:sz w:val="20"/>
                <w:szCs w:val="16"/>
                <w:lang w:eastAsia="en-GB"/>
              </w:rPr>
              <w:t>GO term ID</w:t>
            </w:r>
          </w:p>
        </w:tc>
        <w:tc>
          <w:tcPr>
            <w:tcW w:w="4536" w:type="dxa"/>
            <w:noWrap/>
            <w:hideMark/>
          </w:tcPr>
          <w:p w:rsidR="00C90EE3" w:rsidRPr="000D6F8D" w:rsidRDefault="00C90EE3" w:rsidP="00F3604B">
            <w:pPr>
              <w:spacing w:line="48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6"/>
                <w:lang w:eastAsia="en-GB"/>
              </w:rPr>
            </w:pPr>
            <w:r w:rsidRPr="000D6F8D">
              <w:rPr>
                <w:rFonts w:eastAsia="Times New Roman" w:cs="Times New Roman"/>
                <w:color w:val="000000"/>
                <w:sz w:val="20"/>
                <w:szCs w:val="16"/>
                <w:lang w:eastAsia="en-GB"/>
              </w:rPr>
              <w:t>GO term</w:t>
            </w:r>
          </w:p>
        </w:tc>
        <w:tc>
          <w:tcPr>
            <w:tcW w:w="3119" w:type="dxa"/>
            <w:noWrap/>
          </w:tcPr>
          <w:p w:rsidR="00C90EE3" w:rsidRPr="000D6F8D" w:rsidRDefault="00C90EE3" w:rsidP="00F3604B">
            <w:pPr>
              <w:spacing w:line="480" w:lineRule="auto"/>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16"/>
                <w:lang w:eastAsia="en-GB"/>
              </w:rPr>
            </w:pPr>
            <w:r w:rsidRPr="000D6F8D">
              <w:rPr>
                <w:rFonts w:eastAsia="Times New Roman" w:cs="Times New Roman"/>
                <w:color w:val="000000"/>
                <w:sz w:val="20"/>
                <w:szCs w:val="16"/>
                <w:lang w:eastAsia="en-GB"/>
              </w:rPr>
              <w:t>Semantic class</w:t>
            </w:r>
          </w:p>
        </w:tc>
      </w:tr>
      <w:tr w:rsidR="00C90EE3" w:rsidRPr="000D6F8D" w:rsidTr="00D034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0.00346</w:t>
            </w:r>
          </w:p>
        </w:tc>
        <w:tc>
          <w:tcPr>
            <w:tcW w:w="1984"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GO:0008635</w:t>
            </w:r>
          </w:p>
        </w:tc>
        <w:tc>
          <w:tcPr>
            <w:tcW w:w="4536" w:type="dxa"/>
            <w:noWrap/>
            <w:hideMark/>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activation of cysteine-type endopeptidase activity involved in apoptotic process by cytochrome c</w:t>
            </w:r>
          </w:p>
        </w:tc>
        <w:tc>
          <w:tcPr>
            <w:tcW w:w="3119" w:type="dxa"/>
          </w:tcPr>
          <w:p w:rsidR="00C90EE3" w:rsidRPr="000D6F8D" w:rsidRDefault="00C90EE3" w:rsidP="00F3604B">
            <w:pPr>
              <w:spacing w:line="480" w:lineRule="auto"/>
              <w:cnfStyle w:val="000000100000" w:firstRow="0" w:lastRow="0" w:firstColumn="0" w:lastColumn="0" w:oddVBand="0" w:evenVBand="0" w:oddHBand="1" w:evenHBand="0" w:firstRowFirstColumn="0" w:firstRowLastColumn="0" w:lastRowFirstColumn="0" w:lastRowLastColumn="0"/>
              <w:rPr>
                <w:rFonts w:cs="Times New Roman"/>
              </w:rPr>
            </w:pPr>
            <w:r w:rsidRPr="000D6F8D">
              <w:rPr>
                <w:rFonts w:cs="Times New Roman"/>
                <w:sz w:val="16"/>
              </w:rPr>
              <w:t>cell death - enzymes</w:t>
            </w:r>
          </w:p>
        </w:tc>
      </w:tr>
      <w:tr w:rsidR="00C90EE3" w:rsidRPr="000D6F8D" w:rsidTr="00D0349A">
        <w:trPr>
          <w:trHeight w:val="300"/>
        </w:trPr>
        <w:tc>
          <w:tcPr>
            <w:cnfStyle w:val="001000000000" w:firstRow="0" w:lastRow="0" w:firstColumn="1" w:lastColumn="0" w:oddVBand="0" w:evenVBand="0" w:oddHBand="0" w:evenHBand="0" w:firstRowFirstColumn="0" w:firstRowLastColumn="0" w:lastRowFirstColumn="0" w:lastRowLastColumn="0"/>
            <w:tcW w:w="993" w:type="dxa"/>
            <w:noWrap/>
          </w:tcPr>
          <w:p w:rsidR="00C90EE3" w:rsidRPr="000D6F8D" w:rsidRDefault="00C90EE3" w:rsidP="00F3604B">
            <w:pPr>
              <w:spacing w:line="480" w:lineRule="auto"/>
              <w:jc w:val="right"/>
              <w:rPr>
                <w:rFonts w:eastAsia="Times New Roman" w:cs="Times New Roman"/>
                <w:color w:val="000000"/>
                <w:sz w:val="16"/>
                <w:szCs w:val="16"/>
                <w:lang w:eastAsia="en-GB"/>
              </w:rPr>
            </w:pPr>
            <w:r w:rsidRPr="000D6F8D">
              <w:rPr>
                <w:rFonts w:eastAsia="Times New Roman" w:cs="Times New Roman"/>
                <w:color w:val="000000"/>
                <w:sz w:val="16"/>
                <w:szCs w:val="16"/>
                <w:lang w:eastAsia="en-GB"/>
              </w:rPr>
              <w:t>0.0211</w:t>
            </w:r>
          </w:p>
        </w:tc>
        <w:tc>
          <w:tcPr>
            <w:tcW w:w="1984" w:type="dxa"/>
            <w:noWrap/>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GO:0006749</w:t>
            </w:r>
          </w:p>
        </w:tc>
        <w:tc>
          <w:tcPr>
            <w:tcW w:w="4536" w:type="dxa"/>
            <w:noWrap/>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GB"/>
              </w:rPr>
            </w:pPr>
            <w:r w:rsidRPr="000D6F8D">
              <w:rPr>
                <w:rFonts w:eastAsia="Times New Roman" w:cs="Times New Roman"/>
                <w:color w:val="000000"/>
                <w:sz w:val="16"/>
                <w:szCs w:val="16"/>
                <w:lang w:eastAsia="en-GB"/>
              </w:rPr>
              <w:t>glutathione metabolic process</w:t>
            </w:r>
          </w:p>
        </w:tc>
        <w:tc>
          <w:tcPr>
            <w:tcW w:w="3119" w:type="dxa"/>
          </w:tcPr>
          <w:p w:rsidR="00C90EE3" w:rsidRPr="000D6F8D" w:rsidRDefault="00C90EE3" w:rsidP="00F3604B">
            <w:pPr>
              <w:spacing w:line="480" w:lineRule="auto"/>
              <w:cnfStyle w:val="000000000000" w:firstRow="0" w:lastRow="0" w:firstColumn="0" w:lastColumn="0" w:oddVBand="0" w:evenVBand="0" w:oddHBand="0" w:evenHBand="0" w:firstRowFirstColumn="0" w:firstRowLastColumn="0" w:lastRowFirstColumn="0" w:lastRowLastColumn="0"/>
              <w:rPr>
                <w:rFonts w:cs="Times New Roman"/>
              </w:rPr>
            </w:pPr>
            <w:r w:rsidRPr="000D6F8D">
              <w:rPr>
                <w:rFonts w:cs="Times New Roman"/>
                <w:sz w:val="16"/>
              </w:rPr>
              <w:t>metabolism</w:t>
            </w:r>
          </w:p>
        </w:tc>
      </w:tr>
    </w:tbl>
    <w:p w:rsidR="00E565C0" w:rsidRDefault="00E565C0" w:rsidP="00F3604B">
      <w:pPr>
        <w:spacing w:after="200" w:line="480" w:lineRule="auto"/>
        <w:jc w:val="left"/>
        <w:rPr>
          <w:rFonts w:eastAsiaTheme="majorEastAsia" w:cs="Times New Roman"/>
          <w:b/>
          <w:bCs/>
          <w:szCs w:val="26"/>
        </w:rPr>
      </w:pPr>
    </w:p>
    <w:p w:rsidR="00A10E32" w:rsidRPr="000D6F8D" w:rsidRDefault="00A10E32" w:rsidP="00A10E32">
      <w:pPr>
        <w:spacing w:line="480" w:lineRule="auto"/>
        <w:rPr>
          <w:rFonts w:cs="Times New Roman"/>
          <w:lang w:val="it-IT"/>
        </w:rPr>
      </w:pPr>
      <w:proofErr w:type="gramStart"/>
      <w:r w:rsidRPr="000D6F8D">
        <w:rPr>
          <w:rFonts w:cs="Times New Roman"/>
        </w:rPr>
        <w:t xml:space="preserve">Table </w:t>
      </w:r>
      <w:r w:rsidR="002D0659">
        <w:rPr>
          <w:rFonts w:cs="Times New Roman"/>
        </w:rPr>
        <w:t>S</w:t>
      </w:r>
      <w:r w:rsidR="00B25795">
        <w:rPr>
          <w:rFonts w:cs="Times New Roman"/>
        </w:rPr>
        <w:t>7</w:t>
      </w:r>
      <w:bookmarkStart w:id="0" w:name="_GoBack"/>
      <w:bookmarkEnd w:id="0"/>
      <w:r w:rsidR="00B25795">
        <w:rPr>
          <w:rFonts w:cs="Times New Roman"/>
        </w:rPr>
        <w:t xml:space="preserve"> </w:t>
      </w:r>
      <w:r>
        <w:rPr>
          <w:rFonts w:cs="Times New Roman"/>
        </w:rPr>
        <w:t>Comparison of miRNA cargo between</w:t>
      </w:r>
      <w:r w:rsidR="00B25795">
        <w:rPr>
          <w:rFonts w:cs="Times New Roman"/>
        </w:rPr>
        <w:t xml:space="preserve"> </w:t>
      </w:r>
      <w:r w:rsidR="009740B0">
        <w:rPr>
          <w:rFonts w:cs="Times New Roman"/>
          <w:lang w:val="it-IT"/>
        </w:rPr>
        <w:t xml:space="preserve">different </w:t>
      </w:r>
      <w:r w:rsidR="00B25795">
        <w:rPr>
          <w:rFonts w:cs="Times New Roman"/>
          <w:lang w:val="it-IT"/>
        </w:rPr>
        <w:t>ADSC</w:t>
      </w:r>
      <w:r w:rsidR="009740B0">
        <w:rPr>
          <w:rFonts w:cs="Times New Roman"/>
          <w:lang w:val="it-IT"/>
        </w:rPr>
        <w:t xml:space="preserve"> and AFS cell types and secretome pre-co</w:t>
      </w:r>
      <w:r w:rsidR="00B25795">
        <w:rPr>
          <w:rFonts w:cs="Times New Roman"/>
          <w:lang w:val="it-IT"/>
        </w:rPr>
        <w:t>n</w:t>
      </w:r>
      <w:r w:rsidR="009740B0">
        <w:rPr>
          <w:rFonts w:cs="Times New Roman"/>
          <w:lang w:val="it-IT"/>
        </w:rPr>
        <w:t>ditioning methods.</w:t>
      </w:r>
      <w:proofErr w:type="gramEnd"/>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25"/>
        <w:gridCol w:w="1425"/>
        <w:gridCol w:w="1860"/>
        <w:gridCol w:w="1648"/>
        <w:gridCol w:w="1521"/>
      </w:tblGrid>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B25795" w:rsidP="00D0349A">
            <w:pPr>
              <w:spacing w:after="200" w:line="276" w:lineRule="auto"/>
              <w:jc w:val="center"/>
            </w:pPr>
            <w:r w:rsidRPr="00B25795">
              <w:rPr>
                <w:b/>
                <w:bCs/>
                <w:sz w:val="22"/>
              </w:rPr>
              <w:t>ADSC</w:t>
            </w:r>
          </w:p>
        </w:tc>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AFS</w:t>
            </w:r>
          </w:p>
        </w:tc>
        <w:tc>
          <w:tcPr>
            <w:tcW w:w="1860" w:type="dxa"/>
            <w:shd w:val="clear" w:color="auto" w:fill="auto"/>
            <w:tcMar>
              <w:top w:w="7" w:type="dxa"/>
              <w:left w:w="7" w:type="dxa"/>
              <w:bottom w:w="0" w:type="dxa"/>
              <w:right w:w="7" w:type="dxa"/>
            </w:tcMar>
            <w:vAlign w:val="bottom"/>
            <w:hideMark/>
          </w:tcPr>
          <w:p w:rsidR="00A10E32" w:rsidRPr="00B25795" w:rsidRDefault="00582098" w:rsidP="00A10E32">
            <w:pPr>
              <w:spacing w:after="200" w:line="276" w:lineRule="auto"/>
              <w:jc w:val="center"/>
              <w:rPr>
                <w:b/>
              </w:rPr>
            </w:pPr>
            <w:r w:rsidRPr="00B25795">
              <w:rPr>
                <w:b/>
                <w:bCs/>
                <w:sz w:val="22"/>
              </w:rPr>
              <w:fldChar w:fldCharType="begin" w:fldLock="1"/>
            </w:r>
            <w:r w:rsidR="00A10E32" w:rsidRPr="00B25795">
              <w:rPr>
                <w:b/>
                <w:bCs/>
                <w:sz w:val="22"/>
              </w:rPr>
              <w:instrText>ADDIN CSL_CITATION { "citationItems" : [ { "id" : "ITEM-1", "itemData" : { "DOI" : "10.1371/journal.pone.0104666", "ISBN" : "1932-6203 (Electronic)\\r1932-6203 (Linking)", "ISSN" : "19326203", "PMID" : "25251394", "abstract" : "MicroRNAs have been appreciated in various cellular functions, including the regulation of angiogenesis. Mesenchymal-stem-cells (MSCs) transplanted to the MI heart improve cardiac function through paracrine-mediated angiogenesis. However, whether microRNAs regulate MSC induced angiogenesis remains to be clarified. Using microRNA microarray analysis, we identified a microRNA expression profile in hypoxia-treated MSCs and observed that among all dysregulated microRNAs, microRNA-377 was decreased the most significantly. We also validated that vascular endothelial growth factor (VEGF) is a target of microRNA-377 using dual-luciferase reporter assay and Western-blotting. Knockdown of endogenous microRNA-377 promoted tube formation in human umbilical vein endothelial cells. We then engineered rat MSCs with lentiviral vectors to either overexpress microRNA-377 (MSCmiR-377) or knockdown microRNA-377 (MSCAnti-377) to investigate whether microRNA-377 regulated MSC-induced myocardial angiogenesis, using MSCs infected with lentiviral empty vector to serve as controls (MSCNull). Four weeks after implantation of the microRNA-engineered MSCs into the infarcted rat hearts, the vessel density was significantly increased in MSCAnti-377-hearts, and this was accompanied by reduced fibrosis and improved myocardial function as compared to controls. Adverse effects were observed in MSCmiR-377-treated hearts, including reduced vessel density, impaired myocardial function, and increased fibrosis in comparison with MSCNull-group. These findings indicate that hypoxia-responsive microRNA-377 directly targets VEGF in MSCs, and knockdown of endogenous microRNA-377 promotes MSC-induced angiogenesis in the infarcted myocardium. Thus, microRNA-377 may serve as a novel therapeutic target for stem cell-based treatment of ischemic heart disease.", "author" : [ { "dropping-particle" : "", "family" : "Wen", "given" : "Zhili", "non-dropping-particle" : "", "parse-names" : false, "suffix" : "" }, { "dropping-particle" : "", "family" : "Huang", "given" : "Wei", "non-dropping-particle" : "", "parse-names" : false, "suffix" : "" }, { "dropping-particle" : "", "family" : "Feng", "given" : "Yuliang", "non-dropping-particle" : "", "parse-names" : false, "suffix" : "" }, { "dropping-particle" : "", "family" : "Cai", "given" : "Wenfeng", "non-dropping-particle" : "", "parse-names" : false, "suffix" : "" }, { "dropping-particle" : "", "family" : "Wang", "given" : "Yuhua", "non-dropping-particle" : "", "parse-names" : false, "suffix" : "" }, { "dropping-particle" : "", "family" : "Wang", "given" : "Xiaohong", "non-dropping-particle" : "", "parse-names" : false, "suffix" : "" }, { "dropping-particle" : "", "family" : "Liang", "given" : "Jialiang", "non-dropping-particle" : "", "parse-names" : false, "suffix" : "" }, { "dropping-particle" : "", "family" : "Wani", "given" : "Mashhood", "non-dropping-particle" : "", "parse-names" : false, "suffix" : "" }, { "dropping-particle" : "", "family" : "Chen", "given" : "Jing", "non-dropping-particle" : "", "parse-names" : false, "suffix" : "" }, { "dropping-particle" : "", "family" : "Zhu", "given" : "Pin", "non-dropping-particle" : "", "parse-names" : false, "suffix" : "" }, { "dropping-particle" : "", "family" : "Chen", "given" : "Ji Mei", "non-dropping-particle" : "", "parse-names" : false, "suffix" : "" }, { "dropping-particle" : "", "family" : "Millard", "given" : "Ronald W.", "non-dropping-particle" : "", "parse-names" : false, "suffix" : "" }, { "dropping-particle" : "", "family" : "Fan", "given" : "Guo Chang", "non-dropping-particle" : "", "parse-names" : false, "suffix" : "" }, { "dropping-particle" : "", "family" : "Wang", "given" : "Yigang", "non-dropping-particle" : "", "parse-names" : false, "suffix" : "" } ], "container-title" : "PLoS ONE", "id" : "ITEM-1", "issue" : "9", "issued" : { "date-parts" : [ [ "2014" ] ] }, "title" : "MicroRNA-377 regulates mesenchymal stem cell-induced angiogenesis in ischemic hearts by targeting VEGF", "type" : "article-journal", "volume" : "9" }, "uris" : [ "http://www.mendeley.com/documents/?uuid=86bd4213-0c84-40c8-964b-8bb23af3b776" ] } ], "mendeley" : { "formattedCitation" : "(Wen et al., 2014)", "plainTextFormattedCitation" : "(Wen et al., 2014)", "previouslyFormattedCitation" : "(Wen et al., 2014)" }, "properties" : { "noteIndex" : 0 }, "schema" : "https://github.com/citation-style-language/schema/raw/master/csl-citation.json" }</w:instrText>
            </w:r>
            <w:r w:rsidRPr="00B25795">
              <w:rPr>
                <w:b/>
                <w:bCs/>
                <w:sz w:val="22"/>
              </w:rPr>
              <w:fldChar w:fldCharType="separate"/>
            </w:r>
            <w:r w:rsidR="00A10E32" w:rsidRPr="00B25795">
              <w:rPr>
                <w:b/>
                <w:bCs/>
                <w:noProof/>
                <w:sz w:val="22"/>
              </w:rPr>
              <w:t>(Wen et al., 2014)</w:t>
            </w:r>
            <w:r w:rsidRPr="00B25795">
              <w:rPr>
                <w:b/>
                <w:bCs/>
                <w:sz w:val="22"/>
              </w:rPr>
              <w:fldChar w:fldCharType="end"/>
            </w:r>
          </w:p>
        </w:tc>
        <w:tc>
          <w:tcPr>
            <w:tcW w:w="3169" w:type="dxa"/>
            <w:gridSpan w:val="2"/>
            <w:shd w:val="clear" w:color="auto" w:fill="auto"/>
            <w:tcMar>
              <w:top w:w="7" w:type="dxa"/>
              <w:left w:w="7" w:type="dxa"/>
              <w:bottom w:w="0" w:type="dxa"/>
              <w:right w:w="7" w:type="dxa"/>
            </w:tcMar>
            <w:vAlign w:val="bottom"/>
            <w:hideMark/>
          </w:tcPr>
          <w:p w:rsidR="00A10E32" w:rsidRPr="00B25795" w:rsidRDefault="00582098" w:rsidP="00A10E32">
            <w:pPr>
              <w:spacing w:after="200" w:line="276" w:lineRule="auto"/>
              <w:jc w:val="center"/>
              <w:rPr>
                <w:b/>
              </w:rPr>
            </w:pPr>
            <w:r w:rsidRPr="00B25795">
              <w:rPr>
                <w:b/>
                <w:bCs/>
                <w:sz w:val="22"/>
              </w:rPr>
              <w:fldChar w:fldCharType="begin" w:fldLock="1"/>
            </w:r>
            <w:r w:rsidR="00A10E32" w:rsidRPr="00B25795">
              <w:rPr>
                <w:b/>
                <w:bCs/>
                <w:sz w:val="22"/>
              </w:rPr>
              <w:instrText>ADDIN CSL_CITATION { "citationItems" : [ { "id" : "ITEM-1", "itemData" : { "DOI" : "10.1002/sctm.16-0363", "author" : [ { "dropping-particle" : "", "family" : "Sicco", "given" : "C.", "non-dropping-particle" : "Lo", "parse-names" : false, "suffix" : "" }, { "dropping-particle" : "", "family" : "Reverberi", "given" : "D.", "non-dropping-particle" : "", "parse-names" : false, "suffix" : "" }, { "dropping-particle" : "", "family" : "Balbi", "given" : "C.", "non-dropping-particle" : "", "parse-names" : false, "suffix" : "" }, { "dropping-particle" : "", "family" : "Ulivi", "given" : "V.", "non-dropping-particle" : "", "parse-names" : false, "suffix" : "" }, { "dropping-particle" : "", "family" : "Principi", "given" : "E.", "non-dropping-particle" : "", "parse-names" : false, "suffix" : "" }, { "dropping-particle" : "", "family" : "Pascucci", "given" : "L.", "non-dropping-particle" : "", "parse-names" : false, "suffix" : "" }, { "dropping-particle" : "", "family" : "Becherini", "given" : "P.", "non-dropping-particle" : "", "parse-names" : false, "suffix" : "" }, { "dropping-particle" : "", "family" : "Bosco", "given" : "M. C.", "non-dropping-particle" : "", "parse-names" : false, "suffix" : "" }, { "dropping-particle" : "", "family" : "Varesio", "given" : "L.", "non-dropping-particle" : "", "parse-names" : false, "suffix" : "" }, { "dropping-particle" : "", "family" : "Franzin", "given" : "C.", "non-dropping-particle" : "", "parse-names" : false, "suffix" : "" }, { "dropping-particle" : "", "family" : "Pozzobon", "given" : "M", "non-dropping-particle" : "", "parse-names" : false, "suffix" : "" }, { "dropping-particle" : "", "family" : "Cancedda", "given" : "R.", "non-dropping-particle" : "", "parse-names" : false, "suffix" : "" }, { "dropping-particle" : "", "family" : "Tasso", "given" : "R.", "non-dropping-particle" : "", "parse-names" : false, "suffix" : "" } ], "container-title" : "STEM CELLS Translational Medicine", "id" : "ITEM-1", "issue" : "6(3)", "issued" : { "date-parts" : [ [ "2017" ] ] }, "page" : "1018-1028", "title" : "Mesenchymal Stem Cell-Derived Extracellular Vesicles as Mediators of Anti-Inflammatory Effects : Endorsement of Macrophage Polarization", "type" : "article-journal", "volume" : "March" }, "uris" : [ "http://www.mendeley.com/documents/?uuid=175b3495-8112-4ef9-9b22-24f3332dd282" ] } ], "mendeley" : { "formattedCitation" : "(Lo Sicco et al., 2017)", "plainTextFormattedCitation" : "(Lo Sicco et al., 2017)", "previouslyFormattedCitation" : "(Lo Sicco et al., 2017)" }, "properties" : { "noteIndex" : 0 }, "schema" : "https://github.com/citation-style-language/schema/raw/master/csl-citation.json" }</w:instrText>
            </w:r>
            <w:r w:rsidRPr="00B25795">
              <w:rPr>
                <w:b/>
                <w:bCs/>
                <w:sz w:val="22"/>
              </w:rPr>
              <w:fldChar w:fldCharType="separate"/>
            </w:r>
            <w:r w:rsidR="00A10E32" w:rsidRPr="00B25795">
              <w:rPr>
                <w:b/>
                <w:bCs/>
                <w:noProof/>
                <w:sz w:val="22"/>
              </w:rPr>
              <w:t>(Lo Sicco et al., 2017)</w:t>
            </w:r>
            <w:r w:rsidRPr="00B25795">
              <w:rPr>
                <w:b/>
                <w:bCs/>
                <w:sz w:val="22"/>
              </w:rPr>
              <w:fldChar w:fldCharType="end"/>
            </w:r>
          </w:p>
        </w:tc>
      </w:tr>
      <w:tr w:rsidR="00A10E32" w:rsidRPr="00B25795" w:rsidTr="00A10E32">
        <w:trPr>
          <w:trHeight w:val="317"/>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Top Expressed</w:t>
            </w:r>
          </w:p>
        </w:tc>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Top Expressed</w:t>
            </w:r>
          </w:p>
        </w:tc>
        <w:tc>
          <w:tcPr>
            <w:tcW w:w="1860"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Top Expressed</w:t>
            </w: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Under Expressed</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Over Expressed</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miR-4454</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miR-1273g-3p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miR-652</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miR-376c</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miR-855-5p</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miR-3960</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miR-4454</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miR-29c</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miR-708</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miR-872</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miR-1273g-3p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miR-3613-3p</w:t>
            </w:r>
          </w:p>
        </w:tc>
        <w:tc>
          <w:tcPr>
            <w:tcW w:w="1860"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miR-222</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miR-539</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miR-636</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miR-4497</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miR-3960</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miR-146a</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miR-494</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miR-628-5p</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miR-3613-3p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miR-3665</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miR-377</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miR-484</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miR-518f</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miR-3665</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miR-6087</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miR-195</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miR-411</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miR-509-5p</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miR-6089</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miR-6089</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miR-146b</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miR-382</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miR-454</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Let-7b-5p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miR-6090</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miR-92a</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miR-376a</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miR-451</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miR-6869-5p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miR-7704</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miR-323</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miR-370</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miR-374-5p</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miR-24-3p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miR-24-3p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miR-877</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miR-345</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miR-302c</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miR-6087</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miR-4787-5p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miR-466c</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miR-155</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miR-202a</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miR-4787-5p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miR-4668-5p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miR-466b</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miR-324-3p</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miR-223</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miR-145-5p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miR-6869-5p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miR-196c</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miR-301</w:t>
            </w:r>
          </w:p>
        </w:tc>
        <w:tc>
          <w:tcPr>
            <w:tcW w:w="1521"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miR-214</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miR-23a-3p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miR-4497</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miR-664</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miR-210</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miR-199a-3p</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miR-6090</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miR-23a-3p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miR-466d</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miR-196b</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miR-184</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miR-125b-5p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miR-8069</w:t>
            </w:r>
          </w:p>
        </w:tc>
        <w:tc>
          <w:tcPr>
            <w:tcW w:w="1860"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let-7b</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miR-194</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miR-150</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miR-7704</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miR-4508</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miR-685</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miR-181a</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miR-146b</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miR-221-3p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miR-6088</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miR-351</w:t>
            </w:r>
          </w:p>
        </w:tc>
        <w:tc>
          <w:tcPr>
            <w:tcW w:w="1648"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miR-149</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miR-142-3p</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miR-222-3p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miR-6729-5p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miR-3541</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miR-146a</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miR-139-5p</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miR-4668-5p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miR-6125</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miR-181c</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miR-138</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miR-133b</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miR-3196</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miR-3196</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miR-142-5p</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miR-130b</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miR-126</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miR-8069</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miR-4466</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miR-92b</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miR-127</w:t>
            </w:r>
          </w:p>
        </w:tc>
        <w:tc>
          <w:tcPr>
            <w:tcW w:w="1521"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miR-122</w:t>
            </w: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miR-31-5p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miR-5787</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miR-323</w:t>
            </w:r>
          </w:p>
        </w:tc>
        <w:tc>
          <w:tcPr>
            <w:tcW w:w="1648"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miR-100</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miR-22-3p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miR-221-3p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miR-182</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miR-99b</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miR-100-5p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miR-4516</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miR-99a</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miR-6125</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miR-1915-3p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miR-3591</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miR-34a</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miR-4466</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miR-149-3p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miR-140</w:t>
            </w:r>
          </w:p>
        </w:tc>
        <w:tc>
          <w:tcPr>
            <w:tcW w:w="1648"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miR-31</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miR-6729-5p</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miR-320a</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miR-708</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miR-30c</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miR-5100</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miR-6727-5p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miR-34c</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miR-29a</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miR-7977</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miR-222-3p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miR-872</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miR-28</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miR-1915-3p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miR-4488</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miR-450a</w:t>
            </w:r>
          </w:p>
        </w:tc>
        <w:tc>
          <w:tcPr>
            <w:tcW w:w="1648"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miR-27a</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miR-6088</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miR-103a-3p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miR-34b</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miR-210</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Let-7a-5p</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miR-320b</w:t>
            </w:r>
          </w:p>
        </w:tc>
        <w:tc>
          <w:tcPr>
            <w:tcW w:w="1860"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miR-214</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miR-20a</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miR-3178</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miR-762</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miR-3593-3p</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miR-20b</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Let-7c-5p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miR-638</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miR-210</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miR-19a</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miR-103a-3p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let-7b-5p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miR-34a</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miR-19b</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miR-4516</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miR-145-5p</w:t>
            </w:r>
          </w:p>
        </w:tc>
        <w:tc>
          <w:tcPr>
            <w:tcW w:w="1860"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miR-31</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miR-15b</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miR-3656</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miR-1237-5p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miR-542-3p</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miR-10b</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miR-27a-3p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miR-31-5p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miR-290</w:t>
            </w:r>
          </w:p>
        </w:tc>
        <w:tc>
          <w:tcPr>
            <w:tcW w:w="1648"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let-7e</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miR-16-5p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miR-100-5p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miR-532-5p</w:t>
            </w:r>
          </w:p>
        </w:tc>
        <w:tc>
          <w:tcPr>
            <w:tcW w:w="1648"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let-7d</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miR-23b-3p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miR-3656</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miR-25</w:t>
            </w:r>
          </w:p>
        </w:tc>
        <w:tc>
          <w:tcPr>
            <w:tcW w:w="1648"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let-7a</w:t>
            </w: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miR-4488</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miR-3178</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miR-130a</w:t>
            </w: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Let7e-5p</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miR-1469</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miR-31</w:t>
            </w: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miR-638</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miR-4530</w:t>
            </w:r>
          </w:p>
        </w:tc>
        <w:tc>
          <w:tcPr>
            <w:tcW w:w="1860"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miR-23b</w:t>
            </w: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miR-5787</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miR-125b-5p</w:t>
            </w:r>
          </w:p>
        </w:tc>
        <w:tc>
          <w:tcPr>
            <w:tcW w:w="1860"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miR-181a</w:t>
            </w: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miR-6727-5p</w:t>
            </w:r>
          </w:p>
        </w:tc>
        <w:tc>
          <w:tcPr>
            <w:tcW w:w="1425" w:type="dxa"/>
            <w:shd w:val="clear" w:color="auto" w:fill="C4D79B"/>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miR-23b-3p</w:t>
            </w:r>
          </w:p>
        </w:tc>
        <w:tc>
          <w:tcPr>
            <w:tcW w:w="1860"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miR-149-3p</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miR-320c</w:t>
            </w:r>
          </w:p>
        </w:tc>
        <w:tc>
          <w:tcPr>
            <w:tcW w:w="1860"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miR-4508</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miR-107</w:t>
            </w:r>
          </w:p>
        </w:tc>
        <w:tc>
          <w:tcPr>
            <w:tcW w:w="1860"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miR-1260b</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miR-92a-3p</w:t>
            </w:r>
          </w:p>
        </w:tc>
        <w:tc>
          <w:tcPr>
            <w:tcW w:w="1860"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miR-214-3p</w:t>
            </w:r>
          </w:p>
        </w:tc>
        <w:tc>
          <w:tcPr>
            <w:tcW w:w="1425" w:type="dxa"/>
            <w:shd w:val="clear" w:color="auto" w:fill="FF6565"/>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sz w:val="22"/>
              </w:rPr>
              <w:t>miR-8072</w:t>
            </w:r>
          </w:p>
        </w:tc>
        <w:tc>
          <w:tcPr>
            <w:tcW w:w="1860"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c>
          <w:tcPr>
            <w:tcW w:w="1521"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p>
        </w:tc>
      </w:tr>
      <w:tr w:rsidR="00A10E32" w:rsidRPr="00B25795" w:rsidTr="00A10E32">
        <w:trPr>
          <w:trHeight w:val="134"/>
          <w:jc w:val="center"/>
        </w:trPr>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NA</w:t>
            </w:r>
          </w:p>
        </w:tc>
        <w:tc>
          <w:tcPr>
            <w:tcW w:w="1425"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80.0%</w:t>
            </w:r>
          </w:p>
        </w:tc>
        <w:tc>
          <w:tcPr>
            <w:tcW w:w="1860"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11.1%</w:t>
            </w:r>
          </w:p>
        </w:tc>
        <w:tc>
          <w:tcPr>
            <w:tcW w:w="1648" w:type="dxa"/>
            <w:shd w:val="clear" w:color="auto" w:fill="auto"/>
            <w:tcMar>
              <w:top w:w="7" w:type="dxa"/>
              <w:left w:w="7" w:type="dxa"/>
              <w:bottom w:w="0" w:type="dxa"/>
              <w:right w:w="7" w:type="dxa"/>
            </w:tcMar>
            <w:vAlign w:val="bottom"/>
            <w:hideMark/>
          </w:tcPr>
          <w:p w:rsidR="00A10E32" w:rsidRPr="00B25795" w:rsidRDefault="00A10E32" w:rsidP="00D0349A">
            <w:pPr>
              <w:spacing w:after="200" w:line="276" w:lineRule="auto"/>
              <w:jc w:val="center"/>
            </w:pPr>
            <w:r w:rsidRPr="00B25795">
              <w:rPr>
                <w:b/>
                <w:bCs/>
                <w:sz w:val="22"/>
              </w:rPr>
              <w:t>14.6%</w:t>
            </w:r>
          </w:p>
        </w:tc>
        <w:tc>
          <w:tcPr>
            <w:tcW w:w="1521" w:type="dxa"/>
            <w:shd w:val="clear" w:color="auto" w:fill="auto"/>
            <w:tcMar>
              <w:top w:w="7" w:type="dxa"/>
              <w:left w:w="7" w:type="dxa"/>
              <w:bottom w:w="0" w:type="dxa"/>
              <w:right w:w="7" w:type="dxa"/>
            </w:tcMar>
            <w:vAlign w:val="bottom"/>
            <w:hideMark/>
          </w:tcPr>
          <w:p w:rsidR="00A10E32" w:rsidRPr="00B25795" w:rsidRDefault="00A10E32" w:rsidP="00A10E32">
            <w:pPr>
              <w:spacing w:after="200" w:line="276" w:lineRule="auto"/>
              <w:jc w:val="center"/>
            </w:pPr>
            <w:r w:rsidRPr="00B25795">
              <w:rPr>
                <w:b/>
                <w:bCs/>
                <w:sz w:val="22"/>
              </w:rPr>
              <w:t>4.6%</w:t>
            </w:r>
          </w:p>
        </w:tc>
      </w:tr>
    </w:tbl>
    <w:p w:rsidR="00A10E32" w:rsidRDefault="00A10E32" w:rsidP="00F3604B">
      <w:pPr>
        <w:spacing w:after="200" w:line="480" w:lineRule="auto"/>
        <w:jc w:val="left"/>
        <w:rPr>
          <w:rFonts w:eastAsiaTheme="majorEastAsia" w:cs="Times New Roman"/>
          <w:b/>
          <w:bCs/>
          <w:szCs w:val="26"/>
        </w:rPr>
      </w:pPr>
    </w:p>
    <w:p w:rsidR="00B25795" w:rsidRDefault="00B25795" w:rsidP="00F3604B">
      <w:pPr>
        <w:spacing w:after="200" w:line="480" w:lineRule="auto"/>
        <w:jc w:val="left"/>
        <w:rPr>
          <w:rFonts w:eastAsiaTheme="majorEastAsia" w:cs="Times New Roman"/>
          <w:b/>
          <w:bCs/>
          <w:szCs w:val="26"/>
        </w:rPr>
      </w:pPr>
      <w:proofErr w:type="gramStart"/>
      <w:r>
        <w:rPr>
          <w:rFonts w:eastAsiaTheme="majorEastAsia" w:cs="Times New Roman"/>
          <w:b/>
          <w:bCs/>
          <w:szCs w:val="26"/>
        </w:rPr>
        <w:t>Supplementary References.</w:t>
      </w:r>
      <w:proofErr w:type="gramEnd"/>
    </w:p>
    <w:p w:rsidR="00B25795" w:rsidRPr="00B25795" w:rsidRDefault="00582098">
      <w:pPr>
        <w:pStyle w:val="NormalWeb"/>
        <w:ind w:left="480" w:hanging="480"/>
        <w:divId w:val="1302418585"/>
        <w:rPr>
          <w:noProof/>
        </w:rPr>
      </w:pPr>
      <w:r>
        <w:rPr>
          <w:rFonts w:eastAsiaTheme="majorEastAsia"/>
          <w:b/>
          <w:bCs/>
          <w:szCs w:val="26"/>
        </w:rPr>
        <w:fldChar w:fldCharType="begin" w:fldLock="1"/>
      </w:r>
      <w:r w:rsidR="00A10E32">
        <w:rPr>
          <w:rFonts w:eastAsiaTheme="majorEastAsia"/>
          <w:b/>
          <w:bCs/>
          <w:szCs w:val="26"/>
        </w:rPr>
        <w:instrText xml:space="preserve">ADDIN Mendeley Bibliography CSL_BIBLIOGRAPHY </w:instrText>
      </w:r>
      <w:r>
        <w:rPr>
          <w:rFonts w:eastAsiaTheme="majorEastAsia"/>
          <w:b/>
          <w:bCs/>
          <w:szCs w:val="26"/>
        </w:rPr>
        <w:fldChar w:fldCharType="separate"/>
      </w:r>
      <w:r w:rsidR="00B25795" w:rsidRPr="00B25795">
        <w:rPr>
          <w:noProof/>
        </w:rPr>
        <w:t xml:space="preserve">Cheng, L., Zhang, K., Wu, S., Cui, M., &amp; Xu, T. (2017). Focus on mesenchymal stem cell-derived exosomes: Opportunities and challenges in cell-free therapy. </w:t>
      </w:r>
      <w:r w:rsidR="00B25795" w:rsidRPr="00B25795">
        <w:rPr>
          <w:i/>
          <w:iCs/>
          <w:noProof/>
        </w:rPr>
        <w:t>Stem Cells International</w:t>
      </w:r>
      <w:r w:rsidR="00B25795" w:rsidRPr="00B25795">
        <w:rPr>
          <w:noProof/>
        </w:rPr>
        <w:t>. http://doi.org/10.1155/2017/6305295</w:t>
      </w:r>
    </w:p>
    <w:p w:rsidR="00B25795" w:rsidRPr="00B25795" w:rsidRDefault="00B25795">
      <w:pPr>
        <w:pStyle w:val="NormalWeb"/>
        <w:ind w:left="480" w:hanging="480"/>
        <w:divId w:val="1302418585"/>
        <w:rPr>
          <w:noProof/>
        </w:rPr>
      </w:pPr>
      <w:r w:rsidRPr="00B25795">
        <w:rPr>
          <w:noProof/>
        </w:rPr>
        <w:t xml:space="preserve">Koniusz, S., Andrzejewska, A., Muraca, M., Srivastava, A. K., Janowski, M., &amp; Lukomska, B. (2016). Extracellular Vesicles in Physiology, Pathology, and Therapy of the Immune and Central Nervous System, with Focus on Extracellular Vesicles Derived from Mesenchymal Stem Cells as Therapeutic Tools. </w:t>
      </w:r>
      <w:r w:rsidRPr="00B25795">
        <w:rPr>
          <w:i/>
          <w:iCs/>
          <w:noProof/>
        </w:rPr>
        <w:t>Frontiers in Cellular Neuroscience</w:t>
      </w:r>
      <w:r w:rsidRPr="00B25795">
        <w:rPr>
          <w:noProof/>
        </w:rPr>
        <w:t xml:space="preserve">, </w:t>
      </w:r>
      <w:r w:rsidRPr="00B25795">
        <w:rPr>
          <w:i/>
          <w:iCs/>
          <w:noProof/>
        </w:rPr>
        <w:t>10</w:t>
      </w:r>
      <w:r w:rsidRPr="00B25795">
        <w:rPr>
          <w:noProof/>
        </w:rPr>
        <w:t>. http://doi.org/10.3389/fncel.2016.00109</w:t>
      </w:r>
    </w:p>
    <w:p w:rsidR="00B25795" w:rsidRPr="00B25795" w:rsidRDefault="00B25795">
      <w:pPr>
        <w:pStyle w:val="NormalWeb"/>
        <w:ind w:left="480" w:hanging="480"/>
        <w:divId w:val="1302418585"/>
        <w:rPr>
          <w:noProof/>
        </w:rPr>
      </w:pPr>
      <w:r w:rsidRPr="00B25795">
        <w:rPr>
          <w:noProof/>
        </w:rPr>
        <w:t xml:space="preserve">Lo Sicco, C., Reverberi, D., Balbi, C., Ulivi, V., Principi, E., Pascucci, L., … Tasso, R. (2017). Mesenchymal Stem Cell-Derived Extracellular Vesicles as Mediators of Anti-Inflammatory Effects : Endorsement of Macrophage Polarization. </w:t>
      </w:r>
      <w:r w:rsidRPr="00B25795">
        <w:rPr>
          <w:i/>
          <w:iCs/>
          <w:noProof/>
        </w:rPr>
        <w:t>STEM CELLS Translational Medicine</w:t>
      </w:r>
      <w:r w:rsidRPr="00B25795">
        <w:rPr>
          <w:noProof/>
        </w:rPr>
        <w:t xml:space="preserve">, </w:t>
      </w:r>
      <w:r w:rsidRPr="00B25795">
        <w:rPr>
          <w:i/>
          <w:iCs/>
          <w:noProof/>
        </w:rPr>
        <w:t>March</w:t>
      </w:r>
      <w:r w:rsidRPr="00B25795">
        <w:rPr>
          <w:noProof/>
        </w:rPr>
        <w:t>(6(3)), 1018–1028. http://doi.org/10.1002/sctm.16-0363</w:t>
      </w:r>
    </w:p>
    <w:p w:rsidR="00B25795" w:rsidRPr="00B25795" w:rsidRDefault="00B25795">
      <w:pPr>
        <w:pStyle w:val="NormalWeb"/>
        <w:ind w:left="480" w:hanging="480"/>
        <w:divId w:val="1302418585"/>
        <w:rPr>
          <w:noProof/>
        </w:rPr>
      </w:pPr>
      <w:r w:rsidRPr="00B25795">
        <w:rPr>
          <w:noProof/>
        </w:rPr>
        <w:t xml:space="preserve">Sarvar, D. P., Shamsasenjan, K., &amp; Akbarzadehlaleh, P. (2016). Mesenchymal stem cell-derived exosomes: New opportunity in cell-free therapy. </w:t>
      </w:r>
      <w:r w:rsidRPr="00B25795">
        <w:rPr>
          <w:i/>
          <w:iCs/>
          <w:noProof/>
        </w:rPr>
        <w:t>Advanced Pharmaceutical Bulletin</w:t>
      </w:r>
      <w:r w:rsidRPr="00B25795">
        <w:rPr>
          <w:noProof/>
        </w:rPr>
        <w:t xml:space="preserve">, </w:t>
      </w:r>
      <w:r w:rsidRPr="00B25795">
        <w:rPr>
          <w:i/>
          <w:iCs/>
          <w:noProof/>
        </w:rPr>
        <w:t>6</w:t>
      </w:r>
      <w:r w:rsidRPr="00B25795">
        <w:rPr>
          <w:noProof/>
        </w:rPr>
        <w:t>(3), 293–299. http://doi.org/10.15171/apb.2016.041</w:t>
      </w:r>
    </w:p>
    <w:p w:rsidR="00B25795" w:rsidRPr="00B25795" w:rsidRDefault="00B25795">
      <w:pPr>
        <w:pStyle w:val="NormalWeb"/>
        <w:ind w:left="480" w:hanging="480"/>
        <w:divId w:val="1302418585"/>
        <w:rPr>
          <w:noProof/>
        </w:rPr>
      </w:pPr>
      <w:r w:rsidRPr="00B25795">
        <w:rPr>
          <w:noProof/>
        </w:rPr>
        <w:t xml:space="preserve">Wen, Z., Huang, W., Feng, Y., Cai, W., Wang, Y., Wang, X., … Wang, Y. (2014). MicroRNA-377 regulates mesenchymal stem cell-induced angiogenesis in ischemic hearts by targeting VEGF. </w:t>
      </w:r>
      <w:r w:rsidRPr="00B25795">
        <w:rPr>
          <w:i/>
          <w:iCs/>
          <w:noProof/>
        </w:rPr>
        <w:t>PLoS ONE</w:t>
      </w:r>
      <w:r w:rsidRPr="00B25795">
        <w:rPr>
          <w:noProof/>
        </w:rPr>
        <w:t xml:space="preserve">, </w:t>
      </w:r>
      <w:r w:rsidRPr="00B25795">
        <w:rPr>
          <w:i/>
          <w:iCs/>
          <w:noProof/>
        </w:rPr>
        <w:t>9</w:t>
      </w:r>
      <w:r w:rsidRPr="00B25795">
        <w:rPr>
          <w:noProof/>
        </w:rPr>
        <w:t>(9). http://doi.org/10.1371/journal.pone.0104666</w:t>
      </w:r>
    </w:p>
    <w:p w:rsidR="00A10E32" w:rsidRPr="00C90EE3" w:rsidRDefault="00582098" w:rsidP="00B25795">
      <w:pPr>
        <w:widowControl w:val="0"/>
        <w:autoSpaceDE w:val="0"/>
        <w:autoSpaceDN w:val="0"/>
        <w:adjustRightInd w:val="0"/>
        <w:spacing w:after="200" w:line="480" w:lineRule="auto"/>
        <w:ind w:left="480" w:hanging="480"/>
        <w:rPr>
          <w:rFonts w:eastAsiaTheme="majorEastAsia" w:cs="Times New Roman"/>
          <w:b/>
          <w:bCs/>
          <w:szCs w:val="26"/>
        </w:rPr>
      </w:pPr>
      <w:r>
        <w:rPr>
          <w:rFonts w:eastAsiaTheme="majorEastAsia" w:cs="Times New Roman"/>
          <w:b/>
          <w:bCs/>
          <w:szCs w:val="26"/>
        </w:rPr>
        <w:fldChar w:fldCharType="end"/>
      </w:r>
    </w:p>
    <w:sectPr w:rsidR="00A10E32" w:rsidRPr="00C90EE3" w:rsidSect="00582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2"/>
  </w:compat>
  <w:docVars>
    <w:docVar w:name="Total_Editing_Time" w:val="2"/>
  </w:docVars>
  <w:rsids>
    <w:rsidRoot w:val="00C90EE3"/>
    <w:rsid w:val="002D0659"/>
    <w:rsid w:val="00582098"/>
    <w:rsid w:val="009740B0"/>
    <w:rsid w:val="00A10E32"/>
    <w:rsid w:val="00B25795"/>
    <w:rsid w:val="00C90EE3"/>
    <w:rsid w:val="00D0349A"/>
    <w:rsid w:val="00E565C0"/>
    <w:rsid w:val="00F360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E3"/>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90E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lfuvd">
    <w:name w:val="ilfuvd"/>
    <w:basedOn w:val="DefaultParagraphFont"/>
    <w:rsid w:val="00D0349A"/>
  </w:style>
  <w:style w:type="table" w:styleId="TableGrid">
    <w:name w:val="Table Grid"/>
    <w:basedOn w:val="TableNormal"/>
    <w:uiPriority w:val="59"/>
    <w:rsid w:val="00D0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5795"/>
    <w:pPr>
      <w:spacing w:before="100" w:beforeAutospacing="1" w:after="100" w:afterAutospacing="1"/>
      <w:jc w:val="left"/>
    </w:pPr>
    <w:rPr>
      <w:rFonts w:eastAsiaTheme="minorEastAsia"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E3"/>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90E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42A5-4B91-4BF1-9CDD-A79A2339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5500</Words>
  <Characters>38227</Characters>
  <Application>Microsoft Office Word</Application>
  <DocSecurity>0</DocSecurity>
  <Lines>3475</Lines>
  <Paragraphs>3123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Mitchell</dc:creator>
  <cp:lastModifiedBy>HEALCANCIA</cp:lastModifiedBy>
  <cp:revision>3</cp:revision>
  <dcterms:created xsi:type="dcterms:W3CDTF">2019-01-25T19:54:00Z</dcterms:created>
  <dcterms:modified xsi:type="dcterms:W3CDTF">2019-03-15T12:53:00Z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d0fff19d-a235-36e2-a046-b031ade56c9c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ser Name_1">
    <vt:lpwstr>robmitchell1@gmail.com@www.mendeley.com</vt:lpwstr>
  </property>
</Properties>
</file>