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0" w:rsidRPr="00635C20" w:rsidRDefault="001C341F" w:rsidP="00635C20">
      <w:pPr>
        <w:spacing w:line="480" w:lineRule="auto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AA408F">
        <w:rPr>
          <w:rFonts w:ascii="Arial" w:hAnsi="Arial" w:cs="Arial"/>
          <w:b/>
        </w:rPr>
        <w:t>Tables</w:t>
      </w:r>
    </w:p>
    <w:tbl>
      <w:tblPr>
        <w:tblStyle w:val="TableGrid2"/>
        <w:tblpPr w:leftFromText="180" w:rightFromText="180" w:vertAnchor="text" w:horzAnchor="page" w:tblpX="1630" w:tblpY="112"/>
        <w:tblW w:w="8365" w:type="dxa"/>
        <w:tblLook w:val="04A0"/>
      </w:tblPr>
      <w:tblGrid>
        <w:gridCol w:w="2515"/>
        <w:gridCol w:w="1980"/>
        <w:gridCol w:w="2070"/>
        <w:gridCol w:w="1800"/>
      </w:tblGrid>
      <w:tr w:rsidR="00635C20" w:rsidRPr="006734CF" w:rsidTr="007E46CC">
        <w:trPr>
          <w:trHeight w:val="194"/>
        </w:trPr>
        <w:tc>
          <w:tcPr>
            <w:tcW w:w="8365" w:type="dxa"/>
            <w:gridSpan w:val="4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bCs/>
                <w:color w:val="000000" w:themeColor="text1"/>
                <w:kern w:val="24"/>
              </w:rPr>
              <w:t>S</w:t>
            </w:r>
            <w:r w:rsidR="00955B6C">
              <w:rPr>
                <w:rFonts w:ascii="Arial" w:hAnsi="Arial" w:cs="Arial"/>
                <w:bCs/>
                <w:color w:val="000000" w:themeColor="text1"/>
                <w:kern w:val="24"/>
              </w:rPr>
              <w:t>1</w:t>
            </w:r>
            <w:proofErr w:type="spellEnd"/>
            <w:r w:rsidRPr="005254EE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 – Mutational Testing and Patient Characteristics of Registry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br w:type="page"/>
            </w:r>
          </w:p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Known Mutation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Unknown Mutation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 w:rsidRPr="005254EE">
              <w:rPr>
                <w:rFonts w:ascii="Arial" w:eastAsia="Calibri" w:hAnsi="Arial" w:cs="Arial"/>
                <w:color w:val="000000"/>
                <w:kern w:val="24"/>
              </w:rPr>
              <w:t>Total</w:t>
            </w:r>
          </w:p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eastAsia="Calibri" w:hAnsi="Arial" w:cs="Arial"/>
                <w:color w:val="000000"/>
                <w:kern w:val="24"/>
              </w:rPr>
              <w:t>(% of total)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Patients (all)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739 (43.2%)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970 (56.8%)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eastAsia="Calibri" w:hAnsi="Arial" w:cs="Arial"/>
                <w:color w:val="000000"/>
                <w:kern w:val="24"/>
              </w:rPr>
              <w:t>1709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Female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392 (53.0%)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465 (47.9%)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857 (50.1%)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Male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347 (47.0%)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505 (52.1%)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852 (49.9%)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Alive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544 (50.6%)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532 (49.4%)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1076 (63.0%)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Deceased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195 (30.8%)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438 (69.2%)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633 (37.0%)</w:t>
            </w:r>
          </w:p>
        </w:tc>
      </w:tr>
      <w:tr w:rsidR="00635C20" w:rsidRPr="006734CF" w:rsidTr="007E46CC">
        <w:trPr>
          <w:trHeight w:val="218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Age at diagnosis category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&lt;18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23 (56.1%)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18 (43.9%)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41 (2.4%)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18-35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81 (49.1%)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84 (50.9%)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165 (9.7%)</w:t>
            </w:r>
          </w:p>
        </w:tc>
      </w:tr>
      <w:tr w:rsidR="00635C20" w:rsidRPr="006734CF" w:rsidTr="007E46CC">
        <w:trPr>
          <w:trHeight w:val="206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&gt;35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634 (42.4%)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863 (57.6%)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1497 (87.6%)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Unknown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 (16.7%)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 (83.3%)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 (0.4%)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F06A6" w:rsidP="007E46CC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Median</w:t>
            </w:r>
            <w:r w:rsidR="00635C20"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980" w:type="dxa"/>
            <w:hideMark/>
          </w:tcPr>
          <w:p w:rsidR="00635C20" w:rsidRPr="005254EE" w:rsidRDefault="0057751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50.7 yrs</w:t>
            </w:r>
          </w:p>
        </w:tc>
        <w:tc>
          <w:tcPr>
            <w:tcW w:w="2070" w:type="dxa"/>
            <w:hideMark/>
          </w:tcPr>
          <w:p w:rsidR="00635C20" w:rsidRPr="005254EE" w:rsidRDefault="0057751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51.4 yrs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57751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 yrs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Diagnosis year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&lt;2000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58 (31.2%)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128 (68.8%)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186 (10.9%)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2000-2006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266 (35%)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495 (65%)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761 (44.5%)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2007-2012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335 (52.2%)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307 (47.8%)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642 (37.6%)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2013-2017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80 (67.2%)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39 (22.8%)</w:t>
            </w:r>
          </w:p>
        </w:tc>
        <w:tc>
          <w:tcPr>
            <w:tcW w:w="1800" w:type="dxa"/>
            <w:shd w:val="clear" w:color="auto" w:fill="auto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119 (7.0%)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Stage at Diagnosis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Single Tumor at Diagnosis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511 (42.7%)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684 (57.2%)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1195 (70.0%)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Mets at Diagnosis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204 (43.8%)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262 (56.2%)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466 (27.3%)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Multi-focal at diagnosis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22 (55%)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 (45%)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42 (2.5%)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Unknown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 (33.3%)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4 (66.7%)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 (0.4%)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Had Adjuvant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278 (54.9%)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228 (45.1%)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506 (29.6%)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1M treatment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457 (42.5%)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619 (57.5%)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1076 (63%)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2000-2005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160(28.9%)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393 (71.1%)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553 (51.4%)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2006-2012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244 (54.6%)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203 (45.4%)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447 (41.5%)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2013-2017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53 (69.7%)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23 (30.3%)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76 (7.1%)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2L treatment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</w:tr>
      <w:tr w:rsidR="00635C20" w:rsidRPr="006734CF" w:rsidTr="007E46CC">
        <w:trPr>
          <w:trHeight w:val="218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2002-2006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52 (27.7%)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136 (72.3%)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188 (35.7%)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2007-2012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154 (61.1%) 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98 (38.9%)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252 (47.9%)</w:t>
            </w:r>
          </w:p>
        </w:tc>
      </w:tr>
      <w:tr w:rsidR="00635C20" w:rsidRPr="006734CF" w:rsidTr="007E46CC">
        <w:trPr>
          <w:trHeight w:val="194"/>
        </w:trPr>
        <w:tc>
          <w:tcPr>
            <w:tcW w:w="2515" w:type="dxa"/>
            <w:hideMark/>
          </w:tcPr>
          <w:p w:rsidR="00635C20" w:rsidRPr="005254EE" w:rsidRDefault="00635C20" w:rsidP="007E46CC">
            <w:pPr>
              <w:ind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2013-2017</w:t>
            </w:r>
          </w:p>
        </w:tc>
        <w:tc>
          <w:tcPr>
            <w:tcW w:w="198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 61 (70.9%)</w:t>
            </w:r>
          </w:p>
        </w:tc>
        <w:tc>
          <w:tcPr>
            <w:tcW w:w="2070" w:type="dxa"/>
            <w:hideMark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/>
                <w:kern w:val="24"/>
              </w:rPr>
              <w:t>25 (29.1%)</w:t>
            </w:r>
          </w:p>
        </w:tc>
        <w:tc>
          <w:tcPr>
            <w:tcW w:w="1800" w:type="dxa"/>
            <w:hideMark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86 (16.3%)</w:t>
            </w:r>
          </w:p>
        </w:tc>
      </w:tr>
    </w:tbl>
    <w:p w:rsidR="00635C20" w:rsidRPr="005254EE" w:rsidRDefault="00635C20" w:rsidP="00635C20">
      <w:pPr>
        <w:spacing w:line="480" w:lineRule="auto"/>
        <w:ind w:firstLine="0"/>
        <w:rPr>
          <w:rFonts w:ascii="Arial" w:hAnsi="Arial" w:cs="Arial"/>
        </w:rPr>
      </w:pPr>
    </w:p>
    <w:p w:rsidR="005540AC" w:rsidRDefault="005540A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2"/>
        <w:tblW w:w="0" w:type="auto"/>
        <w:tblLayout w:type="fixed"/>
        <w:tblLook w:val="04A0"/>
      </w:tblPr>
      <w:tblGrid>
        <w:gridCol w:w="1975"/>
        <w:gridCol w:w="4140"/>
      </w:tblGrid>
      <w:tr w:rsidR="005540AC" w:rsidRPr="006734CF" w:rsidTr="001B41D1">
        <w:trPr>
          <w:trHeight w:val="296"/>
        </w:trPr>
        <w:tc>
          <w:tcPr>
            <w:tcW w:w="6115" w:type="dxa"/>
            <w:gridSpan w:val="2"/>
            <w:noWrap/>
          </w:tcPr>
          <w:p w:rsidR="005540AC" w:rsidRPr="005254EE" w:rsidRDefault="005540AC" w:rsidP="009A336C">
            <w:pPr>
              <w:ind w:firstLine="0"/>
              <w:jc w:val="both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lastRenderedPageBreak/>
              <w:t xml:space="preserve">Table </w:t>
            </w:r>
            <w:proofErr w:type="spellStart"/>
            <w:r w:rsidR="001C341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2</w:t>
            </w:r>
            <w:proofErr w:type="spellEnd"/>
            <w:r w:rsidRPr="005254EE">
              <w:rPr>
                <w:rFonts w:ascii="Arial" w:hAnsi="Arial" w:cs="Arial"/>
              </w:rPr>
              <w:t xml:space="preserve"> - Treatments by Treatment Line</w:t>
            </w:r>
          </w:p>
        </w:tc>
      </w:tr>
      <w:tr w:rsidR="005540AC" w:rsidRPr="006734CF" w:rsidTr="001B41D1">
        <w:trPr>
          <w:trHeight w:val="296"/>
        </w:trPr>
        <w:tc>
          <w:tcPr>
            <w:tcW w:w="1975" w:type="dxa"/>
            <w:noWrap/>
          </w:tcPr>
          <w:p w:rsidR="005540AC" w:rsidRPr="005254EE" w:rsidRDefault="005540AC" w:rsidP="009A336C">
            <w:pPr>
              <w:ind w:firstLine="0"/>
              <w:jc w:val="both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Treatment Line</w:t>
            </w:r>
          </w:p>
        </w:tc>
        <w:tc>
          <w:tcPr>
            <w:tcW w:w="4140" w:type="dxa"/>
            <w:noWrap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No. of Treatments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1M*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1076</w:t>
            </w:r>
          </w:p>
        </w:tc>
      </w:tr>
      <w:tr w:rsidR="005540AC" w:rsidRPr="006734CF" w:rsidTr="001B41D1">
        <w:trPr>
          <w:trHeight w:val="305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1A †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506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1N‡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102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526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344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213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144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92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52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8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24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18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12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  <w:hideMark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</w:t>
            </w:r>
          </w:p>
        </w:tc>
        <w:tc>
          <w:tcPr>
            <w:tcW w:w="4140" w:type="dxa"/>
            <w:noWrap/>
            <w:hideMark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</w:t>
            </w:r>
          </w:p>
        </w:tc>
      </w:tr>
      <w:tr w:rsidR="005540AC" w:rsidRPr="006734CF" w:rsidTr="001B41D1">
        <w:trPr>
          <w:trHeight w:val="280"/>
        </w:trPr>
        <w:tc>
          <w:tcPr>
            <w:tcW w:w="1975" w:type="dxa"/>
            <w:noWrap/>
          </w:tcPr>
          <w:p w:rsidR="005540AC" w:rsidRPr="005254EE" w:rsidRDefault="005540AC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Other</w:t>
            </w:r>
          </w:p>
        </w:tc>
        <w:tc>
          <w:tcPr>
            <w:tcW w:w="4140" w:type="dxa"/>
            <w:noWrap/>
          </w:tcPr>
          <w:p w:rsidR="005540AC" w:rsidRPr="005254EE" w:rsidRDefault="005540AC" w:rsidP="009A336C">
            <w:pPr>
              <w:ind w:right="481" w:firstLine="0"/>
              <w:jc w:val="right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135</w:t>
            </w:r>
          </w:p>
        </w:tc>
      </w:tr>
      <w:tr w:rsidR="005540AC" w:rsidRPr="006734CF" w:rsidTr="001B41D1">
        <w:trPr>
          <w:trHeight w:val="280"/>
        </w:trPr>
        <w:tc>
          <w:tcPr>
            <w:tcW w:w="6115" w:type="dxa"/>
            <w:gridSpan w:val="2"/>
            <w:noWrap/>
          </w:tcPr>
          <w:p w:rsidR="005540AC" w:rsidRPr="005254EE" w:rsidRDefault="005540AC" w:rsidP="009A336C">
            <w:pPr>
              <w:ind w:right="481"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*1M = 1L treatment for advanced/metastatic GIST</w:t>
            </w:r>
          </w:p>
          <w:p w:rsidR="005540AC" w:rsidRPr="005254EE" w:rsidRDefault="005540AC" w:rsidP="009A336C">
            <w:pPr>
              <w:ind w:right="481"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†1A = 1L adjuvant treatment</w:t>
            </w:r>
          </w:p>
          <w:p w:rsidR="005540AC" w:rsidRPr="005254EE" w:rsidRDefault="005540AC" w:rsidP="009A336C">
            <w:pPr>
              <w:ind w:right="481"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‡1N = 1L neoadjuvant treatment</w:t>
            </w:r>
          </w:p>
        </w:tc>
      </w:tr>
    </w:tbl>
    <w:p w:rsidR="00C8746E" w:rsidRDefault="00C8746E" w:rsidP="00635C20">
      <w:pPr>
        <w:spacing w:line="480" w:lineRule="auto"/>
        <w:ind w:firstLine="0"/>
        <w:rPr>
          <w:rFonts w:ascii="Arial" w:hAnsi="Arial" w:cs="Arial"/>
        </w:rPr>
      </w:pPr>
    </w:p>
    <w:tbl>
      <w:tblPr>
        <w:tblStyle w:val="TableGrid2"/>
        <w:tblW w:w="0" w:type="auto"/>
        <w:tblCellMar>
          <w:left w:w="115" w:type="dxa"/>
          <w:right w:w="115" w:type="dxa"/>
        </w:tblCellMar>
        <w:tblLook w:val="04A0"/>
      </w:tblPr>
      <w:tblGrid>
        <w:gridCol w:w="1975"/>
        <w:gridCol w:w="1679"/>
        <w:gridCol w:w="2011"/>
        <w:gridCol w:w="2160"/>
      </w:tblGrid>
      <w:tr w:rsidR="00CB7169" w:rsidRPr="006734CF" w:rsidTr="001B41D1">
        <w:trPr>
          <w:trHeight w:val="289"/>
        </w:trPr>
        <w:tc>
          <w:tcPr>
            <w:tcW w:w="7825" w:type="dxa"/>
            <w:gridSpan w:val="4"/>
            <w:noWrap/>
          </w:tcPr>
          <w:p w:rsidR="00CB7169" w:rsidRPr="005254EE" w:rsidRDefault="00CB7169" w:rsidP="009A336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color w:val="000000" w:themeColor="text1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proofErr w:type="spellEnd"/>
            <w:r w:rsidRPr="005254E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525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Single agent r</w:t>
            </w:r>
            <w:r w:rsidRPr="005254EE">
              <w:rPr>
                <w:rFonts w:ascii="Arial" w:hAnsi="Arial" w:cs="Arial"/>
              </w:rPr>
              <w:t>egorafenib use in LRG registry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</w:tcPr>
          <w:p w:rsidR="00CB7169" w:rsidRPr="005254EE" w:rsidRDefault="00CB7169" w:rsidP="009A336C">
            <w:pPr>
              <w:ind w:firstLine="0"/>
              <w:jc w:val="both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Treatment Line</w:t>
            </w:r>
          </w:p>
        </w:tc>
        <w:tc>
          <w:tcPr>
            <w:tcW w:w="1679" w:type="dxa"/>
            <w:noWrap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No. of patients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Median OS (mo.)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Median srPFS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56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 xml:space="preserve">26.2 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9.0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24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25.4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7.3</w:t>
            </w:r>
          </w:p>
        </w:tc>
      </w:tr>
      <w:tr w:rsidR="00CB7169" w:rsidRPr="006734CF" w:rsidTr="001B41D1">
        <w:trPr>
          <w:trHeight w:val="305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13.3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7.0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14.4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Undefined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19.8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6.1</w:t>
            </w:r>
          </w:p>
        </w:tc>
      </w:tr>
      <w:tr w:rsidR="00CB7169" w:rsidRPr="006734CF" w:rsidTr="001B41D1">
        <w:trPr>
          <w:trHeight w:val="314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8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13.0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14.5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</w:tr>
      <w:tr w:rsidR="00CB7169" w:rsidRPr="006734CF" w:rsidTr="001B41D1">
        <w:trPr>
          <w:trHeight w:val="289"/>
        </w:trPr>
        <w:tc>
          <w:tcPr>
            <w:tcW w:w="1975" w:type="dxa"/>
            <w:noWrap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Total (combined)</w:t>
            </w:r>
          </w:p>
        </w:tc>
        <w:tc>
          <w:tcPr>
            <w:tcW w:w="1679" w:type="dxa"/>
            <w:noWrap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111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22.5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7.2</w:t>
            </w:r>
          </w:p>
        </w:tc>
      </w:tr>
      <w:tr w:rsidR="00CB7169" w:rsidRPr="006734CF" w:rsidTr="001B41D1">
        <w:trPr>
          <w:trHeight w:val="305"/>
        </w:trPr>
        <w:tc>
          <w:tcPr>
            <w:tcW w:w="1975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 INT*</w:t>
            </w:r>
          </w:p>
        </w:tc>
        <w:tc>
          <w:tcPr>
            <w:tcW w:w="1679" w:type="dxa"/>
            <w:noWrap/>
            <w:hideMark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</w:t>
            </w:r>
          </w:p>
        </w:tc>
        <w:tc>
          <w:tcPr>
            <w:tcW w:w="2011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  <w:tc>
          <w:tcPr>
            <w:tcW w:w="2160" w:type="dxa"/>
          </w:tcPr>
          <w:p w:rsidR="00CB7169" w:rsidRPr="005254EE" w:rsidRDefault="00CB7169" w:rsidP="009A336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</w:t>
            </w:r>
          </w:p>
        </w:tc>
      </w:tr>
      <w:tr w:rsidR="00CB7169" w:rsidRPr="006734CF" w:rsidTr="001B41D1">
        <w:trPr>
          <w:trHeight w:val="566"/>
        </w:trPr>
        <w:tc>
          <w:tcPr>
            <w:tcW w:w="7825" w:type="dxa"/>
            <w:gridSpan w:val="4"/>
            <w:noWrap/>
          </w:tcPr>
          <w:p w:rsidR="00CB7169" w:rsidRPr="005254EE" w:rsidRDefault="00CB7169" w:rsidP="009A336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*intolerant, discontinued within 1 month</w:t>
            </w:r>
          </w:p>
          <w:p w:rsidR="00CB7169" w:rsidRPr="005254EE" w:rsidRDefault="00CB7169" w:rsidP="009A336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N/R = Not Reported (due to small numbers)</w:t>
            </w:r>
          </w:p>
          <w:p w:rsidR="00CB7169" w:rsidRPr="005254EE" w:rsidRDefault="00CB7169" w:rsidP="009A336C">
            <w:pPr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 xml:space="preserve">Note: Four patients receiving regorafenib in combination with another treatment were excluded from this table (three embolizations and one combination of sunitinib and regorafenib). </w:t>
            </w:r>
          </w:p>
        </w:tc>
      </w:tr>
    </w:tbl>
    <w:p w:rsidR="003F5310" w:rsidRDefault="003F5310" w:rsidP="00635C20">
      <w:pPr>
        <w:spacing w:line="480" w:lineRule="auto"/>
        <w:ind w:firstLine="0"/>
        <w:rPr>
          <w:rFonts w:ascii="Arial" w:hAnsi="Arial" w:cs="Arial"/>
        </w:rPr>
      </w:pPr>
    </w:p>
    <w:tbl>
      <w:tblPr>
        <w:tblStyle w:val="TableGrid2"/>
        <w:tblW w:w="9535" w:type="dxa"/>
        <w:tblLook w:val="04A0"/>
      </w:tblPr>
      <w:tblGrid>
        <w:gridCol w:w="4765"/>
        <w:gridCol w:w="1136"/>
        <w:gridCol w:w="1294"/>
        <w:gridCol w:w="1205"/>
        <w:gridCol w:w="1135"/>
      </w:tblGrid>
      <w:tr w:rsidR="00B24912" w:rsidRPr="006734CF" w:rsidTr="001B41D1">
        <w:tc>
          <w:tcPr>
            <w:tcW w:w="9535" w:type="dxa"/>
            <w:gridSpan w:val="5"/>
          </w:tcPr>
          <w:p w:rsidR="00B24912" w:rsidRPr="001D55EF" w:rsidRDefault="00B24912" w:rsidP="00B24912">
            <w:pPr>
              <w:ind w:firstLine="0"/>
              <w:rPr>
                <w:rFonts w:ascii="Arial" w:hAnsi="Arial" w:cs="Arial"/>
              </w:rPr>
            </w:pPr>
            <w:r w:rsidRPr="001D55EF">
              <w:rPr>
                <w:rFonts w:ascii="Arial" w:hAnsi="Arial" w:cs="Arial"/>
                <w:color w:val="000000" w:themeColor="text1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color w:val="000000" w:themeColor="text1"/>
              </w:rPr>
              <w:t>S</w:t>
            </w:r>
            <w:r w:rsidRPr="001D55EF">
              <w:rPr>
                <w:rFonts w:ascii="Arial" w:hAnsi="Arial" w:cs="Arial"/>
                <w:color w:val="000000" w:themeColor="text1"/>
              </w:rPr>
              <w:t>4</w:t>
            </w:r>
            <w:proofErr w:type="spellEnd"/>
            <w:r w:rsidRPr="001D55EF">
              <w:rPr>
                <w:rFonts w:ascii="Arial" w:hAnsi="Arial" w:cs="Arial"/>
              </w:rPr>
              <w:t>– Multi-variable analysis – OS from start of 2L, Cox regression</w:t>
            </w:r>
          </w:p>
        </w:tc>
      </w:tr>
      <w:tr w:rsidR="00B24912" w:rsidRPr="006734CF" w:rsidTr="001B41D1">
        <w:trPr>
          <w:trHeight w:val="117"/>
        </w:trPr>
        <w:tc>
          <w:tcPr>
            <w:tcW w:w="4765" w:type="dxa"/>
            <w:vMerge w:val="restart"/>
          </w:tcPr>
          <w:p w:rsidR="00B24912" w:rsidRPr="0052271B" w:rsidRDefault="00B24912" w:rsidP="00B2491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p value</w:t>
            </w:r>
          </w:p>
        </w:tc>
        <w:tc>
          <w:tcPr>
            <w:tcW w:w="1294" w:type="dxa"/>
            <w:vMerge w:val="restart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Hazard Ratio</w:t>
            </w:r>
          </w:p>
        </w:tc>
        <w:tc>
          <w:tcPr>
            <w:tcW w:w="2340" w:type="dxa"/>
            <w:gridSpan w:val="2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95% CI for HR</w:t>
            </w:r>
          </w:p>
        </w:tc>
      </w:tr>
      <w:tr w:rsidR="00B24912" w:rsidRPr="006734CF" w:rsidTr="001B41D1">
        <w:trPr>
          <w:trHeight w:val="117"/>
        </w:trPr>
        <w:tc>
          <w:tcPr>
            <w:tcW w:w="4765" w:type="dxa"/>
            <w:vMerge/>
          </w:tcPr>
          <w:p w:rsidR="00B24912" w:rsidRPr="0052271B" w:rsidRDefault="00B24912" w:rsidP="00B2491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B24912" w:rsidRPr="0052271B" w:rsidRDefault="00B24912" w:rsidP="00B2491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</w:tcPr>
          <w:p w:rsidR="00B24912" w:rsidRPr="0052271B" w:rsidRDefault="00B24912" w:rsidP="00B2491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Lower</w:t>
            </w: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Upper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7E46CC" w:rsidRDefault="00B24912" w:rsidP="00B24912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 xml:space="preserve">Start </w:t>
            </w: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136" w:type="dxa"/>
            <w:vAlign w:val="bottom"/>
          </w:tcPr>
          <w:p w:rsidR="00B24912" w:rsidRPr="0052271B" w:rsidRDefault="0041771E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0.514</w:t>
            </w:r>
          </w:p>
        </w:tc>
        <w:tc>
          <w:tcPr>
            <w:tcW w:w="1294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0.9874</w:t>
            </w:r>
          </w:p>
        </w:tc>
        <w:tc>
          <w:tcPr>
            <w:tcW w:w="120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0.9503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1.0258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7E46CC" w:rsidRDefault="00B24912" w:rsidP="00B24912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 xml:space="preserve">Patient Reported Progression in </w:t>
            </w:r>
            <w:r w:rsidR="00513F70">
              <w:rPr>
                <w:rFonts w:ascii="Arial" w:hAnsi="Arial" w:cs="Arial"/>
                <w:b/>
              </w:rPr>
              <w:t>1</w:t>
            </w:r>
            <w:r w:rsidR="00513F70" w:rsidRPr="001B41D1">
              <w:rPr>
                <w:rFonts w:ascii="Arial" w:hAnsi="Arial" w:cs="Arial"/>
                <w:b/>
                <w:vertAlign w:val="superscript"/>
              </w:rPr>
              <w:t>st</w:t>
            </w:r>
            <w:r w:rsidR="00513F70">
              <w:rPr>
                <w:rFonts w:ascii="Arial" w:hAnsi="Arial" w:cs="Arial"/>
                <w:b/>
              </w:rPr>
              <w:t xml:space="preserve"> </w:t>
            </w:r>
            <w:r w:rsidRPr="007E46CC">
              <w:rPr>
                <w:rFonts w:ascii="Arial" w:hAnsi="Arial" w:cs="Arial"/>
                <w:b/>
              </w:rPr>
              <w:t>Line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136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0.001</w:t>
            </w: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0.5</w:t>
            </w:r>
            <w:r w:rsidR="00720D30">
              <w:rPr>
                <w:rFonts w:ascii="Arial" w:hAnsi="Arial" w:cs="Arial"/>
              </w:rPr>
              <w:t>948</w:t>
            </w: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0.43</w:t>
            </w:r>
            <w:r w:rsidR="00720D30">
              <w:rPr>
                <w:rFonts w:ascii="Arial" w:hAnsi="Arial" w:cs="Arial"/>
              </w:rPr>
              <w:t>37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0.8157</w:t>
            </w:r>
          </w:p>
        </w:tc>
      </w:tr>
      <w:tr w:rsidR="00513F70" w:rsidRPr="006734CF" w:rsidTr="001B41D1">
        <w:tc>
          <w:tcPr>
            <w:tcW w:w="4765" w:type="dxa"/>
          </w:tcPr>
          <w:p w:rsidR="00513F70" w:rsidRPr="007E46CC" w:rsidRDefault="00513F70" w:rsidP="00B2491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 Had Sunitinib</w:t>
            </w:r>
          </w:p>
        </w:tc>
        <w:tc>
          <w:tcPr>
            <w:tcW w:w="1136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513F70" w:rsidRPr="006734CF" w:rsidTr="001B41D1">
        <w:tc>
          <w:tcPr>
            <w:tcW w:w="4765" w:type="dxa"/>
          </w:tcPr>
          <w:p w:rsidR="00513F70" w:rsidRPr="001B41D1" w:rsidRDefault="00513F70" w:rsidP="001B41D1">
            <w:pPr>
              <w:ind w:left="33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6" w:type="dxa"/>
            <w:vAlign w:val="bottom"/>
          </w:tcPr>
          <w:p w:rsidR="00513F70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4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bottom"/>
          </w:tcPr>
          <w:p w:rsidR="00513F70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Align w:val="bottom"/>
          </w:tcPr>
          <w:p w:rsidR="00513F70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13F70" w:rsidRPr="006734CF" w:rsidTr="001B41D1">
        <w:tc>
          <w:tcPr>
            <w:tcW w:w="4765" w:type="dxa"/>
          </w:tcPr>
          <w:p w:rsidR="00513F70" w:rsidRPr="001B41D1" w:rsidRDefault="00513F70" w:rsidP="001B41D1">
            <w:pPr>
              <w:ind w:firstLine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6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0.0257</w:t>
            </w:r>
          </w:p>
        </w:tc>
        <w:tc>
          <w:tcPr>
            <w:tcW w:w="1294" w:type="dxa"/>
            <w:vAlign w:val="bottom"/>
          </w:tcPr>
          <w:p w:rsidR="00513F70" w:rsidRPr="0052271B" w:rsidRDefault="00513F7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0.6531</w:t>
            </w:r>
          </w:p>
        </w:tc>
        <w:tc>
          <w:tcPr>
            <w:tcW w:w="1205" w:type="dxa"/>
            <w:vAlign w:val="bottom"/>
          </w:tcPr>
          <w:p w:rsidR="00513F70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0.4491</w:t>
            </w:r>
          </w:p>
        </w:tc>
        <w:tc>
          <w:tcPr>
            <w:tcW w:w="1135" w:type="dxa"/>
            <w:vAlign w:val="bottom"/>
          </w:tcPr>
          <w:p w:rsidR="00513F70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0.9497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7E46CC" w:rsidRDefault="00B24912" w:rsidP="00B24912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Ever Had Regorafenib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52271B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0.4</w:t>
            </w:r>
            <w:r w:rsidR="00513F70">
              <w:rPr>
                <w:rFonts w:ascii="Arial" w:hAnsi="Arial" w:cs="Arial"/>
              </w:rPr>
              <w:t>668</w:t>
            </w: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0.314</w:t>
            </w: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0.620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7E46CC" w:rsidRDefault="00B24912" w:rsidP="00B24912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 xml:space="preserve">Age at Start of Treatment </w:t>
            </w:r>
            <w:r w:rsidR="00513F70">
              <w:rPr>
                <w:rFonts w:ascii="Arial" w:hAnsi="Arial" w:cs="Arial"/>
                <w:b/>
              </w:rPr>
              <w:t>(per year)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52271B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1.0</w:t>
            </w:r>
            <w:r w:rsidR="00513F70">
              <w:rPr>
                <w:rFonts w:ascii="Arial" w:hAnsi="Arial" w:cs="Arial"/>
              </w:rPr>
              <w:t>159</w:t>
            </w: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1.0</w:t>
            </w:r>
            <w:r w:rsidR="00720D30">
              <w:rPr>
                <w:rFonts w:ascii="Arial" w:hAnsi="Arial" w:cs="Arial"/>
              </w:rPr>
              <w:t>74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1.0245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7E46CC" w:rsidRDefault="00B24912" w:rsidP="00B24912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136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Male</w:t>
            </w:r>
          </w:p>
        </w:tc>
        <w:tc>
          <w:tcPr>
            <w:tcW w:w="1136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94" w:type="dxa"/>
            <w:vAlign w:val="bottom"/>
          </w:tcPr>
          <w:p w:rsidR="00B24912" w:rsidRPr="0052271B" w:rsidRDefault="00B24912" w:rsidP="00B24912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  <w:r w:rsidR="00462E69">
              <w:rPr>
                <w:rFonts w:ascii="Arial" w:hAnsi="Arial" w:cs="Arial"/>
              </w:rPr>
              <w:t>.3691</w:t>
            </w:r>
          </w:p>
        </w:tc>
        <w:tc>
          <w:tcPr>
            <w:tcW w:w="120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1.1031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1.6992</w:t>
            </w:r>
          </w:p>
        </w:tc>
      </w:tr>
      <w:tr w:rsidR="00B24912" w:rsidRPr="006734CF" w:rsidTr="001B41D1">
        <w:tc>
          <w:tcPr>
            <w:tcW w:w="4765" w:type="dxa"/>
          </w:tcPr>
          <w:p w:rsidR="00B24912" w:rsidRPr="0052271B" w:rsidRDefault="00B24912" w:rsidP="00B24912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Female</w:t>
            </w:r>
          </w:p>
        </w:tc>
        <w:tc>
          <w:tcPr>
            <w:tcW w:w="1136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4" w:type="dxa"/>
            <w:vAlign w:val="bottom"/>
          </w:tcPr>
          <w:p w:rsidR="00B24912" w:rsidRPr="0052271B" w:rsidRDefault="00462E69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Align w:val="bottom"/>
          </w:tcPr>
          <w:p w:rsidR="00B24912" w:rsidRPr="0052271B" w:rsidRDefault="00720D30" w:rsidP="00B2491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1B41D1">
            <w:pPr>
              <w:ind w:hanging="30"/>
              <w:rPr>
                <w:rFonts w:ascii="Arial" w:hAnsi="Arial" w:cs="Arial"/>
              </w:rPr>
            </w:pPr>
            <w:r w:rsidRPr="007E46CC">
              <w:rPr>
                <w:rFonts w:ascii="Arial" w:hAnsi="Arial" w:cs="Arial"/>
                <w:b/>
              </w:rPr>
              <w:t>Mutation</w:t>
            </w: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462E69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62E69" w:rsidRPr="006734CF" w:rsidTr="001B41D1">
        <w:tc>
          <w:tcPr>
            <w:tcW w:w="4765" w:type="dxa"/>
          </w:tcPr>
          <w:p w:rsidR="00462E69" w:rsidRPr="007E46CC" w:rsidRDefault="00462E69" w:rsidP="00462E69">
            <w:pPr>
              <w:ind w:firstLine="337"/>
              <w:rPr>
                <w:rFonts w:ascii="Arial" w:hAnsi="Arial" w:cs="Arial"/>
                <w:b/>
              </w:rPr>
            </w:pPr>
            <w:r w:rsidRPr="0052271B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IT exon 11</w:t>
            </w:r>
          </w:p>
        </w:tc>
        <w:tc>
          <w:tcPr>
            <w:tcW w:w="1136" w:type="dxa"/>
            <w:vAlign w:val="bottom"/>
          </w:tcPr>
          <w:p w:rsidR="00462E69" w:rsidRPr="0052271B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4" w:type="dxa"/>
            <w:vAlign w:val="bottom"/>
          </w:tcPr>
          <w:p w:rsidR="00462E69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bottom"/>
          </w:tcPr>
          <w:p w:rsidR="00462E69" w:rsidRPr="0052271B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Align w:val="bottom"/>
          </w:tcPr>
          <w:p w:rsidR="00462E69" w:rsidRPr="0052271B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Pr="0052271B" w:rsidRDefault="00462E69" w:rsidP="00462E69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exon 9</w:t>
            </w: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0.880</w:t>
            </w:r>
          </w:p>
        </w:tc>
        <w:tc>
          <w:tcPr>
            <w:tcW w:w="1294" w:type="dxa"/>
            <w:vAlign w:val="bottom"/>
          </w:tcPr>
          <w:p w:rsidR="00462E69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0.9708</w:t>
            </w:r>
          </w:p>
        </w:tc>
        <w:tc>
          <w:tcPr>
            <w:tcW w:w="1205" w:type="dxa"/>
            <w:vAlign w:val="bottom"/>
          </w:tcPr>
          <w:p w:rsidR="00462E69" w:rsidRPr="0052271B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1.0301</w:t>
            </w:r>
          </w:p>
        </w:tc>
        <w:tc>
          <w:tcPr>
            <w:tcW w:w="1135" w:type="dxa"/>
            <w:vAlign w:val="bottom"/>
          </w:tcPr>
          <w:p w:rsidR="00462E69" w:rsidRPr="0052271B" w:rsidRDefault="00720D30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1.4245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462E69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D842V (PDGFRA, exon 18)</w:t>
            </w: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0.169</w:t>
            </w:r>
          </w:p>
        </w:tc>
        <w:tc>
          <w:tcPr>
            <w:tcW w:w="1294" w:type="dxa"/>
            <w:vAlign w:val="bottom"/>
          </w:tcPr>
          <w:p w:rsidR="00462E69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0.5799</w:t>
            </w:r>
          </w:p>
        </w:tc>
        <w:tc>
          <w:tcPr>
            <w:tcW w:w="120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0.2667</w:t>
            </w:r>
          </w:p>
        </w:tc>
        <w:tc>
          <w:tcPr>
            <w:tcW w:w="113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1.2608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462E69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KIT/PDGFRA WT</w:t>
            </w: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294" w:type="dxa"/>
            <w:vAlign w:val="bottom"/>
          </w:tcPr>
          <w:p w:rsidR="00462E69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0.4830</w:t>
            </w:r>
          </w:p>
        </w:tc>
        <w:tc>
          <w:tcPr>
            <w:tcW w:w="120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0.2911</w:t>
            </w:r>
          </w:p>
        </w:tc>
        <w:tc>
          <w:tcPr>
            <w:tcW w:w="113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0.8013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1B41D1">
            <w:pPr>
              <w:ind w:left="34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 KIT/PDGFRA mutations combined, (KIT exons 13,17, PDGFRA exons 12, 14)</w:t>
            </w: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0.397</w:t>
            </w:r>
          </w:p>
        </w:tc>
        <w:tc>
          <w:tcPr>
            <w:tcW w:w="1294" w:type="dxa"/>
            <w:vAlign w:val="bottom"/>
          </w:tcPr>
          <w:p w:rsidR="00462E69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0.7150</w:t>
            </w:r>
          </w:p>
        </w:tc>
        <w:tc>
          <w:tcPr>
            <w:tcW w:w="120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0.6431</w:t>
            </w:r>
          </w:p>
        </w:tc>
        <w:tc>
          <w:tcPr>
            <w:tcW w:w="113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3.0413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462E69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 mutation</w:t>
            </w:r>
          </w:p>
        </w:tc>
        <w:tc>
          <w:tcPr>
            <w:tcW w:w="1136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0.0368</w:t>
            </w:r>
          </w:p>
        </w:tc>
        <w:tc>
          <w:tcPr>
            <w:tcW w:w="1294" w:type="dxa"/>
            <w:vAlign w:val="bottom"/>
          </w:tcPr>
          <w:p w:rsidR="00462E69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1.3194</w:t>
            </w:r>
          </w:p>
        </w:tc>
        <w:tc>
          <w:tcPr>
            <w:tcW w:w="120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1.0171</w:t>
            </w:r>
          </w:p>
        </w:tc>
        <w:tc>
          <w:tcPr>
            <w:tcW w:w="1135" w:type="dxa"/>
            <w:vAlign w:val="bottom"/>
          </w:tcPr>
          <w:p w:rsidR="00462E69" w:rsidRPr="0052271B" w:rsidRDefault="000612BA" w:rsidP="00462E6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1.7115</w:t>
            </w:r>
          </w:p>
        </w:tc>
      </w:tr>
      <w:tr w:rsidR="00462E69" w:rsidRPr="006734CF" w:rsidTr="001B41D1">
        <w:tc>
          <w:tcPr>
            <w:tcW w:w="4765" w:type="dxa"/>
          </w:tcPr>
          <w:p w:rsidR="00462E69" w:rsidRDefault="00462E69" w:rsidP="00462E69">
            <w:pPr>
              <w:ind w:firstLine="337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bottom"/>
          </w:tcPr>
          <w:p w:rsidR="00462E69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462E69" w:rsidRPr="0052271B" w:rsidRDefault="00462E69" w:rsidP="00462E69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635C20" w:rsidRPr="005254EE" w:rsidRDefault="00635C20" w:rsidP="00635C20">
      <w:pPr>
        <w:spacing w:line="480" w:lineRule="auto"/>
        <w:ind w:firstLine="0"/>
        <w:rPr>
          <w:rFonts w:ascii="Arial" w:hAnsi="Arial" w:cs="Arial"/>
        </w:rPr>
      </w:pPr>
    </w:p>
    <w:tbl>
      <w:tblPr>
        <w:tblStyle w:val="TableGrid2"/>
        <w:tblW w:w="9990" w:type="dxa"/>
        <w:tblInd w:w="-275" w:type="dxa"/>
        <w:tblLook w:val="04A0"/>
      </w:tblPr>
      <w:tblGrid>
        <w:gridCol w:w="4860"/>
        <w:gridCol w:w="1530"/>
        <w:gridCol w:w="1440"/>
        <w:gridCol w:w="1077"/>
        <w:gridCol w:w="1083"/>
      </w:tblGrid>
      <w:tr w:rsidR="00635C20" w:rsidRPr="006734CF" w:rsidTr="007E46CC">
        <w:tc>
          <w:tcPr>
            <w:tcW w:w="9990" w:type="dxa"/>
            <w:gridSpan w:val="5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color w:val="000000" w:themeColor="text1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color w:val="000000" w:themeColor="text1"/>
              </w:rPr>
              <w:t>S</w:t>
            </w:r>
            <w:r w:rsidR="004E5B4C">
              <w:rPr>
                <w:rFonts w:ascii="Arial" w:hAnsi="Arial" w:cs="Arial"/>
                <w:color w:val="000000" w:themeColor="text1"/>
              </w:rPr>
              <w:t>5</w:t>
            </w:r>
            <w:proofErr w:type="spellEnd"/>
            <w:r w:rsidRPr="005254E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54EE">
              <w:rPr>
                <w:rFonts w:ascii="Arial" w:eastAsia="Helvetica" w:hAnsi="Arial" w:cs="Arial"/>
                <w:b/>
              </w:rPr>
              <w:t>–</w:t>
            </w:r>
            <w:r w:rsidRPr="005254EE">
              <w:rPr>
                <w:rFonts w:ascii="Arial" w:hAnsi="Arial" w:cs="Arial"/>
                <w:b/>
              </w:rPr>
              <w:t xml:space="preserve"> </w:t>
            </w:r>
            <w:r w:rsidRPr="005254EE">
              <w:rPr>
                <w:rFonts w:ascii="Arial" w:hAnsi="Arial" w:cs="Arial"/>
              </w:rPr>
              <w:t>Major Drugs</w:t>
            </w:r>
            <w:r w:rsidR="00A41F35">
              <w:rPr>
                <w:rFonts w:ascii="Arial" w:hAnsi="Arial" w:cs="Arial"/>
              </w:rPr>
              <w:t xml:space="preserve"> Used</w:t>
            </w:r>
            <w:r w:rsidR="005D2A27">
              <w:rPr>
                <w:rFonts w:ascii="Arial" w:hAnsi="Arial" w:cs="Arial"/>
              </w:rPr>
              <w:t xml:space="preserve"> </w:t>
            </w:r>
            <w:r w:rsidR="00A41F35">
              <w:rPr>
                <w:rFonts w:ascii="Arial" w:hAnsi="Arial" w:cs="Arial"/>
              </w:rPr>
              <w:t>≥ 3L</w:t>
            </w:r>
            <w:r w:rsidRPr="005254EE">
              <w:rPr>
                <w:rFonts w:ascii="Arial" w:hAnsi="Arial" w:cs="Arial"/>
              </w:rPr>
              <w:t xml:space="preserve"> by Year Patient Started 3</w:t>
            </w:r>
            <w:r w:rsidRPr="005254EE">
              <w:rPr>
                <w:rFonts w:ascii="Arial" w:hAnsi="Arial" w:cs="Arial"/>
                <w:vertAlign w:val="superscript"/>
              </w:rPr>
              <w:t>rd</w:t>
            </w:r>
            <w:r w:rsidRPr="005254EE">
              <w:rPr>
                <w:rFonts w:ascii="Arial" w:hAnsi="Arial" w:cs="Arial"/>
              </w:rPr>
              <w:t xml:space="preserve"> Line</w:t>
            </w:r>
          </w:p>
        </w:tc>
      </w:tr>
      <w:tr w:rsidR="00635C20" w:rsidRPr="006734CF" w:rsidTr="007E46CC"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2002-2006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2007-2012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2013+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Total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Number of patients – start of 3L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73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198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73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344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*Regorafenib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48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61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111</w:t>
            </w:r>
          </w:p>
        </w:tc>
      </w:tr>
      <w:tr w:rsidR="00635C20" w:rsidRPr="006734CF" w:rsidTr="007E46CC">
        <w:trPr>
          <w:trHeight w:val="341"/>
        </w:trPr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*Sorafenib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115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tabs>
                <w:tab w:val="left" w:pos="363"/>
              </w:tabs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134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*Nilotinib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94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79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tabs>
                <w:tab w:val="left" w:pos="363"/>
              </w:tabs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122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5254EE">
              <w:rPr>
                <w:rFonts w:ascii="Arial" w:hAnsi="Arial" w:cs="Arial"/>
                <w:b/>
              </w:rPr>
              <w:t>*Imatinib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56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93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23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tabs>
                <w:tab w:val="left" w:pos="363"/>
              </w:tabs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172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tabs>
                <w:tab w:val="left" w:pos="978"/>
              </w:tabs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 xml:space="preserve">Patient had at least 2 of the 4 drugs given in different treatment lines </w:t>
            </w:r>
            <w:r w:rsidRPr="005254EE">
              <w:rPr>
                <w:rFonts w:ascii="Arial" w:eastAsia="Helvetica" w:hAnsi="Arial" w:cs="Arial"/>
              </w:rPr>
              <w:t>≥ 3</w:t>
            </w:r>
            <w:r w:rsidRPr="005254EE">
              <w:rPr>
                <w:rFonts w:ascii="Arial" w:hAnsi="Arial" w:cs="Arial"/>
                <w:vertAlign w:val="superscript"/>
              </w:rPr>
              <w:t>rd</w:t>
            </w:r>
            <w:r w:rsidRPr="005254EE"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84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13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tabs>
                <w:tab w:val="left" w:pos="363"/>
              </w:tabs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113</w:t>
            </w:r>
          </w:p>
        </w:tc>
      </w:tr>
      <w:tr w:rsidR="00635C20" w:rsidRPr="006734CF" w:rsidTr="007E46CC">
        <w:trPr>
          <w:trHeight w:val="314"/>
        </w:trPr>
        <w:tc>
          <w:tcPr>
            <w:tcW w:w="4860" w:type="dxa"/>
          </w:tcPr>
          <w:p w:rsidR="00635C20" w:rsidRPr="005254EE" w:rsidRDefault="00635C20" w:rsidP="007E46CC">
            <w:pPr>
              <w:tabs>
                <w:tab w:val="left" w:pos="978"/>
              </w:tabs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None of the 4 drugs above</w:t>
            </w:r>
          </w:p>
        </w:tc>
        <w:tc>
          <w:tcPr>
            <w:tcW w:w="153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11</w:t>
            </w:r>
          </w:p>
        </w:tc>
        <w:tc>
          <w:tcPr>
            <w:tcW w:w="1077" w:type="dxa"/>
          </w:tcPr>
          <w:p w:rsidR="00635C20" w:rsidRPr="005254EE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3</w:t>
            </w:r>
          </w:p>
        </w:tc>
        <w:tc>
          <w:tcPr>
            <w:tcW w:w="1083" w:type="dxa"/>
          </w:tcPr>
          <w:p w:rsidR="00635C20" w:rsidRPr="005254EE" w:rsidRDefault="00635C20" w:rsidP="007E46CC">
            <w:pPr>
              <w:tabs>
                <w:tab w:val="left" w:pos="363"/>
              </w:tabs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24</w:t>
            </w:r>
          </w:p>
        </w:tc>
      </w:tr>
      <w:tr w:rsidR="00635C20" w:rsidRPr="006734CF" w:rsidTr="007E46CC">
        <w:trPr>
          <w:trHeight w:val="314"/>
        </w:trPr>
        <w:tc>
          <w:tcPr>
            <w:tcW w:w="9990" w:type="dxa"/>
            <w:gridSpan w:val="5"/>
          </w:tcPr>
          <w:p w:rsidR="00635C20" w:rsidRPr="005254EE" w:rsidDel="00CE4EBF" w:rsidRDefault="00635C20" w:rsidP="007E46CC">
            <w:pPr>
              <w:tabs>
                <w:tab w:val="left" w:pos="363"/>
              </w:tabs>
              <w:ind w:firstLine="0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*Had drug as single agent or a combination (e.g., imatinib + embolization), at any time ≥3L.</w:t>
            </w:r>
          </w:p>
        </w:tc>
      </w:tr>
    </w:tbl>
    <w:p w:rsidR="00635C20" w:rsidRDefault="00635C20" w:rsidP="00635C20">
      <w:pPr>
        <w:spacing w:line="480" w:lineRule="auto"/>
        <w:ind w:firstLine="0"/>
        <w:rPr>
          <w:rFonts w:ascii="Arial" w:hAnsi="Arial" w:cs="Arial"/>
        </w:rPr>
      </w:pPr>
    </w:p>
    <w:p w:rsidR="007C7DF2" w:rsidRPr="005254EE" w:rsidRDefault="007C7DF2" w:rsidP="00635C20">
      <w:pPr>
        <w:spacing w:line="480" w:lineRule="auto"/>
        <w:ind w:firstLine="0"/>
        <w:rPr>
          <w:rFonts w:ascii="Arial" w:hAnsi="Arial" w:cs="Arial"/>
        </w:rPr>
      </w:pPr>
    </w:p>
    <w:tbl>
      <w:tblPr>
        <w:tblStyle w:val="TableGrid2"/>
        <w:tblW w:w="9350" w:type="dxa"/>
        <w:tblLayout w:type="fixed"/>
        <w:tblLook w:val="04A0"/>
      </w:tblPr>
      <w:tblGrid>
        <w:gridCol w:w="3955"/>
        <w:gridCol w:w="1800"/>
        <w:gridCol w:w="1243"/>
        <w:gridCol w:w="1176"/>
        <w:gridCol w:w="1176"/>
      </w:tblGrid>
      <w:tr w:rsidR="00CB0FB5" w:rsidRPr="006734CF" w:rsidTr="001B41D1">
        <w:tc>
          <w:tcPr>
            <w:tcW w:w="9350" w:type="dxa"/>
            <w:gridSpan w:val="5"/>
          </w:tcPr>
          <w:p w:rsidR="00CB0FB5" w:rsidRPr="001B41D1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1D55EF">
              <w:rPr>
                <w:rFonts w:ascii="Arial" w:hAnsi="Arial" w:cs="Arial"/>
                <w:color w:val="000000" w:themeColor="text1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color w:val="000000" w:themeColor="text1"/>
              </w:rPr>
              <w:t>S</w:t>
            </w:r>
            <w:r w:rsidR="004E5B4C">
              <w:rPr>
                <w:rFonts w:ascii="Arial" w:hAnsi="Arial" w:cs="Arial"/>
                <w:color w:val="000000" w:themeColor="text1"/>
              </w:rPr>
              <w:t>6</w:t>
            </w:r>
            <w:proofErr w:type="spellEnd"/>
            <w:r w:rsidRPr="001D55EF">
              <w:rPr>
                <w:rFonts w:ascii="Arial" w:hAnsi="Arial" w:cs="Arial"/>
              </w:rPr>
              <w:t>- Univariate Analysis – OS from start of 3L, Cox Regression</w:t>
            </w:r>
          </w:p>
        </w:tc>
      </w:tr>
      <w:tr w:rsidR="00F61B29" w:rsidRPr="006734CF" w:rsidTr="001B41D1">
        <w:trPr>
          <w:trHeight w:val="107"/>
        </w:trPr>
        <w:tc>
          <w:tcPr>
            <w:tcW w:w="3955" w:type="dxa"/>
            <w:vMerge w:val="restart"/>
          </w:tcPr>
          <w:p w:rsidR="00F61B29" w:rsidRPr="005254EE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Variable</w:t>
            </w:r>
          </w:p>
        </w:tc>
        <w:tc>
          <w:tcPr>
            <w:tcW w:w="1800" w:type="dxa"/>
            <w:vMerge w:val="restart"/>
          </w:tcPr>
          <w:p w:rsidR="00F61B29" w:rsidRPr="005254EE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  <w:i/>
              </w:rPr>
              <w:t>p</w:t>
            </w:r>
            <w:r w:rsidRPr="005254EE">
              <w:rPr>
                <w:rFonts w:ascii="Arial" w:hAnsi="Arial" w:cs="Arial"/>
              </w:rPr>
              <w:t xml:space="preserve"> value</w:t>
            </w:r>
          </w:p>
        </w:tc>
        <w:tc>
          <w:tcPr>
            <w:tcW w:w="1243" w:type="dxa"/>
            <w:vMerge w:val="restart"/>
          </w:tcPr>
          <w:p w:rsidR="00F61B29" w:rsidRPr="005254EE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Hazard Ratio</w:t>
            </w:r>
          </w:p>
        </w:tc>
        <w:tc>
          <w:tcPr>
            <w:tcW w:w="2352" w:type="dxa"/>
            <w:gridSpan w:val="2"/>
          </w:tcPr>
          <w:p w:rsidR="00F61B29" w:rsidRPr="001B41D1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CI of HR</w:t>
            </w:r>
          </w:p>
        </w:tc>
      </w:tr>
      <w:tr w:rsidR="00CB0FB5" w:rsidRPr="006734CF" w:rsidTr="001B41D1">
        <w:trPr>
          <w:trHeight w:val="107"/>
        </w:trPr>
        <w:tc>
          <w:tcPr>
            <w:tcW w:w="3955" w:type="dxa"/>
            <w:vMerge/>
          </w:tcPr>
          <w:p w:rsidR="00CB0FB5" w:rsidRPr="005254EE" w:rsidDel="00CB0FB5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43" w:type="dxa"/>
            <w:vMerge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1B41D1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1B41D1">
              <w:rPr>
                <w:rFonts w:ascii="Arial" w:hAnsi="Arial" w:cs="Arial"/>
              </w:rPr>
              <w:t>Lower</w:t>
            </w:r>
          </w:p>
        </w:tc>
        <w:tc>
          <w:tcPr>
            <w:tcW w:w="1176" w:type="dxa"/>
          </w:tcPr>
          <w:p w:rsidR="00CB0FB5" w:rsidRPr="001B41D1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1B41D1">
              <w:rPr>
                <w:rFonts w:ascii="Arial" w:hAnsi="Arial" w:cs="Arial"/>
              </w:rPr>
              <w:t>Upper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Start Category</w:t>
            </w:r>
          </w:p>
        </w:tc>
        <w:tc>
          <w:tcPr>
            <w:tcW w:w="1800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54EE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2002-2006</w:t>
            </w:r>
          </w:p>
        </w:tc>
        <w:tc>
          <w:tcPr>
            <w:tcW w:w="1800" w:type="dxa"/>
          </w:tcPr>
          <w:p w:rsidR="00CB0FB5" w:rsidRPr="005254EE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54EE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6" w:type="dxa"/>
          </w:tcPr>
          <w:p w:rsidR="00CB0FB5" w:rsidRPr="005254EE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54EE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2007-2012</w:t>
            </w:r>
          </w:p>
        </w:tc>
        <w:tc>
          <w:tcPr>
            <w:tcW w:w="1800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0.007206</w:t>
            </w:r>
          </w:p>
        </w:tc>
        <w:tc>
          <w:tcPr>
            <w:tcW w:w="1243" w:type="dxa"/>
          </w:tcPr>
          <w:p w:rsidR="00CB0FB5" w:rsidRPr="005254EE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54EE">
              <w:rPr>
                <w:rFonts w:ascii="Arial" w:hAnsi="Arial" w:cs="Arial"/>
              </w:rPr>
              <w:t>0.6797</w:t>
            </w:r>
          </w:p>
        </w:tc>
        <w:tc>
          <w:tcPr>
            <w:tcW w:w="1176" w:type="dxa"/>
          </w:tcPr>
          <w:p w:rsidR="00CB0FB5" w:rsidRPr="005254EE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0.5128</w:t>
            </w:r>
          </w:p>
        </w:tc>
        <w:tc>
          <w:tcPr>
            <w:tcW w:w="1176" w:type="dxa"/>
          </w:tcPr>
          <w:p w:rsidR="00CB0FB5" w:rsidRPr="005254EE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0.9008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2013+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0.000936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0.4575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0.2879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0.7270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Patient Reported Progression in 2</w:t>
            </w:r>
            <w:r w:rsidRPr="007E46CC">
              <w:rPr>
                <w:rFonts w:ascii="Arial" w:hAnsi="Arial" w:cs="Arial"/>
                <w:b/>
                <w:vertAlign w:val="superscript"/>
              </w:rPr>
              <w:t>nd</w:t>
            </w:r>
            <w:r w:rsidRPr="007E46CC">
              <w:rPr>
                <w:rFonts w:ascii="Arial" w:hAnsi="Arial" w:cs="Arial"/>
                <w:b/>
              </w:rPr>
              <w:t xml:space="preserve"> Line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0.0203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1.4</w:t>
            </w:r>
            <w:r w:rsidR="001C38AE">
              <w:rPr>
                <w:rFonts w:ascii="Arial" w:hAnsi="Arial" w:cs="Arial"/>
              </w:rPr>
              <w:t>22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1.056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1.913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Ever Had Regorafenib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0.0000000984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0.4584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0.3441</w:t>
            </w:r>
          </w:p>
        </w:tc>
        <w:tc>
          <w:tcPr>
            <w:tcW w:w="1176" w:type="dxa"/>
          </w:tcPr>
          <w:p w:rsidR="00CB0FB5" w:rsidRPr="0052271B" w:rsidDel="00046FFD" w:rsidRDefault="001C38AE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0.6107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Age at Start of Treatment</w:t>
            </w:r>
          </w:p>
        </w:tc>
        <w:tc>
          <w:tcPr>
            <w:tcW w:w="1800" w:type="dxa"/>
          </w:tcPr>
          <w:p w:rsidR="00CB0FB5" w:rsidRPr="0052271B" w:rsidRDefault="00896206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0.00239</w:t>
            </w:r>
          </w:p>
        </w:tc>
        <w:tc>
          <w:tcPr>
            <w:tcW w:w="1243" w:type="dxa"/>
          </w:tcPr>
          <w:p w:rsidR="00CB0FB5" w:rsidRPr="0052271B" w:rsidRDefault="00896206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1.014</w:t>
            </w:r>
          </w:p>
        </w:tc>
        <w:tc>
          <w:tcPr>
            <w:tcW w:w="1176" w:type="dxa"/>
          </w:tcPr>
          <w:p w:rsidR="00CB0FB5" w:rsidRPr="0052271B" w:rsidRDefault="00CD5723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1.005</w:t>
            </w:r>
          </w:p>
        </w:tc>
        <w:tc>
          <w:tcPr>
            <w:tcW w:w="1176" w:type="dxa"/>
          </w:tcPr>
          <w:p w:rsidR="00CB0FB5" w:rsidRPr="0052271B" w:rsidRDefault="00CD5723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Female</w:t>
            </w:r>
          </w:p>
        </w:tc>
        <w:tc>
          <w:tcPr>
            <w:tcW w:w="1800" w:type="dxa"/>
          </w:tcPr>
          <w:p w:rsidR="00CB0FB5" w:rsidRPr="0052271B" w:rsidRDefault="007C7DF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Male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0.0376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1.299</w:t>
            </w:r>
          </w:p>
        </w:tc>
        <w:tc>
          <w:tcPr>
            <w:tcW w:w="1176" w:type="dxa"/>
          </w:tcPr>
          <w:p w:rsidR="00CB0FB5" w:rsidRPr="0052271B" w:rsidDel="00046FFD" w:rsidRDefault="00CD5723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</w:t>
            </w:r>
          </w:p>
        </w:tc>
        <w:tc>
          <w:tcPr>
            <w:tcW w:w="1176" w:type="dxa"/>
          </w:tcPr>
          <w:p w:rsidR="00CB0FB5" w:rsidRPr="0052271B" w:rsidDel="00046FFD" w:rsidRDefault="00CD5723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1.663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Patient Knows Their Mutation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1B41D1">
            <w:pPr>
              <w:ind w:left="343" w:hanging="6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Has reported their mutation</w:t>
            </w:r>
          </w:p>
        </w:tc>
        <w:tc>
          <w:tcPr>
            <w:tcW w:w="1800" w:type="dxa"/>
          </w:tcPr>
          <w:p w:rsidR="00CB0FB5" w:rsidRPr="0052271B" w:rsidRDefault="007C7DF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271B" w:rsidRDefault="00477B2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6" w:type="dxa"/>
          </w:tcPr>
          <w:p w:rsidR="00CB0FB5" w:rsidRPr="0052271B" w:rsidRDefault="00477B2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1B41D1">
            <w:pPr>
              <w:ind w:left="343" w:hanging="6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Has not reported their mutation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0.0000298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1.676</w:t>
            </w:r>
          </w:p>
        </w:tc>
        <w:tc>
          <w:tcPr>
            <w:tcW w:w="1176" w:type="dxa"/>
          </w:tcPr>
          <w:p w:rsidR="00CB0FB5" w:rsidRPr="0052271B" w:rsidDel="00046FFD" w:rsidRDefault="00477B2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1.315</w:t>
            </w:r>
          </w:p>
        </w:tc>
        <w:tc>
          <w:tcPr>
            <w:tcW w:w="1176" w:type="dxa"/>
          </w:tcPr>
          <w:p w:rsidR="00CB0FB5" w:rsidRPr="0052271B" w:rsidDel="00046FFD" w:rsidRDefault="00477B22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2.137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7E46CC" w:rsidRDefault="00CB0FB5" w:rsidP="00046FFD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Mutation</w:t>
            </w:r>
          </w:p>
        </w:tc>
        <w:tc>
          <w:tcPr>
            <w:tcW w:w="1800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IT exon 11</w:t>
            </w:r>
          </w:p>
        </w:tc>
        <w:tc>
          <w:tcPr>
            <w:tcW w:w="1800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exon 9</w:t>
            </w:r>
          </w:p>
        </w:tc>
        <w:tc>
          <w:tcPr>
            <w:tcW w:w="1800" w:type="dxa"/>
          </w:tcPr>
          <w:p w:rsidR="00CB0FB5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1B41D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0.36598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1.2178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0.7944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1.8671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1B41D1">
            <w:pPr>
              <w:ind w:left="3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D842V (PDGFRA, exon 18)</w:t>
            </w:r>
          </w:p>
        </w:tc>
        <w:tc>
          <w:tcPr>
            <w:tcW w:w="1800" w:type="dxa"/>
          </w:tcPr>
          <w:p w:rsidR="00CB0FB5" w:rsidRPr="0052271B" w:rsidDel="00046FFD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CF62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0.14164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0.5058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0.2039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1.2552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KIT/PDGFRA WT</w:t>
            </w:r>
          </w:p>
        </w:tc>
        <w:tc>
          <w:tcPr>
            <w:tcW w:w="1800" w:type="dxa"/>
          </w:tcPr>
          <w:p w:rsidR="00CB0FB5" w:rsidRPr="0052271B" w:rsidDel="00046FFD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CF62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0.00108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0.4311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0.2603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0.7138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Default="00CB0FB5" w:rsidP="001B41D1">
            <w:pPr>
              <w:ind w:left="34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 KIT/PDGFRA mutations combined</w:t>
            </w:r>
          </w:p>
          <w:p w:rsidR="00CB0FB5" w:rsidRPr="0052271B" w:rsidRDefault="00CB0FB5" w:rsidP="001B41D1">
            <w:pPr>
              <w:ind w:left="34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(KIT exons 13,17, PDGFRA exons 12, 14)</w:t>
            </w:r>
          </w:p>
        </w:tc>
        <w:tc>
          <w:tcPr>
            <w:tcW w:w="1800" w:type="dxa"/>
          </w:tcPr>
          <w:p w:rsidR="00CB0FB5" w:rsidRPr="0052271B" w:rsidDel="00046FFD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CF62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0.25523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1.5686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0.7223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3.4063</w:t>
            </w:r>
          </w:p>
        </w:tc>
      </w:tr>
      <w:tr w:rsidR="00CB0FB5" w:rsidRPr="006734CF" w:rsidTr="001B41D1">
        <w:tc>
          <w:tcPr>
            <w:tcW w:w="3955" w:type="dxa"/>
          </w:tcPr>
          <w:p w:rsidR="00CB0FB5" w:rsidRPr="0052271B" w:rsidRDefault="00CB0FB5" w:rsidP="00046FFD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 mutation</w:t>
            </w:r>
          </w:p>
        </w:tc>
        <w:tc>
          <w:tcPr>
            <w:tcW w:w="1800" w:type="dxa"/>
          </w:tcPr>
          <w:p w:rsidR="00CB0FB5" w:rsidRPr="0052271B" w:rsidDel="00046FFD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 w:rsidRPr="00CF62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0.00822</w:t>
            </w:r>
          </w:p>
        </w:tc>
        <w:tc>
          <w:tcPr>
            <w:tcW w:w="1243" w:type="dxa"/>
          </w:tcPr>
          <w:p w:rsidR="00CB0FB5" w:rsidRPr="0052271B" w:rsidRDefault="00CB0FB5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1.4638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1.1035</w:t>
            </w:r>
          </w:p>
        </w:tc>
        <w:tc>
          <w:tcPr>
            <w:tcW w:w="1176" w:type="dxa"/>
          </w:tcPr>
          <w:p w:rsidR="00CB0FB5" w:rsidRPr="0052271B" w:rsidRDefault="00F61B29" w:rsidP="00046FF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1.9417</w:t>
            </w:r>
          </w:p>
        </w:tc>
      </w:tr>
    </w:tbl>
    <w:p w:rsidR="00635C20" w:rsidRDefault="00635C20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p w:rsidR="00215131" w:rsidRPr="0052271B" w:rsidRDefault="00215131" w:rsidP="00635C20">
      <w:pPr>
        <w:spacing w:line="480" w:lineRule="auto"/>
        <w:ind w:firstLine="0"/>
        <w:rPr>
          <w:rFonts w:ascii="Arial" w:hAnsi="Arial" w:cs="Arial"/>
        </w:rPr>
      </w:pPr>
    </w:p>
    <w:tbl>
      <w:tblPr>
        <w:tblStyle w:val="TableGrid2"/>
        <w:tblW w:w="0" w:type="auto"/>
        <w:tblLook w:val="04A0"/>
      </w:tblPr>
      <w:tblGrid>
        <w:gridCol w:w="3405"/>
        <w:gridCol w:w="1558"/>
        <w:gridCol w:w="1617"/>
        <w:gridCol w:w="882"/>
        <w:gridCol w:w="882"/>
      </w:tblGrid>
      <w:tr w:rsidR="00635C20" w:rsidRPr="006734CF" w:rsidTr="009E1327">
        <w:tc>
          <w:tcPr>
            <w:tcW w:w="0" w:type="auto"/>
            <w:gridSpan w:val="5"/>
          </w:tcPr>
          <w:p w:rsidR="00635C20" w:rsidRPr="0052271B" w:rsidRDefault="00635C20" w:rsidP="007E46CC">
            <w:pPr>
              <w:ind w:firstLine="0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  <w:color w:val="000000" w:themeColor="text1"/>
              </w:rPr>
              <w:t xml:space="preserve">Table </w:t>
            </w:r>
            <w:proofErr w:type="spellStart"/>
            <w:r w:rsidR="001C341F">
              <w:rPr>
                <w:rFonts w:ascii="Arial" w:hAnsi="Arial" w:cs="Arial"/>
                <w:color w:val="000000" w:themeColor="text1"/>
              </w:rPr>
              <w:t>S</w:t>
            </w:r>
            <w:r w:rsidR="004E5B4C">
              <w:rPr>
                <w:rFonts w:ascii="Arial" w:hAnsi="Arial" w:cs="Arial"/>
                <w:color w:val="000000" w:themeColor="text1"/>
              </w:rPr>
              <w:t>7</w:t>
            </w:r>
            <w:proofErr w:type="spellEnd"/>
            <w:r w:rsidRPr="0052271B">
              <w:rPr>
                <w:rFonts w:ascii="Arial" w:hAnsi="Arial" w:cs="Arial"/>
              </w:rPr>
              <w:t xml:space="preserve">– Multi-variable analysis – </w:t>
            </w:r>
            <w:r w:rsidR="009E1327">
              <w:rPr>
                <w:rFonts w:ascii="Arial" w:hAnsi="Arial" w:cs="Arial"/>
              </w:rPr>
              <w:t xml:space="preserve">OS from start of 3L, </w:t>
            </w:r>
            <w:r w:rsidRPr="0052271B">
              <w:rPr>
                <w:rFonts w:ascii="Arial" w:hAnsi="Arial" w:cs="Arial"/>
              </w:rPr>
              <w:t>Cox regression</w:t>
            </w:r>
          </w:p>
        </w:tc>
      </w:tr>
      <w:tr w:rsidR="00635C20" w:rsidRPr="006734CF" w:rsidTr="001B41D1">
        <w:trPr>
          <w:trHeight w:val="117"/>
        </w:trPr>
        <w:tc>
          <w:tcPr>
            <w:tcW w:w="3405" w:type="dxa"/>
            <w:vMerge w:val="restart"/>
          </w:tcPr>
          <w:p w:rsidR="00635C20" w:rsidRPr="0052271B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p value</w:t>
            </w:r>
          </w:p>
        </w:tc>
        <w:tc>
          <w:tcPr>
            <w:tcW w:w="0" w:type="auto"/>
            <w:vMerge w:val="restart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Hazard Ratio</w:t>
            </w:r>
          </w:p>
        </w:tc>
        <w:tc>
          <w:tcPr>
            <w:tcW w:w="0" w:type="auto"/>
            <w:gridSpan w:val="2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95% CI for HR</w:t>
            </w:r>
          </w:p>
        </w:tc>
      </w:tr>
      <w:tr w:rsidR="00635C20" w:rsidRPr="006734CF" w:rsidTr="001B41D1">
        <w:trPr>
          <w:trHeight w:val="117"/>
        </w:trPr>
        <w:tc>
          <w:tcPr>
            <w:tcW w:w="3405" w:type="dxa"/>
            <w:vMerge/>
          </w:tcPr>
          <w:p w:rsidR="00635C20" w:rsidRPr="0052271B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</w:tcPr>
          <w:p w:rsidR="00635C20" w:rsidRPr="0052271B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635C20" w:rsidRPr="0052271B" w:rsidRDefault="00635C20" w:rsidP="007E46C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Lower</w:t>
            </w: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Upper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7E46CC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Start Category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2002-2006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2007-2012</w:t>
            </w:r>
          </w:p>
        </w:tc>
        <w:tc>
          <w:tcPr>
            <w:tcW w:w="1558" w:type="dxa"/>
            <w:vAlign w:val="bottom"/>
          </w:tcPr>
          <w:p w:rsidR="00635C20" w:rsidRPr="0052271B" w:rsidRDefault="00537FA8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0.190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0.817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0.603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1.106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2013+</w:t>
            </w:r>
          </w:p>
        </w:tc>
        <w:tc>
          <w:tcPr>
            <w:tcW w:w="1558" w:type="dxa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0.894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0.963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0.554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7E46CC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Patient Reported Progression in 2</w:t>
            </w:r>
            <w:r w:rsidRPr="007E46CC">
              <w:rPr>
                <w:rFonts w:ascii="Arial" w:hAnsi="Arial" w:cs="Arial"/>
                <w:b/>
                <w:vertAlign w:val="superscript"/>
              </w:rPr>
              <w:t>nd</w:t>
            </w:r>
            <w:r w:rsidRPr="007E46CC">
              <w:rPr>
                <w:rFonts w:ascii="Arial" w:hAnsi="Arial" w:cs="Arial"/>
                <w:b/>
              </w:rPr>
              <w:t xml:space="preserve"> Line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558" w:type="dxa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1.812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1.330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2.470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7E46CC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Ever Had Regorafenib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No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Yes</w:t>
            </w:r>
          </w:p>
        </w:tc>
        <w:tc>
          <w:tcPr>
            <w:tcW w:w="1558" w:type="dxa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0.3891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0.275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0.550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7E46CC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 xml:space="preserve">Age at Start of Treatment </w:t>
            </w:r>
          </w:p>
        </w:tc>
        <w:tc>
          <w:tcPr>
            <w:tcW w:w="1558" w:type="dxa"/>
            <w:vAlign w:val="bottom"/>
          </w:tcPr>
          <w:p w:rsidR="00635C20" w:rsidRPr="0052271B" w:rsidRDefault="008F04C9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0" w:type="auto"/>
            <w:vAlign w:val="bottom"/>
          </w:tcPr>
          <w:p w:rsidR="00635C20" w:rsidRPr="0052271B" w:rsidRDefault="008F04C9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9A7F6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bottom"/>
          </w:tcPr>
          <w:p w:rsidR="00635C20" w:rsidRPr="0052271B" w:rsidRDefault="009A7F6B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</w:t>
            </w:r>
          </w:p>
        </w:tc>
        <w:tc>
          <w:tcPr>
            <w:tcW w:w="0" w:type="auto"/>
            <w:vAlign w:val="bottom"/>
          </w:tcPr>
          <w:p w:rsidR="00635C20" w:rsidRPr="0052271B" w:rsidRDefault="009A7F6B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  <w:bookmarkStart w:id="0" w:name="_GoBack"/>
            <w:bookmarkEnd w:id="0"/>
          </w:p>
        </w:tc>
      </w:tr>
      <w:tr w:rsidR="00635C20" w:rsidRPr="006734CF" w:rsidTr="001B41D1">
        <w:tc>
          <w:tcPr>
            <w:tcW w:w="3405" w:type="dxa"/>
          </w:tcPr>
          <w:p w:rsidR="00635C20" w:rsidRPr="007E46CC" w:rsidRDefault="00635C20" w:rsidP="007E46CC">
            <w:pPr>
              <w:ind w:firstLine="0"/>
              <w:rPr>
                <w:rFonts w:ascii="Arial" w:hAnsi="Arial" w:cs="Arial"/>
                <w:b/>
              </w:rPr>
            </w:pPr>
            <w:r w:rsidRPr="007E46C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Male</w:t>
            </w:r>
          </w:p>
        </w:tc>
        <w:tc>
          <w:tcPr>
            <w:tcW w:w="1558" w:type="dxa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0.142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1.214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0.937</w:t>
            </w: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1.572</w:t>
            </w:r>
          </w:p>
        </w:tc>
      </w:tr>
      <w:tr w:rsidR="00635C20" w:rsidRPr="006734CF" w:rsidTr="001B41D1">
        <w:tc>
          <w:tcPr>
            <w:tcW w:w="3405" w:type="dxa"/>
          </w:tcPr>
          <w:p w:rsidR="00635C20" w:rsidRPr="0052271B" w:rsidRDefault="00635C20" w:rsidP="007E46CC">
            <w:pPr>
              <w:ind w:firstLine="337"/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Female</w:t>
            </w:r>
          </w:p>
        </w:tc>
        <w:tc>
          <w:tcPr>
            <w:tcW w:w="1558" w:type="dxa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BF4344" w:rsidP="007E46C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635C20" w:rsidRPr="0052271B" w:rsidRDefault="00635C20" w:rsidP="007E46C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F4344" w:rsidRPr="006734CF" w:rsidTr="00BF4344">
        <w:tc>
          <w:tcPr>
            <w:tcW w:w="3405" w:type="dxa"/>
          </w:tcPr>
          <w:p w:rsidR="00537FA8" w:rsidRPr="007E46CC" w:rsidRDefault="00537FA8" w:rsidP="00537FA8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Mutation</w:t>
            </w:r>
          </w:p>
        </w:tc>
        <w:tc>
          <w:tcPr>
            <w:tcW w:w="1558" w:type="dxa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F4344" w:rsidRPr="006734CF" w:rsidTr="00BF4344">
        <w:tc>
          <w:tcPr>
            <w:tcW w:w="3405" w:type="dxa"/>
          </w:tcPr>
          <w:p w:rsidR="00537FA8" w:rsidRPr="0052271B" w:rsidRDefault="00537FA8" w:rsidP="001B41D1">
            <w:pPr>
              <w:rPr>
                <w:rFonts w:ascii="Arial" w:hAnsi="Arial" w:cs="Arial"/>
              </w:rPr>
            </w:pPr>
            <w:r w:rsidRPr="0052271B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IT exon 11</w:t>
            </w:r>
          </w:p>
        </w:tc>
        <w:tc>
          <w:tcPr>
            <w:tcW w:w="1558" w:type="dxa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537FA8" w:rsidRPr="0052271B" w:rsidRDefault="00537FA8" w:rsidP="00537FA8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F4344" w:rsidRPr="006734CF" w:rsidTr="00BF4344">
        <w:tc>
          <w:tcPr>
            <w:tcW w:w="3405" w:type="dxa"/>
          </w:tcPr>
          <w:p w:rsidR="00537FA8" w:rsidRPr="0052271B" w:rsidRDefault="00537FA8" w:rsidP="00537FA8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exon 9</w:t>
            </w:r>
          </w:p>
        </w:tc>
        <w:tc>
          <w:tcPr>
            <w:tcW w:w="1558" w:type="dxa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0.390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1.209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0.785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1.862</w:t>
            </w:r>
          </w:p>
        </w:tc>
      </w:tr>
      <w:tr w:rsidR="00BF4344" w:rsidRPr="006734CF" w:rsidTr="00BF4344">
        <w:tc>
          <w:tcPr>
            <w:tcW w:w="3405" w:type="dxa"/>
          </w:tcPr>
          <w:p w:rsidR="00537FA8" w:rsidRPr="0052271B" w:rsidRDefault="00537FA8" w:rsidP="001B41D1">
            <w:pPr>
              <w:ind w:left="33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D842V (PDGFRA, exon 18)</w:t>
            </w:r>
          </w:p>
        </w:tc>
        <w:tc>
          <w:tcPr>
            <w:tcW w:w="1558" w:type="dxa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0.339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0.135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0.849</w:t>
            </w:r>
          </w:p>
        </w:tc>
      </w:tr>
      <w:tr w:rsidR="00BF4344" w:rsidRPr="006734CF" w:rsidTr="00BF4344">
        <w:tc>
          <w:tcPr>
            <w:tcW w:w="3405" w:type="dxa"/>
          </w:tcPr>
          <w:p w:rsidR="00537FA8" w:rsidRPr="0052271B" w:rsidRDefault="00537FA8" w:rsidP="00537FA8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KIT/PDGFRA WT</w:t>
            </w:r>
          </w:p>
        </w:tc>
        <w:tc>
          <w:tcPr>
            <w:tcW w:w="1558" w:type="dxa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0.451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0.263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0.773</w:t>
            </w:r>
          </w:p>
        </w:tc>
      </w:tr>
      <w:tr w:rsidR="00BF4344" w:rsidRPr="006734CF" w:rsidTr="00BF4344">
        <w:tc>
          <w:tcPr>
            <w:tcW w:w="3405" w:type="dxa"/>
          </w:tcPr>
          <w:p w:rsidR="00537FA8" w:rsidRDefault="00537FA8" w:rsidP="00537FA8">
            <w:pPr>
              <w:ind w:left="34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 KIT/PDGFRA mutations combined</w:t>
            </w:r>
          </w:p>
          <w:p w:rsidR="00537FA8" w:rsidRPr="0052271B" w:rsidRDefault="00537FA8" w:rsidP="001B41D1">
            <w:pPr>
              <w:ind w:left="33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(KIT exons 13,17, PDGFRA exons 12, 14)</w:t>
            </w:r>
          </w:p>
        </w:tc>
        <w:tc>
          <w:tcPr>
            <w:tcW w:w="1558" w:type="dxa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0.230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0.739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3.534</w:t>
            </w:r>
          </w:p>
        </w:tc>
      </w:tr>
      <w:tr w:rsidR="00BF4344" w:rsidRPr="006734CF" w:rsidTr="00BF4344">
        <w:tc>
          <w:tcPr>
            <w:tcW w:w="3405" w:type="dxa"/>
          </w:tcPr>
          <w:p w:rsidR="00537FA8" w:rsidRPr="0052271B" w:rsidRDefault="00537FA8" w:rsidP="00537FA8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 mutation</w:t>
            </w:r>
          </w:p>
        </w:tc>
        <w:tc>
          <w:tcPr>
            <w:tcW w:w="1558" w:type="dxa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0.208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0.893</w:t>
            </w:r>
          </w:p>
        </w:tc>
        <w:tc>
          <w:tcPr>
            <w:tcW w:w="0" w:type="auto"/>
            <w:vAlign w:val="bottom"/>
          </w:tcPr>
          <w:p w:rsidR="00537FA8" w:rsidRPr="0052271B" w:rsidRDefault="00BF4344" w:rsidP="00537FA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1.636</w:t>
            </w:r>
          </w:p>
        </w:tc>
      </w:tr>
    </w:tbl>
    <w:p w:rsidR="00AC4345" w:rsidRDefault="00AC4345" w:rsidP="00456E4C">
      <w:pPr>
        <w:ind w:firstLine="0"/>
      </w:pPr>
    </w:p>
    <w:sectPr w:rsidR="00AC4345" w:rsidSect="00FF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D02"/>
    <w:multiLevelType w:val="hybridMultilevel"/>
    <w:tmpl w:val="E12E2F72"/>
    <w:lvl w:ilvl="0" w:tplc="3536AEF8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characterSpacingControl w:val="doNotCompress"/>
  <w:compat/>
  <w:rsids>
    <w:rsidRoot w:val="00793513"/>
    <w:rsid w:val="00002602"/>
    <w:rsid w:val="00046FFD"/>
    <w:rsid w:val="00054A75"/>
    <w:rsid w:val="000612BA"/>
    <w:rsid w:val="0008099C"/>
    <w:rsid w:val="000A4EC9"/>
    <w:rsid w:val="000C6B3D"/>
    <w:rsid w:val="000E5562"/>
    <w:rsid w:val="001620BB"/>
    <w:rsid w:val="001B41D1"/>
    <w:rsid w:val="001C341F"/>
    <w:rsid w:val="001C38AE"/>
    <w:rsid w:val="001D55EF"/>
    <w:rsid w:val="00213801"/>
    <w:rsid w:val="00215131"/>
    <w:rsid w:val="002C4E6A"/>
    <w:rsid w:val="002F2E29"/>
    <w:rsid w:val="00367BB3"/>
    <w:rsid w:val="003734D1"/>
    <w:rsid w:val="0037395B"/>
    <w:rsid w:val="003A1B95"/>
    <w:rsid w:val="003F5310"/>
    <w:rsid w:val="0041771E"/>
    <w:rsid w:val="00444CAB"/>
    <w:rsid w:val="00456E4C"/>
    <w:rsid w:val="00462E69"/>
    <w:rsid w:val="00477B22"/>
    <w:rsid w:val="004E5B4C"/>
    <w:rsid w:val="00505E66"/>
    <w:rsid w:val="00513F70"/>
    <w:rsid w:val="00520A4A"/>
    <w:rsid w:val="00537FA8"/>
    <w:rsid w:val="005540AC"/>
    <w:rsid w:val="00576454"/>
    <w:rsid w:val="00577514"/>
    <w:rsid w:val="005D2A27"/>
    <w:rsid w:val="005F3A36"/>
    <w:rsid w:val="00635C20"/>
    <w:rsid w:val="006F06A6"/>
    <w:rsid w:val="00720D30"/>
    <w:rsid w:val="007343AB"/>
    <w:rsid w:val="00750FC7"/>
    <w:rsid w:val="00786A7D"/>
    <w:rsid w:val="00792F02"/>
    <w:rsid w:val="00793513"/>
    <w:rsid w:val="007957C7"/>
    <w:rsid w:val="007A2F9F"/>
    <w:rsid w:val="007A41DC"/>
    <w:rsid w:val="007C6407"/>
    <w:rsid w:val="007C7DF2"/>
    <w:rsid w:val="007D3BCB"/>
    <w:rsid w:val="007E46CC"/>
    <w:rsid w:val="00806A32"/>
    <w:rsid w:val="00816EEF"/>
    <w:rsid w:val="00823C5F"/>
    <w:rsid w:val="00893FCB"/>
    <w:rsid w:val="00896206"/>
    <w:rsid w:val="008A61F2"/>
    <w:rsid w:val="008E4461"/>
    <w:rsid w:val="008F04C9"/>
    <w:rsid w:val="008F703F"/>
    <w:rsid w:val="00911D05"/>
    <w:rsid w:val="00955B6C"/>
    <w:rsid w:val="009A336C"/>
    <w:rsid w:val="009A7F6B"/>
    <w:rsid w:val="009E1327"/>
    <w:rsid w:val="00A2628A"/>
    <w:rsid w:val="00A41F35"/>
    <w:rsid w:val="00A87069"/>
    <w:rsid w:val="00A8728A"/>
    <w:rsid w:val="00AA408F"/>
    <w:rsid w:val="00AA6864"/>
    <w:rsid w:val="00AC4345"/>
    <w:rsid w:val="00AC487E"/>
    <w:rsid w:val="00AD5C30"/>
    <w:rsid w:val="00AF243C"/>
    <w:rsid w:val="00B24912"/>
    <w:rsid w:val="00B92BE0"/>
    <w:rsid w:val="00BE5B59"/>
    <w:rsid w:val="00BE6019"/>
    <w:rsid w:val="00BF3855"/>
    <w:rsid w:val="00BF4344"/>
    <w:rsid w:val="00C8746E"/>
    <w:rsid w:val="00CB0FB5"/>
    <w:rsid w:val="00CB2DD3"/>
    <w:rsid w:val="00CB7169"/>
    <w:rsid w:val="00CD5723"/>
    <w:rsid w:val="00CE53D7"/>
    <w:rsid w:val="00CF7545"/>
    <w:rsid w:val="00DB644F"/>
    <w:rsid w:val="00DE1E07"/>
    <w:rsid w:val="00E27EFD"/>
    <w:rsid w:val="00E6053B"/>
    <w:rsid w:val="00EA1926"/>
    <w:rsid w:val="00EB7B33"/>
    <w:rsid w:val="00ED6738"/>
    <w:rsid w:val="00EE529A"/>
    <w:rsid w:val="00F001E5"/>
    <w:rsid w:val="00F2378B"/>
    <w:rsid w:val="00F30371"/>
    <w:rsid w:val="00F61B29"/>
    <w:rsid w:val="00FD56D8"/>
    <w:rsid w:val="00FE4DA4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20"/>
    <w:pPr>
      <w:ind w:firstLine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7"/>
    <w:rPr>
      <w:rFonts w:ascii="Times New Roman" w:hAnsi="Times New Roman" w:cs="Times New Roman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C8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Call</dc:creator>
  <cp:keywords/>
  <dc:description/>
  <cp:lastModifiedBy>0011692</cp:lastModifiedBy>
  <cp:revision>6</cp:revision>
  <dcterms:created xsi:type="dcterms:W3CDTF">2019-01-18T13:28:00Z</dcterms:created>
  <dcterms:modified xsi:type="dcterms:W3CDTF">2019-03-30T05:39:00Z</dcterms:modified>
</cp:coreProperties>
</file>