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47B" w:rsidRPr="0024647B" w:rsidRDefault="0024647B" w:rsidP="0024647B">
      <w:pPr>
        <w:spacing w:line="480" w:lineRule="auto"/>
        <w:jc w:val="both"/>
        <w:rPr>
          <w:b/>
          <w:sz w:val="24"/>
          <w:lang w:val="en-US"/>
        </w:rPr>
      </w:pPr>
      <w:r w:rsidRPr="0024647B">
        <w:rPr>
          <w:b/>
          <w:sz w:val="24"/>
          <w:lang w:val="en-US"/>
        </w:rPr>
        <w:t xml:space="preserve">Addiction statistical analysis of native T1 adjusted </w:t>
      </w:r>
      <w:r>
        <w:rPr>
          <w:b/>
          <w:sz w:val="24"/>
          <w:lang w:val="en-US"/>
        </w:rPr>
        <w:t>for</w:t>
      </w:r>
      <w:r w:rsidRPr="0024647B">
        <w:rPr>
          <w:b/>
          <w:sz w:val="24"/>
          <w:lang w:val="en-US"/>
        </w:rPr>
        <w:t xml:space="preserve"> confounders</w:t>
      </w:r>
    </w:p>
    <w:p w:rsidR="00163EF2" w:rsidRPr="000A05FA" w:rsidRDefault="000269D6" w:rsidP="00B65368">
      <w:pPr>
        <w:spacing w:line="480" w:lineRule="auto"/>
        <w:ind w:firstLine="709"/>
        <w:jc w:val="both"/>
        <w:rPr>
          <w:sz w:val="24"/>
          <w:szCs w:val="24"/>
          <w:lang w:val="en-US"/>
        </w:rPr>
      </w:pPr>
      <w:r w:rsidRPr="00163EF2">
        <w:rPr>
          <w:sz w:val="24"/>
          <w:lang w:val="en-US"/>
        </w:rPr>
        <w:t>The median time to the first exam was 5 days. The pre-operatory mean hematocrit was 33.6±5.1 and at the time of examination of 32.7±5.9 (without statistical differences, p=0.44).</w:t>
      </w:r>
      <w:r w:rsidR="00DE7491">
        <w:rPr>
          <w:sz w:val="24"/>
          <w:lang w:val="en-US"/>
        </w:rPr>
        <w:t xml:space="preserve"> </w:t>
      </w:r>
      <w:r w:rsidR="00163EF2" w:rsidRPr="00163EF2">
        <w:rPr>
          <w:sz w:val="24"/>
          <w:lang w:val="en-US"/>
        </w:rPr>
        <w:t xml:space="preserve">There was an </w:t>
      </w:r>
      <w:r w:rsidR="00B65368">
        <w:rPr>
          <w:sz w:val="24"/>
          <w:lang w:val="en-US"/>
        </w:rPr>
        <w:t>increase</w:t>
      </w:r>
      <w:r w:rsidR="00163EF2" w:rsidRPr="00163EF2">
        <w:rPr>
          <w:sz w:val="24"/>
          <w:lang w:val="en-US"/>
        </w:rPr>
        <w:t xml:space="preserve"> in </w:t>
      </w:r>
      <w:proofErr w:type="spellStart"/>
      <w:r w:rsidR="00163EF2" w:rsidRPr="00163EF2">
        <w:rPr>
          <w:sz w:val="24"/>
          <w:lang w:val="en-US"/>
        </w:rPr>
        <w:t>hematocrit</w:t>
      </w:r>
      <w:proofErr w:type="spellEnd"/>
      <w:r w:rsidR="00163EF2" w:rsidRPr="00163EF2">
        <w:rPr>
          <w:sz w:val="24"/>
          <w:lang w:val="en-US"/>
        </w:rPr>
        <w:t xml:space="preserve"> and hemoglobin at 6 months, which is an expected effect of transplantation due to the improvement of renal function.</w:t>
      </w:r>
      <w:r w:rsidR="00163EF2">
        <w:rPr>
          <w:sz w:val="24"/>
          <w:lang w:val="en-US"/>
        </w:rPr>
        <w:t xml:space="preserve"> The native T1 may be affected by hematocrit and heart </w:t>
      </w:r>
      <w:r w:rsidR="00D652F3">
        <w:rPr>
          <w:sz w:val="24"/>
          <w:lang w:val="en-US"/>
        </w:rPr>
        <w:t>rate</w:t>
      </w:r>
      <w:r w:rsidR="00C32593">
        <w:rPr>
          <w:sz w:val="24"/>
          <w:lang w:val="en-US"/>
        </w:rPr>
        <w:t>.</w:t>
      </w:r>
      <w:r w:rsidR="00C32593" w:rsidRPr="00163EF2">
        <w:rPr>
          <w:sz w:val="24"/>
          <w:lang w:val="en-US"/>
        </w:rPr>
        <w:t xml:space="preserve"> To</w:t>
      </w:r>
      <w:r w:rsidR="00163EF2" w:rsidRPr="00163EF2">
        <w:rPr>
          <w:sz w:val="24"/>
          <w:lang w:val="en-US"/>
        </w:rPr>
        <w:t xml:space="preserve"> prove that </w:t>
      </w:r>
      <w:r w:rsidR="00163EF2">
        <w:rPr>
          <w:sz w:val="24"/>
          <w:lang w:val="en-US"/>
        </w:rPr>
        <w:t>these confounders did</w:t>
      </w:r>
      <w:r w:rsidR="00163EF2" w:rsidRPr="00163EF2">
        <w:rPr>
          <w:sz w:val="24"/>
          <w:lang w:val="en-US"/>
        </w:rPr>
        <w:t xml:space="preserve"> not affect the native T1 time, we conducted a linear mixed </w:t>
      </w:r>
      <w:r w:rsidR="00163EF2">
        <w:rPr>
          <w:sz w:val="24"/>
          <w:lang w:val="en-US"/>
        </w:rPr>
        <w:t>model of repeated measures.</w:t>
      </w:r>
      <w:r w:rsidR="00163EF2" w:rsidRPr="00A40F1E">
        <w:rPr>
          <w:sz w:val="24"/>
          <w:szCs w:val="24"/>
          <w:lang w:val="en-US"/>
        </w:rPr>
        <w:t xml:space="preserve"> This analysis considers the repeated measures and the covariance structure. For the repeated measurements, the </w:t>
      </w:r>
      <w:r w:rsidR="00DE7491" w:rsidRPr="009D02B5">
        <w:rPr>
          <w:lang w:val="en-US"/>
        </w:rPr>
        <w:t xml:space="preserve">first-order autoregressive structure </w:t>
      </w:r>
      <w:r w:rsidR="00163EF2" w:rsidRPr="00A40F1E">
        <w:rPr>
          <w:sz w:val="24"/>
          <w:szCs w:val="24"/>
          <w:lang w:val="en-US"/>
        </w:rPr>
        <w:t>was used</w:t>
      </w:r>
      <w:r w:rsidR="00DE7491">
        <w:rPr>
          <w:sz w:val="24"/>
          <w:szCs w:val="24"/>
          <w:lang w:val="en-US"/>
        </w:rPr>
        <w:t xml:space="preserve"> as covariance structure</w:t>
      </w:r>
      <w:r w:rsidR="00163EF2" w:rsidRPr="00A40F1E">
        <w:rPr>
          <w:sz w:val="24"/>
          <w:szCs w:val="24"/>
          <w:lang w:val="en-US"/>
        </w:rPr>
        <w:t>. As fixed effects we used the time of the evaluation (baseline</w:t>
      </w:r>
      <w:r w:rsidR="00DE7491">
        <w:rPr>
          <w:sz w:val="24"/>
          <w:szCs w:val="24"/>
          <w:lang w:val="en-US"/>
        </w:rPr>
        <w:t xml:space="preserve"> and </w:t>
      </w:r>
      <w:r w:rsidR="00163EF2" w:rsidRPr="00A40F1E">
        <w:rPr>
          <w:sz w:val="24"/>
          <w:szCs w:val="24"/>
          <w:lang w:val="en-US"/>
        </w:rPr>
        <w:t>6 months</w:t>
      </w:r>
      <w:r w:rsidR="00DE7491">
        <w:rPr>
          <w:sz w:val="24"/>
          <w:szCs w:val="24"/>
          <w:lang w:val="en-US"/>
        </w:rPr>
        <w:t>)</w:t>
      </w:r>
      <w:r w:rsidR="00663D5C">
        <w:rPr>
          <w:sz w:val="24"/>
          <w:szCs w:val="24"/>
          <w:lang w:val="en-US"/>
        </w:rPr>
        <w:t>,</w:t>
      </w:r>
      <w:r w:rsidR="00DE7491">
        <w:rPr>
          <w:sz w:val="24"/>
          <w:szCs w:val="24"/>
          <w:lang w:val="en-US"/>
        </w:rPr>
        <w:t xml:space="preserve"> heart </w:t>
      </w:r>
      <w:r w:rsidR="00B65368">
        <w:rPr>
          <w:sz w:val="24"/>
          <w:szCs w:val="24"/>
          <w:lang w:val="en-US"/>
        </w:rPr>
        <w:t>rate</w:t>
      </w:r>
      <w:r w:rsidR="00DE7491">
        <w:rPr>
          <w:sz w:val="24"/>
          <w:szCs w:val="24"/>
          <w:lang w:val="en-US"/>
        </w:rPr>
        <w:t xml:space="preserve">, </w:t>
      </w:r>
      <w:proofErr w:type="spellStart"/>
      <w:proofErr w:type="gramStart"/>
      <w:r w:rsidR="00DE7491">
        <w:rPr>
          <w:sz w:val="24"/>
          <w:szCs w:val="24"/>
          <w:lang w:val="en-US"/>
        </w:rPr>
        <w:t>hematocrit</w:t>
      </w:r>
      <w:proofErr w:type="spellEnd"/>
      <w:proofErr w:type="gramEnd"/>
      <w:r w:rsidR="00DE7491">
        <w:rPr>
          <w:sz w:val="24"/>
          <w:szCs w:val="24"/>
          <w:lang w:val="en-US"/>
        </w:rPr>
        <w:t xml:space="preserve"> and </w:t>
      </w:r>
      <w:r w:rsidR="00E77F5D">
        <w:rPr>
          <w:sz w:val="24"/>
          <w:szCs w:val="24"/>
          <w:lang w:val="en-US"/>
        </w:rPr>
        <w:t xml:space="preserve">body </w:t>
      </w:r>
      <w:r w:rsidR="00DE7491">
        <w:rPr>
          <w:sz w:val="24"/>
          <w:szCs w:val="24"/>
          <w:lang w:val="en-US"/>
        </w:rPr>
        <w:t>weight</w:t>
      </w:r>
      <w:r w:rsidR="00163EF2" w:rsidRPr="00A40F1E">
        <w:rPr>
          <w:sz w:val="24"/>
          <w:szCs w:val="24"/>
          <w:lang w:val="en-US"/>
        </w:rPr>
        <w:t>.</w:t>
      </w:r>
      <w:r w:rsidR="00B65368">
        <w:rPr>
          <w:sz w:val="24"/>
          <w:szCs w:val="24"/>
          <w:lang w:val="en-US"/>
        </w:rPr>
        <w:t xml:space="preserve"> As random factor we used</w:t>
      </w:r>
      <w:r w:rsidR="00DE7491">
        <w:rPr>
          <w:sz w:val="24"/>
          <w:szCs w:val="24"/>
          <w:lang w:val="en-US"/>
        </w:rPr>
        <w:t xml:space="preserve"> patients to better </w:t>
      </w:r>
      <w:r w:rsidR="00663D5C">
        <w:rPr>
          <w:sz w:val="24"/>
          <w:szCs w:val="24"/>
          <w:lang w:val="en-US"/>
        </w:rPr>
        <w:t>assess</w:t>
      </w:r>
      <w:r w:rsidR="00DE7491">
        <w:rPr>
          <w:sz w:val="24"/>
          <w:szCs w:val="24"/>
          <w:lang w:val="en-US"/>
        </w:rPr>
        <w:t xml:space="preserve"> individual variations. </w:t>
      </w:r>
      <w:r w:rsidR="002C3A3A">
        <w:rPr>
          <w:sz w:val="24"/>
          <w:szCs w:val="24"/>
          <w:lang w:val="en-US"/>
        </w:rPr>
        <w:t xml:space="preserve">We perform additional models including other confounding variables at model 2 and 3. </w:t>
      </w:r>
      <w:r w:rsidR="00DE7491">
        <w:rPr>
          <w:sz w:val="24"/>
          <w:szCs w:val="24"/>
          <w:lang w:val="en-US"/>
        </w:rPr>
        <w:t>These</w:t>
      </w:r>
      <w:r w:rsidR="00163EF2" w:rsidRPr="00A40F1E">
        <w:rPr>
          <w:sz w:val="24"/>
          <w:szCs w:val="24"/>
          <w:lang w:val="en-US"/>
        </w:rPr>
        <w:t xml:space="preserve"> Statistical analyses were performed using SPSS software, </w:t>
      </w:r>
      <w:r w:rsidR="00163EF2" w:rsidRPr="00A40F1E">
        <w:rPr>
          <w:rFonts w:cs="Calibri"/>
          <w:sz w:val="24"/>
          <w:szCs w:val="24"/>
          <w:lang w:val="en-US"/>
        </w:rPr>
        <w:t xml:space="preserve">version 20 (IBM, Armonk, NY). </w:t>
      </w:r>
    </w:p>
    <w:p w:rsidR="00C32593" w:rsidRPr="00C32593" w:rsidRDefault="002C3A3A" w:rsidP="0009184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b/>
          <w:lang w:val="en-US"/>
        </w:rPr>
        <w:t xml:space="preserve">Model 01. </w:t>
      </w:r>
      <w:r w:rsidR="00C32593" w:rsidRPr="00C32593">
        <w:rPr>
          <w:b/>
          <w:lang w:val="en-US"/>
        </w:rPr>
        <w:t xml:space="preserve">Linear mixed models to native T1 adjusted to confounders (hematocrit, heart </w:t>
      </w:r>
      <w:r w:rsidR="00993F45">
        <w:rPr>
          <w:b/>
          <w:lang w:val="en-US"/>
        </w:rPr>
        <w:t>rate</w:t>
      </w:r>
      <w:r w:rsidR="009B27D3">
        <w:rPr>
          <w:b/>
          <w:lang w:val="en-US"/>
        </w:rPr>
        <w:t xml:space="preserve"> </w:t>
      </w:r>
      <w:r w:rsidR="00C32593" w:rsidRPr="00C32593">
        <w:rPr>
          <w:b/>
          <w:lang w:val="en-US"/>
        </w:rPr>
        <w:t>and weight) over time (baseline and 6 months)</w:t>
      </w:r>
    </w:p>
    <w:tbl>
      <w:tblPr>
        <w:tblStyle w:val="SombreamentoMdio21"/>
        <w:tblW w:w="5170" w:type="dxa"/>
        <w:tblLook w:val="0000"/>
      </w:tblPr>
      <w:tblGrid>
        <w:gridCol w:w="2598"/>
        <w:gridCol w:w="235"/>
        <w:gridCol w:w="1326"/>
        <w:gridCol w:w="1011"/>
      </w:tblGrid>
      <w:tr w:rsidR="00C32593" w:rsidTr="00C32593">
        <w:trPr>
          <w:cnfStyle w:val="000000100000"/>
        </w:trPr>
        <w:tc>
          <w:tcPr>
            <w:cnfStyle w:val="000010000000"/>
            <w:tcW w:w="2833" w:type="dxa"/>
            <w:gridSpan w:val="2"/>
            <w:shd w:val="clear" w:color="auto" w:fill="FFFFFF" w:themeFill="background1"/>
          </w:tcPr>
          <w:p w:rsidR="00C32593" w:rsidRPr="00C32593" w:rsidRDefault="00C32593" w:rsidP="006E4575">
            <w:pPr>
              <w:rPr>
                <w:rFonts w:cs="Arial"/>
                <w:color w:val="000000"/>
                <w:sz w:val="24"/>
              </w:rPr>
            </w:pPr>
          </w:p>
          <w:p w:rsidR="00C32593" w:rsidRPr="00C32593" w:rsidRDefault="00C32593" w:rsidP="006E4575">
            <w:pPr>
              <w:rPr>
                <w:rFonts w:cs="Arial"/>
                <w:b/>
                <w:color w:val="000000"/>
                <w:sz w:val="24"/>
              </w:rPr>
            </w:pPr>
            <w:r w:rsidRPr="00C32593">
              <w:rPr>
                <w:rFonts w:cs="Arial"/>
                <w:b/>
                <w:color w:val="000000"/>
                <w:sz w:val="24"/>
              </w:rPr>
              <w:t>Model Term</w:t>
            </w:r>
          </w:p>
        </w:tc>
        <w:tc>
          <w:tcPr>
            <w:tcW w:w="2337" w:type="dxa"/>
            <w:gridSpan w:val="2"/>
            <w:shd w:val="clear" w:color="auto" w:fill="FFFFFF" w:themeFill="background1"/>
          </w:tcPr>
          <w:p w:rsidR="00C32593" w:rsidRDefault="00C32593" w:rsidP="00C32593">
            <w:pPr>
              <w:spacing w:line="320" w:lineRule="atLeast"/>
              <w:ind w:left="60" w:right="60"/>
              <w:cnfStyle w:val="000000100000"/>
              <w:rPr>
                <w:rFonts w:cs="Arial"/>
                <w:b/>
                <w:color w:val="000000"/>
                <w:sz w:val="24"/>
                <w:lang w:val="pt-BR"/>
              </w:rPr>
            </w:pPr>
          </w:p>
          <w:p w:rsidR="00C32593" w:rsidRPr="00C32593" w:rsidRDefault="00C32593" w:rsidP="00C32593">
            <w:pPr>
              <w:spacing w:line="320" w:lineRule="atLeast"/>
              <w:ind w:left="60" w:right="60"/>
              <w:cnfStyle w:val="000000100000"/>
              <w:rPr>
                <w:rFonts w:cs="Arial"/>
                <w:b/>
                <w:color w:val="000000"/>
                <w:sz w:val="24"/>
                <w:lang w:val="pt-BR"/>
              </w:rPr>
            </w:pPr>
            <w:proofErr w:type="spellStart"/>
            <w:r w:rsidRPr="00C32593">
              <w:rPr>
                <w:rFonts w:cs="Arial"/>
                <w:b/>
                <w:color w:val="000000"/>
                <w:sz w:val="24"/>
                <w:lang w:val="pt-BR"/>
              </w:rPr>
              <w:t>Coefficient</w:t>
            </w:r>
            <w:proofErr w:type="spellEnd"/>
            <w:r>
              <w:rPr>
                <w:rFonts w:cs="Arial"/>
                <w:b/>
                <w:color w:val="000000"/>
                <w:sz w:val="24"/>
                <w:lang w:val="pt-BR"/>
              </w:rPr>
              <w:t xml:space="preserve">        p</w:t>
            </w:r>
            <w:r w:rsidRPr="00C32593">
              <w:rPr>
                <w:rFonts w:cs="Arial"/>
                <w:b/>
                <w:color w:val="000000"/>
                <w:sz w:val="24"/>
                <w:lang w:val="pt-BR"/>
              </w:rPr>
              <w:t xml:space="preserve">                </w:t>
            </w:r>
          </w:p>
          <w:p w:rsidR="00C32593" w:rsidRPr="00C32593" w:rsidRDefault="00C32593" w:rsidP="006E4575">
            <w:pPr>
              <w:spacing w:line="320" w:lineRule="atLeast"/>
              <w:ind w:left="60" w:right="60"/>
              <w:cnfStyle w:val="000000100000"/>
              <w:rPr>
                <w:rFonts w:cs="Arial"/>
                <w:color w:val="000000"/>
                <w:sz w:val="24"/>
                <w:lang w:val="pt-BR"/>
              </w:rPr>
            </w:pPr>
          </w:p>
        </w:tc>
      </w:tr>
      <w:tr w:rsidR="00C32593" w:rsidTr="00C32593">
        <w:tc>
          <w:tcPr>
            <w:cnfStyle w:val="000010000000"/>
            <w:tcW w:w="2598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C32593" w:rsidRPr="00C32593" w:rsidRDefault="00C32593" w:rsidP="006E4575">
            <w:pPr>
              <w:spacing w:line="320" w:lineRule="atLeast"/>
              <w:ind w:left="60" w:right="60"/>
              <w:rPr>
                <w:rFonts w:cs="Arial"/>
                <w:b/>
                <w:color w:val="000000"/>
                <w:sz w:val="24"/>
                <w:szCs w:val="24"/>
                <w:lang w:val="pt-BR"/>
              </w:rPr>
            </w:pPr>
            <w:r w:rsidRPr="00C32593">
              <w:rPr>
                <w:rStyle w:val="shorttext"/>
                <w:b/>
                <w:sz w:val="24"/>
                <w:szCs w:val="24"/>
              </w:rPr>
              <w:t>Intercept</w:t>
            </w:r>
          </w:p>
        </w:tc>
        <w:tc>
          <w:tcPr>
            <w:tcW w:w="235" w:type="dxa"/>
            <w:tcBorders>
              <w:top w:val="single" w:sz="18" w:space="0" w:color="auto"/>
              <w:bottom w:val="nil"/>
            </w:tcBorders>
            <w:shd w:val="clear" w:color="auto" w:fill="FFFFFF" w:themeFill="background1"/>
          </w:tcPr>
          <w:p w:rsidR="00C32593" w:rsidRPr="00C32593" w:rsidRDefault="00C32593" w:rsidP="006E4575">
            <w:pPr>
              <w:spacing w:line="320" w:lineRule="atLeast"/>
              <w:ind w:left="60" w:right="60"/>
              <w:cnfStyle w:val="000000000000"/>
              <w:rPr>
                <w:rFonts w:cs="Arial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cnfStyle w:val="000010000000"/>
            <w:tcW w:w="1326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C32593" w:rsidRPr="00C32593" w:rsidRDefault="00C32593" w:rsidP="00C32593">
            <w:pPr>
              <w:spacing w:line="320" w:lineRule="atLeast"/>
              <w:ind w:left="60" w:right="60"/>
              <w:jc w:val="center"/>
              <w:rPr>
                <w:rFonts w:cs="Arial"/>
                <w:color w:val="000000"/>
                <w:sz w:val="24"/>
                <w:szCs w:val="24"/>
                <w:lang w:val="pt-BR"/>
              </w:rPr>
            </w:pPr>
            <w:r w:rsidRPr="00C32593">
              <w:rPr>
                <w:rFonts w:cs="Arial"/>
                <w:color w:val="000000"/>
                <w:sz w:val="24"/>
                <w:szCs w:val="24"/>
                <w:lang w:val="pt-BR"/>
              </w:rPr>
              <w:t>1,295.2</w:t>
            </w:r>
          </w:p>
        </w:tc>
        <w:tc>
          <w:tcPr>
            <w:tcW w:w="1011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C32593" w:rsidRPr="00C32593" w:rsidRDefault="00C32593" w:rsidP="00C32593">
            <w:pPr>
              <w:spacing w:line="320" w:lineRule="atLeast"/>
              <w:ind w:left="60" w:right="60"/>
              <w:jc w:val="center"/>
              <w:cnfStyle w:val="000000000000"/>
              <w:rPr>
                <w:rFonts w:cs="Arial"/>
                <w:color w:val="000000"/>
                <w:sz w:val="24"/>
                <w:szCs w:val="24"/>
                <w:lang w:val="pt-BR"/>
              </w:rPr>
            </w:pPr>
            <w:r w:rsidRPr="00C32593">
              <w:rPr>
                <w:rFonts w:cs="Arial"/>
                <w:color w:val="000000"/>
                <w:sz w:val="24"/>
                <w:szCs w:val="24"/>
                <w:lang w:val="pt-BR"/>
              </w:rPr>
              <w:t>0.000</w:t>
            </w:r>
          </w:p>
        </w:tc>
      </w:tr>
      <w:tr w:rsidR="00C32593" w:rsidTr="00C32593">
        <w:trPr>
          <w:cnfStyle w:val="000000100000"/>
        </w:trPr>
        <w:tc>
          <w:tcPr>
            <w:cnfStyle w:val="000010000000"/>
            <w:tcW w:w="2598" w:type="dxa"/>
            <w:shd w:val="clear" w:color="auto" w:fill="FFFFFF" w:themeFill="background1"/>
          </w:tcPr>
          <w:p w:rsidR="00C32593" w:rsidRPr="00C32593" w:rsidRDefault="00C32593" w:rsidP="006E4575">
            <w:pPr>
              <w:spacing w:line="320" w:lineRule="atLeast"/>
              <w:ind w:left="60" w:right="60"/>
              <w:rPr>
                <w:rFonts w:cs="Arial"/>
                <w:b/>
                <w:color w:val="000000"/>
                <w:sz w:val="24"/>
                <w:szCs w:val="24"/>
                <w:lang w:val="pt-BR"/>
              </w:rPr>
            </w:pPr>
            <w:r w:rsidRPr="00C32593">
              <w:rPr>
                <w:rStyle w:val="shorttext"/>
                <w:b/>
                <w:sz w:val="24"/>
                <w:szCs w:val="24"/>
              </w:rPr>
              <w:t>Hematocrit</w:t>
            </w:r>
            <w:r>
              <w:rPr>
                <w:rStyle w:val="shorttext"/>
                <w:b/>
                <w:sz w:val="24"/>
                <w:szCs w:val="24"/>
              </w:rPr>
              <w:t xml:space="preserve"> (%)</w:t>
            </w:r>
          </w:p>
        </w:tc>
        <w:tc>
          <w:tcPr>
            <w:tcW w:w="2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C32593" w:rsidRPr="00C32593" w:rsidRDefault="00C32593" w:rsidP="006E4575">
            <w:pPr>
              <w:spacing w:line="320" w:lineRule="atLeast"/>
              <w:ind w:left="60" w:right="60"/>
              <w:cnfStyle w:val="000000100000"/>
              <w:rPr>
                <w:rFonts w:cs="Arial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cnfStyle w:val="000010000000"/>
            <w:tcW w:w="1326" w:type="dxa"/>
            <w:shd w:val="clear" w:color="auto" w:fill="FFFFFF" w:themeFill="background1"/>
          </w:tcPr>
          <w:p w:rsidR="00C32593" w:rsidRPr="00C32593" w:rsidRDefault="00C32593" w:rsidP="00C32593">
            <w:pPr>
              <w:spacing w:line="320" w:lineRule="atLeast"/>
              <w:ind w:right="60"/>
              <w:jc w:val="center"/>
              <w:rPr>
                <w:rFonts w:cs="Arial"/>
                <w:color w:val="000000"/>
                <w:sz w:val="24"/>
                <w:szCs w:val="24"/>
                <w:lang w:val="pt-BR"/>
              </w:rPr>
            </w:pPr>
            <w:r w:rsidRPr="00C32593">
              <w:rPr>
                <w:rFonts w:cs="Arial"/>
                <w:color w:val="000000"/>
                <w:sz w:val="24"/>
                <w:szCs w:val="24"/>
                <w:lang w:val="pt-BR"/>
              </w:rPr>
              <w:t>-0.707</w:t>
            </w:r>
          </w:p>
        </w:tc>
        <w:tc>
          <w:tcPr>
            <w:tcW w:w="1011" w:type="dxa"/>
            <w:shd w:val="clear" w:color="auto" w:fill="FFFFFF" w:themeFill="background1"/>
          </w:tcPr>
          <w:p w:rsidR="00C32593" w:rsidRPr="00C32593" w:rsidRDefault="00C32593" w:rsidP="00C32593">
            <w:pPr>
              <w:spacing w:line="320" w:lineRule="atLeast"/>
              <w:ind w:left="60" w:right="60"/>
              <w:jc w:val="center"/>
              <w:cnfStyle w:val="000000100000"/>
              <w:rPr>
                <w:rFonts w:cs="Arial"/>
                <w:color w:val="000000"/>
                <w:sz w:val="24"/>
                <w:szCs w:val="24"/>
                <w:lang w:val="pt-BR"/>
              </w:rPr>
            </w:pPr>
            <w:r w:rsidRPr="00C32593">
              <w:rPr>
                <w:rFonts w:cs="Arial"/>
                <w:color w:val="000000"/>
                <w:sz w:val="24"/>
                <w:szCs w:val="24"/>
                <w:lang w:val="pt-BR"/>
              </w:rPr>
              <w:t>0.432</w:t>
            </w:r>
          </w:p>
        </w:tc>
      </w:tr>
      <w:tr w:rsidR="00C32593" w:rsidTr="00C32593">
        <w:tc>
          <w:tcPr>
            <w:cnfStyle w:val="000010000000"/>
            <w:tcW w:w="2598" w:type="dxa"/>
            <w:shd w:val="clear" w:color="auto" w:fill="FFFFFF" w:themeFill="background1"/>
          </w:tcPr>
          <w:p w:rsidR="00C32593" w:rsidRPr="00C32593" w:rsidRDefault="00C32593" w:rsidP="001E2A3D">
            <w:pPr>
              <w:spacing w:line="320" w:lineRule="atLeast"/>
              <w:ind w:left="60" w:right="60"/>
              <w:rPr>
                <w:rFonts w:cs="Arial"/>
                <w:b/>
                <w:color w:val="000000"/>
                <w:sz w:val="24"/>
                <w:szCs w:val="24"/>
                <w:lang w:val="pt-BR"/>
              </w:rPr>
            </w:pPr>
            <w:r w:rsidRPr="00C32593">
              <w:rPr>
                <w:rStyle w:val="shorttext"/>
                <w:b/>
                <w:sz w:val="24"/>
                <w:szCs w:val="24"/>
              </w:rPr>
              <w:t xml:space="preserve">Heart </w:t>
            </w:r>
            <w:r w:rsidR="001E2A3D">
              <w:rPr>
                <w:rStyle w:val="shorttext"/>
                <w:b/>
                <w:sz w:val="24"/>
                <w:szCs w:val="24"/>
              </w:rPr>
              <w:t>Rate</w:t>
            </w:r>
            <w:r>
              <w:rPr>
                <w:rStyle w:val="shorttext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C32593" w:rsidRPr="00C32593" w:rsidRDefault="00C32593" w:rsidP="006E4575">
            <w:pPr>
              <w:spacing w:line="320" w:lineRule="atLeast"/>
              <w:ind w:left="60" w:right="60"/>
              <w:cnfStyle w:val="000000000000"/>
              <w:rPr>
                <w:rFonts w:cs="Arial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cnfStyle w:val="000010000000"/>
            <w:tcW w:w="1326" w:type="dxa"/>
            <w:shd w:val="clear" w:color="auto" w:fill="FFFFFF" w:themeFill="background1"/>
          </w:tcPr>
          <w:p w:rsidR="00C32593" w:rsidRPr="00C32593" w:rsidRDefault="00C32593" w:rsidP="00C32593">
            <w:pPr>
              <w:spacing w:line="320" w:lineRule="atLeast"/>
              <w:ind w:left="60" w:right="60"/>
              <w:jc w:val="center"/>
              <w:rPr>
                <w:rFonts w:cs="Arial"/>
                <w:color w:val="000000"/>
                <w:sz w:val="24"/>
                <w:szCs w:val="24"/>
                <w:lang w:val="pt-BR"/>
              </w:rPr>
            </w:pPr>
            <w:r w:rsidRPr="00C32593">
              <w:rPr>
                <w:rFonts w:cs="Arial"/>
                <w:color w:val="000000"/>
                <w:sz w:val="24"/>
                <w:szCs w:val="24"/>
                <w:lang w:val="pt-BR"/>
              </w:rPr>
              <w:t>0.334</w:t>
            </w:r>
          </w:p>
        </w:tc>
        <w:tc>
          <w:tcPr>
            <w:tcW w:w="1011" w:type="dxa"/>
            <w:shd w:val="clear" w:color="auto" w:fill="FFFFFF" w:themeFill="background1"/>
          </w:tcPr>
          <w:p w:rsidR="00C32593" w:rsidRPr="00C32593" w:rsidRDefault="00C32593" w:rsidP="00C32593">
            <w:pPr>
              <w:spacing w:line="320" w:lineRule="atLeast"/>
              <w:ind w:left="60" w:right="60"/>
              <w:jc w:val="center"/>
              <w:cnfStyle w:val="000000000000"/>
              <w:rPr>
                <w:rFonts w:cs="Arial"/>
                <w:color w:val="000000"/>
                <w:sz w:val="24"/>
                <w:szCs w:val="24"/>
                <w:lang w:val="pt-BR"/>
              </w:rPr>
            </w:pPr>
            <w:r w:rsidRPr="00C32593">
              <w:rPr>
                <w:rFonts w:cs="Arial"/>
                <w:color w:val="000000"/>
                <w:sz w:val="24"/>
                <w:szCs w:val="24"/>
                <w:lang w:val="pt-BR"/>
              </w:rPr>
              <w:t>0.422</w:t>
            </w:r>
          </w:p>
        </w:tc>
      </w:tr>
      <w:tr w:rsidR="00C32593" w:rsidTr="00C32593">
        <w:trPr>
          <w:cnfStyle w:val="000000100000"/>
        </w:trPr>
        <w:tc>
          <w:tcPr>
            <w:cnfStyle w:val="000010000000"/>
            <w:tcW w:w="2598" w:type="dxa"/>
            <w:shd w:val="clear" w:color="auto" w:fill="FFFFFF" w:themeFill="background1"/>
          </w:tcPr>
          <w:p w:rsidR="00C32593" w:rsidRPr="00C32593" w:rsidRDefault="00C32593" w:rsidP="006E4575">
            <w:pPr>
              <w:spacing w:line="320" w:lineRule="atLeast"/>
              <w:ind w:left="60" w:right="60"/>
              <w:rPr>
                <w:rFonts w:cs="Arial"/>
                <w:b/>
                <w:color w:val="000000"/>
                <w:sz w:val="24"/>
                <w:szCs w:val="24"/>
                <w:lang w:val="pt-BR"/>
              </w:rPr>
            </w:pPr>
            <w:proofErr w:type="spellStart"/>
            <w:r w:rsidRPr="00C32593">
              <w:rPr>
                <w:rFonts w:cs="Arial"/>
                <w:b/>
                <w:color w:val="000000"/>
                <w:sz w:val="24"/>
                <w:szCs w:val="24"/>
                <w:lang w:val="pt-BR"/>
              </w:rPr>
              <w:t>Weight</w:t>
            </w:r>
            <w:proofErr w:type="spellEnd"/>
            <w:r>
              <w:rPr>
                <w:rFonts w:cs="Arial"/>
                <w:b/>
                <w:color w:val="000000"/>
                <w:sz w:val="24"/>
                <w:szCs w:val="24"/>
                <w:lang w:val="pt-BR"/>
              </w:rPr>
              <w:t xml:space="preserve"> (kg)</w:t>
            </w:r>
          </w:p>
        </w:tc>
        <w:tc>
          <w:tcPr>
            <w:tcW w:w="2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C32593" w:rsidRPr="00C32593" w:rsidRDefault="00C32593" w:rsidP="006E4575">
            <w:pPr>
              <w:spacing w:line="320" w:lineRule="atLeast"/>
              <w:ind w:left="60" w:right="60"/>
              <w:cnfStyle w:val="000000100000"/>
              <w:rPr>
                <w:rFonts w:cs="Arial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cnfStyle w:val="000010000000"/>
            <w:tcW w:w="1326" w:type="dxa"/>
            <w:shd w:val="clear" w:color="auto" w:fill="FFFFFF" w:themeFill="background1"/>
          </w:tcPr>
          <w:p w:rsidR="00C32593" w:rsidRPr="00C32593" w:rsidRDefault="00C32593" w:rsidP="00C32593">
            <w:pPr>
              <w:spacing w:line="320" w:lineRule="atLeast"/>
              <w:ind w:left="60" w:right="60"/>
              <w:jc w:val="center"/>
              <w:rPr>
                <w:rFonts w:cs="Arial"/>
                <w:color w:val="000000"/>
                <w:sz w:val="24"/>
                <w:szCs w:val="24"/>
                <w:lang w:val="pt-BR"/>
              </w:rPr>
            </w:pPr>
            <w:r w:rsidRPr="00C32593">
              <w:rPr>
                <w:rFonts w:cs="Arial"/>
                <w:color w:val="000000"/>
                <w:sz w:val="24"/>
                <w:szCs w:val="24"/>
                <w:lang w:val="pt-BR"/>
              </w:rPr>
              <w:t>0.046</w:t>
            </w:r>
          </w:p>
        </w:tc>
        <w:tc>
          <w:tcPr>
            <w:tcW w:w="1011" w:type="dxa"/>
            <w:shd w:val="clear" w:color="auto" w:fill="FFFFFF" w:themeFill="background1"/>
          </w:tcPr>
          <w:p w:rsidR="00C32593" w:rsidRPr="00C32593" w:rsidRDefault="00C32593" w:rsidP="00C32593">
            <w:pPr>
              <w:spacing w:line="320" w:lineRule="atLeast"/>
              <w:ind w:left="60" w:right="60"/>
              <w:jc w:val="center"/>
              <w:cnfStyle w:val="000000100000"/>
              <w:rPr>
                <w:rFonts w:cs="Arial"/>
                <w:color w:val="000000"/>
                <w:sz w:val="24"/>
                <w:szCs w:val="24"/>
                <w:lang w:val="pt-BR"/>
              </w:rPr>
            </w:pPr>
            <w:r w:rsidRPr="00C32593">
              <w:rPr>
                <w:rFonts w:cs="Arial"/>
                <w:color w:val="000000"/>
                <w:sz w:val="24"/>
                <w:szCs w:val="24"/>
                <w:lang w:val="pt-BR"/>
              </w:rPr>
              <w:t>0.600</w:t>
            </w:r>
          </w:p>
        </w:tc>
      </w:tr>
      <w:tr w:rsidR="00C32593" w:rsidTr="00C32593">
        <w:tc>
          <w:tcPr>
            <w:cnfStyle w:val="000010000000"/>
            <w:tcW w:w="2598" w:type="dxa"/>
            <w:shd w:val="clear" w:color="auto" w:fill="FFFFFF" w:themeFill="background1"/>
          </w:tcPr>
          <w:p w:rsidR="00C32593" w:rsidRPr="00C32593" w:rsidRDefault="00C32593" w:rsidP="00C32593">
            <w:pPr>
              <w:spacing w:line="320" w:lineRule="atLeast"/>
              <w:ind w:left="60" w:right="60"/>
              <w:rPr>
                <w:rFonts w:cs="Arial"/>
                <w:b/>
                <w:color w:val="000000"/>
                <w:sz w:val="24"/>
                <w:szCs w:val="24"/>
                <w:lang w:val="pt-BR"/>
              </w:rPr>
            </w:pPr>
            <w:r w:rsidRPr="00C32593">
              <w:rPr>
                <w:rStyle w:val="shorttext"/>
                <w:b/>
                <w:sz w:val="24"/>
                <w:szCs w:val="24"/>
              </w:rPr>
              <w:t>Time (6-months)</w:t>
            </w:r>
          </w:p>
        </w:tc>
        <w:tc>
          <w:tcPr>
            <w:tcW w:w="2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C32593" w:rsidRPr="00C32593" w:rsidRDefault="00C32593" w:rsidP="006E4575">
            <w:pPr>
              <w:spacing w:line="320" w:lineRule="atLeast"/>
              <w:ind w:left="60" w:right="60"/>
              <w:cnfStyle w:val="000000000000"/>
              <w:rPr>
                <w:rFonts w:cs="Arial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cnfStyle w:val="000010000000"/>
            <w:tcW w:w="1326" w:type="dxa"/>
            <w:shd w:val="clear" w:color="auto" w:fill="FFFFFF" w:themeFill="background1"/>
          </w:tcPr>
          <w:p w:rsidR="00C32593" w:rsidRPr="00C32593" w:rsidRDefault="00C32593" w:rsidP="00C32593">
            <w:pPr>
              <w:spacing w:line="320" w:lineRule="atLeast"/>
              <w:ind w:left="60" w:right="60"/>
              <w:jc w:val="center"/>
              <w:rPr>
                <w:rFonts w:cs="Arial"/>
                <w:color w:val="000000"/>
                <w:sz w:val="24"/>
                <w:szCs w:val="24"/>
                <w:lang w:val="pt-BR"/>
              </w:rPr>
            </w:pPr>
            <w:r w:rsidRPr="00C32593">
              <w:rPr>
                <w:rFonts w:cs="Arial"/>
                <w:color w:val="000000"/>
                <w:sz w:val="24"/>
                <w:szCs w:val="24"/>
                <w:lang w:val="pt-BR"/>
              </w:rPr>
              <w:t>26.52</w:t>
            </w:r>
          </w:p>
        </w:tc>
        <w:tc>
          <w:tcPr>
            <w:tcW w:w="1011" w:type="dxa"/>
            <w:shd w:val="clear" w:color="auto" w:fill="FFFFFF" w:themeFill="background1"/>
          </w:tcPr>
          <w:p w:rsidR="00C32593" w:rsidRPr="00C32593" w:rsidRDefault="00C32593" w:rsidP="00C32593">
            <w:pPr>
              <w:spacing w:line="320" w:lineRule="atLeast"/>
              <w:ind w:left="60" w:right="60"/>
              <w:jc w:val="center"/>
              <w:cnfStyle w:val="000000000000"/>
              <w:rPr>
                <w:rFonts w:cs="Arial"/>
                <w:color w:val="000000"/>
                <w:sz w:val="24"/>
                <w:szCs w:val="24"/>
                <w:lang w:val="pt-BR"/>
              </w:rPr>
            </w:pPr>
            <w:r w:rsidRPr="00C32593">
              <w:rPr>
                <w:rFonts w:cs="Arial"/>
                <w:color w:val="000000"/>
                <w:sz w:val="24"/>
                <w:szCs w:val="24"/>
                <w:lang w:val="pt-BR"/>
              </w:rPr>
              <w:t>0.007</w:t>
            </w:r>
          </w:p>
        </w:tc>
      </w:tr>
      <w:tr w:rsidR="00C32593" w:rsidTr="00C32593">
        <w:trPr>
          <w:cnfStyle w:val="000000100000"/>
        </w:trPr>
        <w:tc>
          <w:tcPr>
            <w:cnfStyle w:val="000010000000"/>
            <w:tcW w:w="2598" w:type="dxa"/>
            <w:shd w:val="clear" w:color="auto" w:fill="FFFFFF" w:themeFill="background1"/>
          </w:tcPr>
          <w:p w:rsidR="00C32593" w:rsidRPr="00C32593" w:rsidRDefault="00C32593" w:rsidP="006E4575">
            <w:pPr>
              <w:spacing w:line="320" w:lineRule="atLeast"/>
              <w:ind w:left="60" w:right="60"/>
              <w:rPr>
                <w:rFonts w:cs="Arial"/>
                <w:b/>
                <w:color w:val="000000"/>
                <w:sz w:val="24"/>
                <w:szCs w:val="24"/>
                <w:lang w:val="pt-BR"/>
              </w:rPr>
            </w:pPr>
            <w:r w:rsidRPr="00C32593">
              <w:rPr>
                <w:rStyle w:val="shorttext"/>
                <w:b/>
                <w:sz w:val="24"/>
                <w:szCs w:val="24"/>
              </w:rPr>
              <w:t>Time (baseline)</w:t>
            </w:r>
          </w:p>
        </w:tc>
        <w:tc>
          <w:tcPr>
            <w:tcW w:w="2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C32593" w:rsidRPr="00C32593" w:rsidRDefault="00C32593" w:rsidP="006E4575">
            <w:pPr>
              <w:spacing w:line="320" w:lineRule="atLeast"/>
              <w:ind w:left="60" w:right="60"/>
              <w:cnfStyle w:val="000000100000"/>
              <w:rPr>
                <w:rFonts w:cs="Arial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cnfStyle w:val="000010000000"/>
            <w:tcW w:w="1326" w:type="dxa"/>
            <w:shd w:val="clear" w:color="auto" w:fill="FFFFFF" w:themeFill="background1"/>
          </w:tcPr>
          <w:p w:rsidR="00C32593" w:rsidRPr="00C32593" w:rsidRDefault="00C32593" w:rsidP="00C32593">
            <w:pPr>
              <w:spacing w:line="320" w:lineRule="atLeast"/>
              <w:ind w:left="60" w:right="60"/>
              <w:jc w:val="center"/>
              <w:rPr>
                <w:rFonts w:cs="Arial"/>
                <w:color w:val="000000"/>
                <w:sz w:val="24"/>
                <w:szCs w:val="24"/>
                <w:lang w:val="pt-BR"/>
              </w:rPr>
            </w:pPr>
            <w:r w:rsidRPr="00C32593">
              <w:rPr>
                <w:rFonts w:cs="Arial"/>
                <w:color w:val="000000"/>
                <w:sz w:val="24"/>
                <w:szCs w:val="24"/>
                <w:lang w:val="pt-BR"/>
              </w:rPr>
              <w:t>0</w:t>
            </w:r>
            <w:r w:rsidRPr="00C32593">
              <w:rPr>
                <w:rFonts w:cs="Arial"/>
                <w:color w:val="000000"/>
                <w:sz w:val="24"/>
                <w:szCs w:val="24"/>
                <w:vertAlign w:val="superscript"/>
                <w:lang w:val="pt-BR"/>
              </w:rPr>
              <w:t>a</w:t>
            </w:r>
          </w:p>
        </w:tc>
        <w:tc>
          <w:tcPr>
            <w:tcW w:w="1011" w:type="dxa"/>
            <w:shd w:val="clear" w:color="auto" w:fill="FFFFFF" w:themeFill="background1"/>
          </w:tcPr>
          <w:p w:rsidR="00C32593" w:rsidRPr="00C32593" w:rsidRDefault="00C32593" w:rsidP="00C32593">
            <w:pPr>
              <w:spacing w:line="320" w:lineRule="atLeast"/>
              <w:ind w:left="60" w:right="60"/>
              <w:jc w:val="center"/>
              <w:cnfStyle w:val="000000100000"/>
              <w:rPr>
                <w:rFonts w:cs="Arial"/>
                <w:color w:val="000000"/>
                <w:sz w:val="24"/>
                <w:szCs w:val="24"/>
                <w:lang w:val="pt-BR"/>
              </w:rPr>
            </w:pPr>
          </w:p>
        </w:tc>
      </w:tr>
      <w:tr w:rsidR="00C32593" w:rsidTr="00C32593">
        <w:trPr>
          <w:trHeight w:val="80"/>
        </w:trPr>
        <w:tc>
          <w:tcPr>
            <w:cnfStyle w:val="000010000000"/>
            <w:tcW w:w="2598" w:type="dxa"/>
            <w:shd w:val="clear" w:color="auto" w:fill="FFFFFF" w:themeFill="background1"/>
          </w:tcPr>
          <w:p w:rsidR="00C32593" w:rsidRPr="00C32593" w:rsidRDefault="00C32593" w:rsidP="006E4575">
            <w:pPr>
              <w:spacing w:line="320" w:lineRule="atLeast"/>
              <w:ind w:right="60"/>
              <w:rPr>
                <w:rFonts w:cs="Arial"/>
                <w:b/>
                <w:color w:val="000000"/>
                <w:sz w:val="22"/>
                <w:lang w:val="pt-BR"/>
              </w:rPr>
            </w:pPr>
          </w:p>
        </w:tc>
        <w:tc>
          <w:tcPr>
            <w:tcW w:w="235" w:type="dxa"/>
            <w:tcBorders>
              <w:top w:val="nil"/>
            </w:tcBorders>
            <w:shd w:val="clear" w:color="auto" w:fill="FFFFFF" w:themeFill="background1"/>
          </w:tcPr>
          <w:p w:rsidR="00C32593" w:rsidRPr="00C32593" w:rsidRDefault="00C32593" w:rsidP="006E4575">
            <w:pPr>
              <w:spacing w:line="320" w:lineRule="atLeast"/>
              <w:ind w:left="60" w:right="60"/>
              <w:cnfStyle w:val="000000000000"/>
              <w:rPr>
                <w:rFonts w:cs="Arial"/>
                <w:color w:val="000000"/>
                <w:sz w:val="22"/>
                <w:lang w:val="pt-BR"/>
              </w:rPr>
            </w:pPr>
          </w:p>
        </w:tc>
        <w:tc>
          <w:tcPr>
            <w:cnfStyle w:val="000010000000"/>
            <w:tcW w:w="1326" w:type="dxa"/>
            <w:shd w:val="clear" w:color="auto" w:fill="FFFFFF" w:themeFill="background1"/>
          </w:tcPr>
          <w:p w:rsidR="00C32593" w:rsidRPr="00C32593" w:rsidRDefault="00C32593" w:rsidP="006E4575">
            <w:pPr>
              <w:spacing w:line="320" w:lineRule="atLeast"/>
              <w:ind w:left="60" w:right="60"/>
              <w:jc w:val="center"/>
              <w:rPr>
                <w:rFonts w:cs="Arial"/>
                <w:color w:val="000000"/>
                <w:sz w:val="22"/>
                <w:lang w:val="pt-BR"/>
              </w:rPr>
            </w:pPr>
          </w:p>
        </w:tc>
        <w:tc>
          <w:tcPr>
            <w:tcW w:w="1011" w:type="dxa"/>
            <w:shd w:val="clear" w:color="auto" w:fill="FFFFFF" w:themeFill="background1"/>
          </w:tcPr>
          <w:p w:rsidR="00C32593" w:rsidRPr="00C32593" w:rsidRDefault="00C32593" w:rsidP="006E4575">
            <w:pPr>
              <w:spacing w:line="320" w:lineRule="atLeast"/>
              <w:ind w:left="60" w:right="60"/>
              <w:jc w:val="center"/>
              <w:cnfStyle w:val="000000000000"/>
              <w:rPr>
                <w:rFonts w:cs="Arial"/>
                <w:color w:val="000000"/>
                <w:sz w:val="22"/>
                <w:lang w:val="pt-BR"/>
              </w:rPr>
            </w:pPr>
          </w:p>
        </w:tc>
      </w:tr>
    </w:tbl>
    <w:p w:rsidR="00C32593" w:rsidRPr="00FD0C79" w:rsidRDefault="00C32593" w:rsidP="00C32593">
      <w:pPr>
        <w:spacing w:after="0"/>
        <w:rPr>
          <w:rFonts w:cs="Times New Roman"/>
          <w:lang w:val="en-US"/>
        </w:rPr>
      </w:pPr>
    </w:p>
    <w:p w:rsidR="00163EF2" w:rsidRDefault="00C32593" w:rsidP="00C32593">
      <w:pPr>
        <w:spacing w:after="0" w:line="240" w:lineRule="auto"/>
        <w:ind w:firstLine="709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Probability distribution: Normal</w:t>
      </w:r>
    </w:p>
    <w:p w:rsidR="00C32593" w:rsidRDefault="00F32A38" w:rsidP="00C32593">
      <w:pPr>
        <w:spacing w:after="0" w:line="240" w:lineRule="auto"/>
        <w:ind w:firstLine="709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Link function: Identit</w:t>
      </w:r>
      <w:r w:rsidR="00C32593">
        <w:rPr>
          <w:sz w:val="24"/>
          <w:szCs w:val="24"/>
          <w:lang w:val="en-US"/>
        </w:rPr>
        <w:t>y</w:t>
      </w:r>
    </w:p>
    <w:p w:rsidR="00163EF2" w:rsidRDefault="00C32593" w:rsidP="00C32593">
      <w:pPr>
        <w:spacing w:after="0" w:line="240" w:lineRule="auto"/>
        <w:ind w:firstLine="708"/>
        <w:rPr>
          <w:lang w:val="en-US"/>
        </w:rPr>
      </w:pPr>
      <w:r w:rsidRPr="00C32593">
        <w:rPr>
          <w:sz w:val="24"/>
          <w:szCs w:val="24"/>
          <w:lang w:val="en-US"/>
        </w:rPr>
        <w:t>a.</w:t>
      </w:r>
      <w:r w:rsidRPr="009D02B5">
        <w:rPr>
          <w:lang w:val="en-US"/>
        </w:rPr>
        <w:t xml:space="preserve"> This coefficient is set zero because it is redundant</w:t>
      </w:r>
    </w:p>
    <w:p w:rsidR="002C3A3A" w:rsidRDefault="002C3A3A" w:rsidP="00C32593">
      <w:pPr>
        <w:spacing w:after="0" w:line="240" w:lineRule="auto"/>
        <w:ind w:firstLine="708"/>
        <w:rPr>
          <w:lang w:val="en-US"/>
        </w:rPr>
      </w:pPr>
    </w:p>
    <w:p w:rsidR="002C3A3A" w:rsidRDefault="002C3A3A" w:rsidP="002C3A3A">
      <w:pPr>
        <w:spacing w:line="480" w:lineRule="auto"/>
        <w:jc w:val="both"/>
        <w:rPr>
          <w:b/>
          <w:lang w:val="en-US"/>
        </w:rPr>
      </w:pPr>
    </w:p>
    <w:p w:rsidR="002C3A3A" w:rsidRPr="00091841" w:rsidRDefault="002C3A3A" w:rsidP="0009184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C3A3A">
        <w:rPr>
          <w:b/>
          <w:lang w:val="en-US"/>
        </w:rPr>
        <w:t xml:space="preserve">Model 02. Linear mixed models to native T1 adjusted to confounders (hematocrit, heart </w:t>
      </w:r>
      <w:r w:rsidR="003B7859">
        <w:rPr>
          <w:b/>
          <w:lang w:val="en-US"/>
        </w:rPr>
        <w:t>rate</w:t>
      </w:r>
      <w:r>
        <w:rPr>
          <w:b/>
          <w:lang w:val="en-US"/>
        </w:rPr>
        <w:t>,</w:t>
      </w:r>
      <w:r w:rsidRPr="00C32593">
        <w:rPr>
          <w:b/>
          <w:lang w:val="en-US"/>
        </w:rPr>
        <w:t xml:space="preserve"> weight</w:t>
      </w:r>
      <w:r>
        <w:rPr>
          <w:b/>
          <w:lang w:val="en-US"/>
        </w:rPr>
        <w:t xml:space="preserve"> and Left ventricular mass index at baseline</w:t>
      </w:r>
      <w:r w:rsidRPr="00C32593">
        <w:rPr>
          <w:b/>
          <w:lang w:val="en-US"/>
        </w:rPr>
        <w:t>) over time (baseline and 6 months)</w:t>
      </w:r>
    </w:p>
    <w:tbl>
      <w:tblPr>
        <w:tblStyle w:val="SombreamentoMdio21"/>
        <w:tblW w:w="5170" w:type="dxa"/>
        <w:tblLook w:val="0000"/>
      </w:tblPr>
      <w:tblGrid>
        <w:gridCol w:w="2598"/>
        <w:gridCol w:w="235"/>
        <w:gridCol w:w="1326"/>
        <w:gridCol w:w="1011"/>
      </w:tblGrid>
      <w:tr w:rsidR="008E6E7A" w:rsidTr="00706E11">
        <w:trPr>
          <w:cnfStyle w:val="000000100000"/>
        </w:trPr>
        <w:tc>
          <w:tcPr>
            <w:cnfStyle w:val="000010000000"/>
            <w:tcW w:w="2833" w:type="dxa"/>
            <w:gridSpan w:val="2"/>
            <w:shd w:val="clear" w:color="auto" w:fill="FFFFFF" w:themeFill="background1"/>
          </w:tcPr>
          <w:p w:rsidR="008E6E7A" w:rsidRPr="00C32593" w:rsidRDefault="008E6E7A" w:rsidP="00706E11">
            <w:pPr>
              <w:rPr>
                <w:rFonts w:cs="Arial"/>
                <w:color w:val="000000"/>
                <w:sz w:val="24"/>
              </w:rPr>
            </w:pPr>
          </w:p>
          <w:p w:rsidR="008E6E7A" w:rsidRPr="00C32593" w:rsidRDefault="008E6E7A" w:rsidP="00706E11">
            <w:pPr>
              <w:rPr>
                <w:rFonts w:cs="Arial"/>
                <w:b/>
                <w:color w:val="000000"/>
                <w:sz w:val="24"/>
              </w:rPr>
            </w:pPr>
            <w:r w:rsidRPr="00C32593">
              <w:rPr>
                <w:rFonts w:cs="Arial"/>
                <w:b/>
                <w:color w:val="000000"/>
                <w:sz w:val="24"/>
              </w:rPr>
              <w:t>Model Term</w:t>
            </w:r>
          </w:p>
        </w:tc>
        <w:tc>
          <w:tcPr>
            <w:tcW w:w="2337" w:type="dxa"/>
            <w:gridSpan w:val="2"/>
            <w:shd w:val="clear" w:color="auto" w:fill="FFFFFF" w:themeFill="background1"/>
          </w:tcPr>
          <w:p w:rsidR="008E6E7A" w:rsidRDefault="008E6E7A" w:rsidP="00706E11">
            <w:pPr>
              <w:spacing w:line="320" w:lineRule="atLeast"/>
              <w:ind w:left="60" w:right="60"/>
              <w:cnfStyle w:val="000000100000"/>
              <w:rPr>
                <w:rFonts w:cs="Arial"/>
                <w:b/>
                <w:color w:val="000000"/>
                <w:sz w:val="24"/>
                <w:lang w:val="pt-BR"/>
              </w:rPr>
            </w:pPr>
          </w:p>
          <w:p w:rsidR="008E6E7A" w:rsidRPr="00C32593" w:rsidRDefault="008E6E7A" w:rsidP="00706E11">
            <w:pPr>
              <w:spacing w:line="320" w:lineRule="atLeast"/>
              <w:ind w:left="60" w:right="60"/>
              <w:cnfStyle w:val="000000100000"/>
              <w:rPr>
                <w:rFonts w:cs="Arial"/>
                <w:b/>
                <w:color w:val="000000"/>
                <w:sz w:val="24"/>
                <w:lang w:val="pt-BR"/>
              </w:rPr>
            </w:pPr>
            <w:proofErr w:type="spellStart"/>
            <w:r w:rsidRPr="00C32593">
              <w:rPr>
                <w:rFonts w:cs="Arial"/>
                <w:b/>
                <w:color w:val="000000"/>
                <w:sz w:val="24"/>
                <w:lang w:val="pt-BR"/>
              </w:rPr>
              <w:t>Coefficient</w:t>
            </w:r>
            <w:proofErr w:type="spellEnd"/>
            <w:r>
              <w:rPr>
                <w:rFonts w:cs="Arial"/>
                <w:b/>
                <w:color w:val="000000"/>
                <w:sz w:val="24"/>
                <w:lang w:val="pt-BR"/>
              </w:rPr>
              <w:t xml:space="preserve">        p</w:t>
            </w:r>
            <w:r w:rsidRPr="00C32593">
              <w:rPr>
                <w:rFonts w:cs="Arial"/>
                <w:b/>
                <w:color w:val="000000"/>
                <w:sz w:val="24"/>
                <w:lang w:val="pt-BR"/>
              </w:rPr>
              <w:t xml:space="preserve">                </w:t>
            </w:r>
          </w:p>
          <w:p w:rsidR="008E6E7A" w:rsidRPr="00C32593" w:rsidRDefault="008E6E7A" w:rsidP="00706E11">
            <w:pPr>
              <w:spacing w:line="320" w:lineRule="atLeast"/>
              <w:ind w:left="60" w:right="60"/>
              <w:cnfStyle w:val="000000100000"/>
              <w:rPr>
                <w:rFonts w:cs="Arial"/>
                <w:color w:val="000000"/>
                <w:sz w:val="24"/>
                <w:lang w:val="pt-BR"/>
              </w:rPr>
            </w:pPr>
          </w:p>
        </w:tc>
      </w:tr>
      <w:tr w:rsidR="008E6E7A" w:rsidTr="00706E11">
        <w:tc>
          <w:tcPr>
            <w:cnfStyle w:val="000010000000"/>
            <w:tcW w:w="2598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8E6E7A" w:rsidRPr="00C32593" w:rsidRDefault="008E6E7A" w:rsidP="00706E11">
            <w:pPr>
              <w:spacing w:line="320" w:lineRule="atLeast"/>
              <w:ind w:left="60" w:right="60"/>
              <w:rPr>
                <w:rFonts w:cs="Arial"/>
                <w:b/>
                <w:color w:val="000000"/>
                <w:sz w:val="24"/>
                <w:szCs w:val="24"/>
                <w:lang w:val="pt-BR"/>
              </w:rPr>
            </w:pPr>
            <w:r w:rsidRPr="00C32593">
              <w:rPr>
                <w:rStyle w:val="shorttext"/>
                <w:b/>
                <w:sz w:val="24"/>
                <w:szCs w:val="24"/>
              </w:rPr>
              <w:t>Intercept</w:t>
            </w:r>
          </w:p>
        </w:tc>
        <w:tc>
          <w:tcPr>
            <w:tcW w:w="235" w:type="dxa"/>
            <w:tcBorders>
              <w:top w:val="single" w:sz="18" w:space="0" w:color="auto"/>
              <w:bottom w:val="nil"/>
            </w:tcBorders>
            <w:shd w:val="clear" w:color="auto" w:fill="FFFFFF" w:themeFill="background1"/>
          </w:tcPr>
          <w:p w:rsidR="008E6E7A" w:rsidRPr="00C32593" w:rsidRDefault="008E6E7A" w:rsidP="00706E11">
            <w:pPr>
              <w:spacing w:line="320" w:lineRule="atLeast"/>
              <w:ind w:left="60" w:right="60"/>
              <w:cnfStyle w:val="000000000000"/>
              <w:rPr>
                <w:rFonts w:cs="Arial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cnfStyle w:val="000010000000"/>
            <w:tcW w:w="1326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8E6E7A" w:rsidRPr="00C32593" w:rsidRDefault="008E6E7A" w:rsidP="00AB6603">
            <w:pPr>
              <w:spacing w:line="320" w:lineRule="atLeast"/>
              <w:ind w:left="60" w:right="60"/>
              <w:jc w:val="center"/>
              <w:rPr>
                <w:rFonts w:cs="Arial"/>
                <w:color w:val="000000"/>
                <w:sz w:val="24"/>
                <w:szCs w:val="24"/>
                <w:lang w:val="pt-BR"/>
              </w:rPr>
            </w:pPr>
            <w:r w:rsidRPr="00C32593">
              <w:rPr>
                <w:rFonts w:cs="Arial"/>
                <w:color w:val="000000"/>
                <w:sz w:val="24"/>
                <w:szCs w:val="24"/>
                <w:lang w:val="pt-BR"/>
              </w:rPr>
              <w:t>1,29</w:t>
            </w:r>
            <w:r w:rsidR="00AB6603">
              <w:rPr>
                <w:rFonts w:cs="Arial"/>
                <w:color w:val="000000"/>
                <w:sz w:val="24"/>
                <w:szCs w:val="24"/>
                <w:lang w:val="pt-BR"/>
              </w:rPr>
              <w:t>2</w:t>
            </w:r>
            <w:r w:rsidRPr="00C32593">
              <w:rPr>
                <w:rFonts w:cs="Arial"/>
                <w:color w:val="000000"/>
                <w:sz w:val="24"/>
                <w:szCs w:val="24"/>
                <w:lang w:val="pt-BR"/>
              </w:rPr>
              <w:t>.2</w:t>
            </w:r>
          </w:p>
        </w:tc>
        <w:tc>
          <w:tcPr>
            <w:tcW w:w="1011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8E6E7A" w:rsidRPr="00C32593" w:rsidRDefault="008E6E7A" w:rsidP="00706E11">
            <w:pPr>
              <w:spacing w:line="320" w:lineRule="atLeast"/>
              <w:ind w:left="60" w:right="60"/>
              <w:jc w:val="center"/>
              <w:cnfStyle w:val="000000000000"/>
              <w:rPr>
                <w:rFonts w:cs="Arial"/>
                <w:color w:val="000000"/>
                <w:sz w:val="24"/>
                <w:szCs w:val="24"/>
                <w:lang w:val="pt-BR"/>
              </w:rPr>
            </w:pPr>
            <w:r w:rsidRPr="00C32593">
              <w:rPr>
                <w:rFonts w:cs="Arial"/>
                <w:color w:val="000000"/>
                <w:sz w:val="24"/>
                <w:szCs w:val="24"/>
                <w:lang w:val="pt-BR"/>
              </w:rPr>
              <w:t>0.000</w:t>
            </w:r>
          </w:p>
        </w:tc>
      </w:tr>
      <w:tr w:rsidR="008E6E7A" w:rsidTr="00706E11">
        <w:trPr>
          <w:cnfStyle w:val="000000100000"/>
        </w:trPr>
        <w:tc>
          <w:tcPr>
            <w:cnfStyle w:val="000010000000"/>
            <w:tcW w:w="2598" w:type="dxa"/>
            <w:shd w:val="clear" w:color="auto" w:fill="FFFFFF" w:themeFill="background1"/>
          </w:tcPr>
          <w:p w:rsidR="008E6E7A" w:rsidRPr="00C32593" w:rsidRDefault="008E6E7A" w:rsidP="00706E11">
            <w:pPr>
              <w:spacing w:line="320" w:lineRule="atLeast"/>
              <w:ind w:left="60" w:right="60"/>
              <w:rPr>
                <w:rFonts w:cs="Arial"/>
                <w:b/>
                <w:color w:val="000000"/>
                <w:sz w:val="24"/>
                <w:szCs w:val="24"/>
                <w:lang w:val="pt-BR"/>
              </w:rPr>
            </w:pPr>
            <w:r w:rsidRPr="00C32593">
              <w:rPr>
                <w:rStyle w:val="shorttext"/>
                <w:b/>
                <w:sz w:val="24"/>
                <w:szCs w:val="24"/>
              </w:rPr>
              <w:t>Hematocrit</w:t>
            </w:r>
            <w:r>
              <w:rPr>
                <w:rStyle w:val="shorttext"/>
                <w:b/>
                <w:sz w:val="24"/>
                <w:szCs w:val="24"/>
              </w:rPr>
              <w:t xml:space="preserve"> (%)</w:t>
            </w:r>
          </w:p>
        </w:tc>
        <w:tc>
          <w:tcPr>
            <w:tcW w:w="2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E6E7A" w:rsidRPr="00C32593" w:rsidRDefault="008E6E7A" w:rsidP="00706E11">
            <w:pPr>
              <w:spacing w:line="320" w:lineRule="atLeast"/>
              <w:ind w:left="60" w:right="60"/>
              <w:cnfStyle w:val="000000100000"/>
              <w:rPr>
                <w:rFonts w:cs="Arial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cnfStyle w:val="000010000000"/>
            <w:tcW w:w="1326" w:type="dxa"/>
            <w:shd w:val="clear" w:color="auto" w:fill="FFFFFF" w:themeFill="background1"/>
          </w:tcPr>
          <w:p w:rsidR="008E6E7A" w:rsidRPr="00C32593" w:rsidRDefault="008E6E7A" w:rsidP="00AB6603">
            <w:pPr>
              <w:spacing w:line="320" w:lineRule="atLeast"/>
              <w:ind w:right="60"/>
              <w:jc w:val="center"/>
              <w:rPr>
                <w:rFonts w:cs="Arial"/>
                <w:color w:val="000000"/>
                <w:sz w:val="24"/>
                <w:szCs w:val="24"/>
                <w:lang w:val="pt-BR"/>
              </w:rPr>
            </w:pPr>
            <w:r w:rsidRPr="00C32593">
              <w:rPr>
                <w:rFonts w:cs="Arial"/>
                <w:color w:val="000000"/>
                <w:sz w:val="24"/>
                <w:szCs w:val="24"/>
                <w:lang w:val="pt-BR"/>
              </w:rPr>
              <w:t>-0.70</w:t>
            </w:r>
            <w:r w:rsidR="00AB6603">
              <w:rPr>
                <w:rFonts w:cs="Arial"/>
                <w:color w:val="000000"/>
                <w:sz w:val="24"/>
                <w:szCs w:val="24"/>
                <w:lang w:val="pt-BR"/>
              </w:rPr>
              <w:t>9</w:t>
            </w:r>
          </w:p>
        </w:tc>
        <w:tc>
          <w:tcPr>
            <w:tcW w:w="1011" w:type="dxa"/>
            <w:shd w:val="clear" w:color="auto" w:fill="FFFFFF" w:themeFill="background1"/>
          </w:tcPr>
          <w:p w:rsidR="008E6E7A" w:rsidRPr="00C32593" w:rsidRDefault="008E6E7A" w:rsidP="00AB6603">
            <w:pPr>
              <w:spacing w:line="320" w:lineRule="atLeast"/>
              <w:ind w:left="60" w:right="60"/>
              <w:jc w:val="center"/>
              <w:cnfStyle w:val="000000100000"/>
              <w:rPr>
                <w:rFonts w:cs="Arial"/>
                <w:color w:val="000000"/>
                <w:sz w:val="24"/>
                <w:szCs w:val="24"/>
                <w:lang w:val="pt-BR"/>
              </w:rPr>
            </w:pPr>
            <w:r w:rsidRPr="00C32593">
              <w:rPr>
                <w:rFonts w:cs="Arial"/>
                <w:color w:val="000000"/>
                <w:sz w:val="24"/>
                <w:szCs w:val="24"/>
                <w:lang w:val="pt-BR"/>
              </w:rPr>
              <w:t>0.4</w:t>
            </w:r>
            <w:r w:rsidR="00AB6603">
              <w:rPr>
                <w:rFonts w:cs="Arial"/>
                <w:color w:val="000000"/>
                <w:sz w:val="24"/>
                <w:szCs w:val="24"/>
                <w:lang w:val="pt-BR"/>
              </w:rPr>
              <w:t>35</w:t>
            </w:r>
          </w:p>
        </w:tc>
      </w:tr>
      <w:tr w:rsidR="008E6E7A" w:rsidTr="00706E11">
        <w:tc>
          <w:tcPr>
            <w:cnfStyle w:val="000010000000"/>
            <w:tcW w:w="2598" w:type="dxa"/>
            <w:shd w:val="clear" w:color="auto" w:fill="FFFFFF" w:themeFill="background1"/>
          </w:tcPr>
          <w:p w:rsidR="008E6E7A" w:rsidRPr="00C32593" w:rsidRDefault="008E6E7A" w:rsidP="001E2A3D">
            <w:pPr>
              <w:spacing w:line="320" w:lineRule="atLeast"/>
              <w:ind w:left="60" w:right="60"/>
              <w:rPr>
                <w:rFonts w:cs="Arial"/>
                <w:b/>
                <w:color w:val="000000"/>
                <w:sz w:val="24"/>
                <w:szCs w:val="24"/>
                <w:lang w:val="pt-BR"/>
              </w:rPr>
            </w:pPr>
            <w:r w:rsidRPr="00C32593">
              <w:rPr>
                <w:rStyle w:val="shorttext"/>
                <w:b/>
                <w:sz w:val="24"/>
                <w:szCs w:val="24"/>
              </w:rPr>
              <w:t xml:space="preserve">Heart </w:t>
            </w:r>
            <w:r w:rsidR="001E2A3D">
              <w:rPr>
                <w:rStyle w:val="shorttext"/>
                <w:b/>
                <w:sz w:val="24"/>
                <w:szCs w:val="24"/>
              </w:rPr>
              <w:t>Rate</w:t>
            </w:r>
          </w:p>
        </w:tc>
        <w:tc>
          <w:tcPr>
            <w:tcW w:w="2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E6E7A" w:rsidRPr="00C32593" w:rsidRDefault="008E6E7A" w:rsidP="00706E11">
            <w:pPr>
              <w:spacing w:line="320" w:lineRule="atLeast"/>
              <w:ind w:left="60" w:right="60"/>
              <w:cnfStyle w:val="000000000000"/>
              <w:rPr>
                <w:rFonts w:cs="Arial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cnfStyle w:val="000010000000"/>
            <w:tcW w:w="1326" w:type="dxa"/>
            <w:shd w:val="clear" w:color="auto" w:fill="FFFFFF" w:themeFill="background1"/>
          </w:tcPr>
          <w:p w:rsidR="008E6E7A" w:rsidRPr="00C32593" w:rsidRDefault="008E6E7A" w:rsidP="00AB6603">
            <w:pPr>
              <w:spacing w:line="320" w:lineRule="atLeast"/>
              <w:ind w:left="60" w:right="60"/>
              <w:jc w:val="center"/>
              <w:rPr>
                <w:rFonts w:cs="Arial"/>
                <w:color w:val="000000"/>
                <w:sz w:val="24"/>
                <w:szCs w:val="24"/>
                <w:lang w:val="pt-BR"/>
              </w:rPr>
            </w:pPr>
            <w:r w:rsidRPr="00C32593">
              <w:rPr>
                <w:rFonts w:cs="Arial"/>
                <w:color w:val="000000"/>
                <w:sz w:val="24"/>
                <w:szCs w:val="24"/>
                <w:lang w:val="pt-BR"/>
              </w:rPr>
              <w:t>0.33</w:t>
            </w:r>
            <w:r w:rsidR="00AB6603">
              <w:rPr>
                <w:rFonts w:cs="Arial"/>
                <w:color w:val="000000"/>
                <w:sz w:val="24"/>
                <w:szCs w:val="24"/>
                <w:lang w:val="pt-BR"/>
              </w:rPr>
              <w:t>5</w:t>
            </w:r>
          </w:p>
        </w:tc>
        <w:tc>
          <w:tcPr>
            <w:tcW w:w="1011" w:type="dxa"/>
            <w:shd w:val="clear" w:color="auto" w:fill="FFFFFF" w:themeFill="background1"/>
          </w:tcPr>
          <w:p w:rsidR="008E6E7A" w:rsidRPr="00C32593" w:rsidRDefault="008E6E7A" w:rsidP="00706E11">
            <w:pPr>
              <w:spacing w:line="320" w:lineRule="atLeast"/>
              <w:ind w:left="60" w:right="60"/>
              <w:jc w:val="center"/>
              <w:cnfStyle w:val="000000000000"/>
              <w:rPr>
                <w:rFonts w:cs="Arial"/>
                <w:color w:val="000000"/>
                <w:sz w:val="24"/>
                <w:szCs w:val="24"/>
                <w:lang w:val="pt-BR"/>
              </w:rPr>
            </w:pPr>
            <w:r w:rsidRPr="00C32593">
              <w:rPr>
                <w:rFonts w:cs="Arial"/>
                <w:color w:val="000000"/>
                <w:sz w:val="24"/>
                <w:szCs w:val="24"/>
                <w:lang w:val="pt-BR"/>
              </w:rPr>
              <w:t>0.422</w:t>
            </w:r>
          </w:p>
        </w:tc>
      </w:tr>
      <w:tr w:rsidR="008E6E7A" w:rsidTr="00706E11">
        <w:trPr>
          <w:cnfStyle w:val="000000100000"/>
        </w:trPr>
        <w:tc>
          <w:tcPr>
            <w:cnfStyle w:val="000010000000"/>
            <w:tcW w:w="2598" w:type="dxa"/>
            <w:shd w:val="clear" w:color="auto" w:fill="FFFFFF" w:themeFill="background1"/>
          </w:tcPr>
          <w:p w:rsidR="008E6E7A" w:rsidRPr="00C32593" w:rsidRDefault="008E6E7A" w:rsidP="00706E11">
            <w:pPr>
              <w:spacing w:line="320" w:lineRule="atLeast"/>
              <w:ind w:left="60" w:right="60"/>
              <w:rPr>
                <w:rFonts w:cs="Arial"/>
                <w:b/>
                <w:color w:val="000000"/>
                <w:sz w:val="24"/>
                <w:szCs w:val="24"/>
                <w:lang w:val="pt-BR"/>
              </w:rPr>
            </w:pPr>
            <w:proofErr w:type="spellStart"/>
            <w:r w:rsidRPr="00C32593">
              <w:rPr>
                <w:rFonts w:cs="Arial"/>
                <w:b/>
                <w:color w:val="000000"/>
                <w:sz w:val="24"/>
                <w:szCs w:val="24"/>
                <w:lang w:val="pt-BR"/>
              </w:rPr>
              <w:t>Weight</w:t>
            </w:r>
            <w:proofErr w:type="spellEnd"/>
            <w:r>
              <w:rPr>
                <w:rFonts w:cs="Arial"/>
                <w:b/>
                <w:color w:val="000000"/>
                <w:sz w:val="24"/>
                <w:szCs w:val="24"/>
                <w:lang w:val="pt-BR"/>
              </w:rPr>
              <w:t xml:space="preserve"> (kg)</w:t>
            </w:r>
          </w:p>
        </w:tc>
        <w:tc>
          <w:tcPr>
            <w:tcW w:w="2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E6E7A" w:rsidRPr="00C32593" w:rsidRDefault="008E6E7A" w:rsidP="00706E11">
            <w:pPr>
              <w:spacing w:line="320" w:lineRule="atLeast"/>
              <w:ind w:left="60" w:right="60"/>
              <w:cnfStyle w:val="000000100000"/>
              <w:rPr>
                <w:rFonts w:cs="Arial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cnfStyle w:val="000010000000"/>
            <w:tcW w:w="1326" w:type="dxa"/>
            <w:shd w:val="clear" w:color="auto" w:fill="FFFFFF" w:themeFill="background1"/>
          </w:tcPr>
          <w:p w:rsidR="008E6E7A" w:rsidRPr="00C32593" w:rsidRDefault="008E6E7A" w:rsidP="00AB6603">
            <w:pPr>
              <w:spacing w:line="320" w:lineRule="atLeast"/>
              <w:ind w:left="60" w:right="60"/>
              <w:jc w:val="center"/>
              <w:rPr>
                <w:rFonts w:cs="Arial"/>
                <w:color w:val="000000"/>
                <w:sz w:val="24"/>
                <w:szCs w:val="24"/>
                <w:lang w:val="pt-BR"/>
              </w:rPr>
            </w:pPr>
            <w:r w:rsidRPr="00C32593">
              <w:rPr>
                <w:rFonts w:cs="Arial"/>
                <w:color w:val="000000"/>
                <w:sz w:val="24"/>
                <w:szCs w:val="24"/>
                <w:lang w:val="pt-BR"/>
              </w:rPr>
              <w:t>0.04</w:t>
            </w:r>
            <w:r w:rsidR="00AB6603">
              <w:rPr>
                <w:rFonts w:cs="Arial"/>
                <w:color w:val="000000"/>
                <w:sz w:val="24"/>
                <w:szCs w:val="24"/>
                <w:lang w:val="pt-BR"/>
              </w:rPr>
              <w:t>7</w:t>
            </w:r>
          </w:p>
        </w:tc>
        <w:tc>
          <w:tcPr>
            <w:tcW w:w="1011" w:type="dxa"/>
            <w:shd w:val="clear" w:color="auto" w:fill="FFFFFF" w:themeFill="background1"/>
          </w:tcPr>
          <w:p w:rsidR="008E6E7A" w:rsidRPr="00C32593" w:rsidRDefault="008E6E7A" w:rsidP="00AB6603">
            <w:pPr>
              <w:spacing w:line="320" w:lineRule="atLeast"/>
              <w:ind w:left="60" w:right="60"/>
              <w:jc w:val="center"/>
              <w:cnfStyle w:val="000000100000"/>
              <w:rPr>
                <w:rFonts w:cs="Arial"/>
                <w:color w:val="000000"/>
                <w:sz w:val="24"/>
                <w:szCs w:val="24"/>
                <w:lang w:val="pt-BR"/>
              </w:rPr>
            </w:pPr>
            <w:r w:rsidRPr="00C32593">
              <w:rPr>
                <w:rFonts w:cs="Arial"/>
                <w:color w:val="000000"/>
                <w:sz w:val="24"/>
                <w:szCs w:val="24"/>
                <w:lang w:val="pt-BR"/>
              </w:rPr>
              <w:t>0.</w:t>
            </w:r>
            <w:r w:rsidR="00AB6603">
              <w:rPr>
                <w:rFonts w:cs="Arial"/>
                <w:color w:val="000000"/>
                <w:sz w:val="24"/>
                <w:szCs w:val="24"/>
                <w:lang w:val="pt-BR"/>
              </w:rPr>
              <w:t>597</w:t>
            </w:r>
          </w:p>
        </w:tc>
      </w:tr>
      <w:tr w:rsidR="008E6E7A" w:rsidTr="00706E11">
        <w:tc>
          <w:tcPr>
            <w:cnfStyle w:val="000010000000"/>
            <w:tcW w:w="2598" w:type="dxa"/>
            <w:shd w:val="clear" w:color="auto" w:fill="FFFFFF" w:themeFill="background1"/>
          </w:tcPr>
          <w:p w:rsidR="008E6E7A" w:rsidRPr="00C32593" w:rsidRDefault="008E6E7A" w:rsidP="00706E11">
            <w:pPr>
              <w:spacing w:line="320" w:lineRule="atLeast"/>
              <w:ind w:left="60" w:right="60"/>
              <w:rPr>
                <w:rFonts w:cs="Arial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cs="Arial"/>
                <w:b/>
                <w:color w:val="000000"/>
                <w:sz w:val="24"/>
                <w:szCs w:val="24"/>
              </w:rPr>
              <w:t>LVMi</w:t>
            </w:r>
            <w:proofErr w:type="spellEnd"/>
            <w:r>
              <w:rPr>
                <w:rFonts w:cs="Arial"/>
                <w:b/>
                <w:color w:val="000000"/>
                <w:sz w:val="24"/>
                <w:szCs w:val="24"/>
              </w:rPr>
              <w:t xml:space="preserve"> (g/m</w:t>
            </w:r>
            <w:r w:rsidRPr="008E6E7A">
              <w:rPr>
                <w:rFonts w:cs="Arial"/>
                <w:b/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rFonts w:cs="Arial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2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E6E7A" w:rsidRPr="00C32593" w:rsidRDefault="008E6E7A" w:rsidP="00706E11">
            <w:pPr>
              <w:spacing w:line="320" w:lineRule="atLeast"/>
              <w:ind w:left="60" w:right="60"/>
              <w:cnfStyle w:val="00000000000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cnfStyle w:val="000010000000"/>
            <w:tcW w:w="1326" w:type="dxa"/>
            <w:shd w:val="clear" w:color="auto" w:fill="FFFFFF" w:themeFill="background1"/>
          </w:tcPr>
          <w:p w:rsidR="008E6E7A" w:rsidRPr="00C32593" w:rsidRDefault="00AB6603" w:rsidP="00706E11">
            <w:pPr>
              <w:spacing w:line="320" w:lineRule="atLeast"/>
              <w:ind w:left="60" w:right="60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0.034</w:t>
            </w:r>
          </w:p>
        </w:tc>
        <w:tc>
          <w:tcPr>
            <w:tcW w:w="1011" w:type="dxa"/>
            <w:shd w:val="clear" w:color="auto" w:fill="FFFFFF" w:themeFill="background1"/>
          </w:tcPr>
          <w:p w:rsidR="008E6E7A" w:rsidRPr="00C32593" w:rsidRDefault="00AB6603" w:rsidP="00706E11">
            <w:pPr>
              <w:spacing w:line="320" w:lineRule="atLeast"/>
              <w:ind w:left="60" w:right="60"/>
              <w:jc w:val="center"/>
              <w:cnfStyle w:val="00000000000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0.912</w:t>
            </w:r>
          </w:p>
        </w:tc>
      </w:tr>
      <w:tr w:rsidR="008E6E7A" w:rsidTr="00706E11">
        <w:trPr>
          <w:cnfStyle w:val="000000100000"/>
        </w:trPr>
        <w:tc>
          <w:tcPr>
            <w:cnfStyle w:val="000010000000"/>
            <w:tcW w:w="2598" w:type="dxa"/>
            <w:shd w:val="clear" w:color="auto" w:fill="FFFFFF" w:themeFill="background1"/>
          </w:tcPr>
          <w:p w:rsidR="008E6E7A" w:rsidRPr="00C32593" w:rsidRDefault="008E6E7A" w:rsidP="00706E11">
            <w:pPr>
              <w:spacing w:line="320" w:lineRule="atLeast"/>
              <w:ind w:left="60" w:right="60"/>
              <w:rPr>
                <w:rFonts w:cs="Arial"/>
                <w:b/>
                <w:color w:val="000000"/>
                <w:sz w:val="24"/>
                <w:szCs w:val="24"/>
                <w:lang w:val="pt-BR"/>
              </w:rPr>
            </w:pPr>
            <w:r w:rsidRPr="00C32593">
              <w:rPr>
                <w:rStyle w:val="shorttext"/>
                <w:b/>
                <w:sz w:val="24"/>
                <w:szCs w:val="24"/>
              </w:rPr>
              <w:t>Time (6-months)</w:t>
            </w:r>
          </w:p>
        </w:tc>
        <w:tc>
          <w:tcPr>
            <w:tcW w:w="2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E6E7A" w:rsidRPr="00C32593" w:rsidRDefault="008E6E7A" w:rsidP="00706E11">
            <w:pPr>
              <w:spacing w:line="320" w:lineRule="atLeast"/>
              <w:ind w:left="60" w:right="60"/>
              <w:cnfStyle w:val="000000100000"/>
              <w:rPr>
                <w:rFonts w:cs="Arial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cnfStyle w:val="000010000000"/>
            <w:tcW w:w="1326" w:type="dxa"/>
            <w:shd w:val="clear" w:color="auto" w:fill="FFFFFF" w:themeFill="background1"/>
          </w:tcPr>
          <w:p w:rsidR="008E6E7A" w:rsidRPr="00C32593" w:rsidRDefault="008E6E7A" w:rsidP="00AB6603">
            <w:pPr>
              <w:spacing w:line="320" w:lineRule="atLeast"/>
              <w:ind w:left="60" w:right="60"/>
              <w:jc w:val="center"/>
              <w:rPr>
                <w:rFonts w:cs="Arial"/>
                <w:color w:val="000000"/>
                <w:sz w:val="24"/>
                <w:szCs w:val="24"/>
                <w:lang w:val="pt-BR"/>
              </w:rPr>
            </w:pPr>
            <w:r w:rsidRPr="00C32593">
              <w:rPr>
                <w:rFonts w:cs="Arial"/>
                <w:color w:val="000000"/>
                <w:sz w:val="24"/>
                <w:szCs w:val="24"/>
                <w:lang w:val="pt-BR"/>
              </w:rPr>
              <w:t>26.</w:t>
            </w:r>
            <w:r w:rsidR="00AB6603">
              <w:rPr>
                <w:rFonts w:cs="Arial"/>
                <w:color w:val="000000"/>
                <w:sz w:val="24"/>
                <w:szCs w:val="24"/>
                <w:lang w:val="pt-BR"/>
              </w:rPr>
              <w:t>38</w:t>
            </w:r>
          </w:p>
        </w:tc>
        <w:tc>
          <w:tcPr>
            <w:tcW w:w="1011" w:type="dxa"/>
            <w:shd w:val="clear" w:color="auto" w:fill="FFFFFF" w:themeFill="background1"/>
          </w:tcPr>
          <w:p w:rsidR="008E6E7A" w:rsidRPr="00C32593" w:rsidRDefault="008E6E7A" w:rsidP="00AB6603">
            <w:pPr>
              <w:spacing w:line="320" w:lineRule="atLeast"/>
              <w:ind w:left="60" w:right="60"/>
              <w:jc w:val="center"/>
              <w:cnfStyle w:val="000000100000"/>
              <w:rPr>
                <w:rFonts w:cs="Arial"/>
                <w:color w:val="000000"/>
                <w:sz w:val="24"/>
                <w:szCs w:val="24"/>
                <w:lang w:val="pt-BR"/>
              </w:rPr>
            </w:pPr>
            <w:r w:rsidRPr="00C32593">
              <w:rPr>
                <w:rFonts w:cs="Arial"/>
                <w:color w:val="000000"/>
                <w:sz w:val="24"/>
                <w:szCs w:val="24"/>
                <w:lang w:val="pt-BR"/>
              </w:rPr>
              <w:t>0.00</w:t>
            </w:r>
            <w:r w:rsidR="00AB6603">
              <w:rPr>
                <w:rFonts w:cs="Arial"/>
                <w:color w:val="000000"/>
                <w:sz w:val="24"/>
                <w:szCs w:val="24"/>
                <w:lang w:val="pt-BR"/>
              </w:rPr>
              <w:t>8</w:t>
            </w:r>
          </w:p>
        </w:tc>
      </w:tr>
      <w:tr w:rsidR="008E6E7A" w:rsidTr="00706E11">
        <w:tc>
          <w:tcPr>
            <w:cnfStyle w:val="000010000000"/>
            <w:tcW w:w="2598" w:type="dxa"/>
            <w:shd w:val="clear" w:color="auto" w:fill="FFFFFF" w:themeFill="background1"/>
          </w:tcPr>
          <w:p w:rsidR="008E6E7A" w:rsidRPr="00C32593" w:rsidRDefault="008E6E7A" w:rsidP="00706E11">
            <w:pPr>
              <w:spacing w:line="320" w:lineRule="atLeast"/>
              <w:ind w:left="60" w:right="60"/>
              <w:rPr>
                <w:rFonts w:cs="Arial"/>
                <w:b/>
                <w:color w:val="000000"/>
                <w:sz w:val="24"/>
                <w:szCs w:val="24"/>
                <w:lang w:val="pt-BR"/>
              </w:rPr>
            </w:pPr>
            <w:r w:rsidRPr="00C32593">
              <w:rPr>
                <w:rStyle w:val="shorttext"/>
                <w:b/>
                <w:sz w:val="24"/>
                <w:szCs w:val="24"/>
              </w:rPr>
              <w:t>Time (baseline)</w:t>
            </w:r>
          </w:p>
        </w:tc>
        <w:tc>
          <w:tcPr>
            <w:tcW w:w="2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E6E7A" w:rsidRPr="00C32593" w:rsidRDefault="008E6E7A" w:rsidP="00706E11">
            <w:pPr>
              <w:spacing w:line="320" w:lineRule="atLeast"/>
              <w:ind w:left="60" w:right="60"/>
              <w:cnfStyle w:val="000000000000"/>
              <w:rPr>
                <w:rFonts w:cs="Arial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cnfStyle w:val="000010000000"/>
            <w:tcW w:w="1326" w:type="dxa"/>
            <w:shd w:val="clear" w:color="auto" w:fill="FFFFFF" w:themeFill="background1"/>
          </w:tcPr>
          <w:p w:rsidR="008E6E7A" w:rsidRPr="00C32593" w:rsidRDefault="008E6E7A" w:rsidP="00706E11">
            <w:pPr>
              <w:spacing w:line="320" w:lineRule="atLeast"/>
              <w:ind w:left="60" w:right="60"/>
              <w:jc w:val="center"/>
              <w:rPr>
                <w:rFonts w:cs="Arial"/>
                <w:color w:val="000000"/>
                <w:sz w:val="24"/>
                <w:szCs w:val="24"/>
                <w:lang w:val="pt-BR"/>
              </w:rPr>
            </w:pPr>
            <w:r w:rsidRPr="00C32593">
              <w:rPr>
                <w:rFonts w:cs="Arial"/>
                <w:color w:val="000000"/>
                <w:sz w:val="24"/>
                <w:szCs w:val="24"/>
                <w:lang w:val="pt-BR"/>
              </w:rPr>
              <w:t>0</w:t>
            </w:r>
            <w:r w:rsidRPr="00C32593">
              <w:rPr>
                <w:rFonts w:cs="Arial"/>
                <w:color w:val="000000"/>
                <w:sz w:val="24"/>
                <w:szCs w:val="24"/>
                <w:vertAlign w:val="superscript"/>
                <w:lang w:val="pt-BR"/>
              </w:rPr>
              <w:t>a</w:t>
            </w:r>
          </w:p>
        </w:tc>
        <w:tc>
          <w:tcPr>
            <w:tcW w:w="1011" w:type="dxa"/>
            <w:shd w:val="clear" w:color="auto" w:fill="FFFFFF" w:themeFill="background1"/>
          </w:tcPr>
          <w:p w:rsidR="008E6E7A" w:rsidRPr="00C32593" w:rsidRDefault="008E6E7A" w:rsidP="00706E11">
            <w:pPr>
              <w:spacing w:line="320" w:lineRule="atLeast"/>
              <w:ind w:left="60" w:right="60"/>
              <w:jc w:val="center"/>
              <w:cnfStyle w:val="000000000000"/>
              <w:rPr>
                <w:rFonts w:cs="Arial"/>
                <w:color w:val="000000"/>
                <w:sz w:val="24"/>
                <w:szCs w:val="24"/>
                <w:lang w:val="pt-BR"/>
              </w:rPr>
            </w:pPr>
          </w:p>
        </w:tc>
      </w:tr>
      <w:tr w:rsidR="008E6E7A" w:rsidTr="00706E11">
        <w:trPr>
          <w:cnfStyle w:val="000000100000"/>
          <w:trHeight w:val="80"/>
        </w:trPr>
        <w:tc>
          <w:tcPr>
            <w:cnfStyle w:val="000010000000"/>
            <w:tcW w:w="2598" w:type="dxa"/>
            <w:shd w:val="clear" w:color="auto" w:fill="FFFFFF" w:themeFill="background1"/>
          </w:tcPr>
          <w:p w:rsidR="008E6E7A" w:rsidRPr="00C32593" w:rsidRDefault="008E6E7A" w:rsidP="00706E11">
            <w:pPr>
              <w:spacing w:line="320" w:lineRule="atLeast"/>
              <w:ind w:right="60"/>
              <w:rPr>
                <w:rFonts w:cs="Arial"/>
                <w:b/>
                <w:color w:val="000000"/>
                <w:sz w:val="22"/>
                <w:lang w:val="pt-BR"/>
              </w:rPr>
            </w:pPr>
          </w:p>
        </w:tc>
        <w:tc>
          <w:tcPr>
            <w:tcW w:w="235" w:type="dxa"/>
            <w:tcBorders>
              <w:top w:val="nil"/>
            </w:tcBorders>
            <w:shd w:val="clear" w:color="auto" w:fill="FFFFFF" w:themeFill="background1"/>
          </w:tcPr>
          <w:p w:rsidR="008E6E7A" w:rsidRPr="00C32593" w:rsidRDefault="008E6E7A" w:rsidP="00706E11">
            <w:pPr>
              <w:spacing w:line="320" w:lineRule="atLeast"/>
              <w:ind w:left="60" w:right="60"/>
              <w:cnfStyle w:val="000000100000"/>
              <w:rPr>
                <w:rFonts w:cs="Arial"/>
                <w:color w:val="000000"/>
                <w:sz w:val="22"/>
                <w:lang w:val="pt-BR"/>
              </w:rPr>
            </w:pPr>
          </w:p>
        </w:tc>
        <w:tc>
          <w:tcPr>
            <w:cnfStyle w:val="000010000000"/>
            <w:tcW w:w="1326" w:type="dxa"/>
            <w:shd w:val="clear" w:color="auto" w:fill="FFFFFF" w:themeFill="background1"/>
          </w:tcPr>
          <w:p w:rsidR="008E6E7A" w:rsidRPr="00C32593" w:rsidRDefault="008E6E7A" w:rsidP="00706E11">
            <w:pPr>
              <w:spacing w:line="320" w:lineRule="atLeast"/>
              <w:ind w:left="60" w:right="60"/>
              <w:jc w:val="center"/>
              <w:rPr>
                <w:rFonts w:cs="Arial"/>
                <w:color w:val="000000"/>
                <w:sz w:val="22"/>
                <w:lang w:val="pt-BR"/>
              </w:rPr>
            </w:pPr>
          </w:p>
        </w:tc>
        <w:tc>
          <w:tcPr>
            <w:tcW w:w="1011" w:type="dxa"/>
            <w:shd w:val="clear" w:color="auto" w:fill="FFFFFF" w:themeFill="background1"/>
          </w:tcPr>
          <w:p w:rsidR="008E6E7A" w:rsidRPr="00C32593" w:rsidRDefault="008E6E7A" w:rsidP="00706E11">
            <w:pPr>
              <w:spacing w:line="320" w:lineRule="atLeast"/>
              <w:ind w:left="60" w:right="60"/>
              <w:jc w:val="center"/>
              <w:cnfStyle w:val="000000100000"/>
              <w:rPr>
                <w:rFonts w:cs="Arial"/>
                <w:color w:val="000000"/>
                <w:sz w:val="22"/>
                <w:lang w:val="pt-BR"/>
              </w:rPr>
            </w:pPr>
          </w:p>
        </w:tc>
      </w:tr>
    </w:tbl>
    <w:p w:rsidR="008E6E7A" w:rsidRPr="00FD0C79" w:rsidRDefault="00E34978" w:rsidP="008E6E7A">
      <w:pPr>
        <w:spacing w:after="0"/>
        <w:rPr>
          <w:rFonts w:cs="Times New Roman"/>
          <w:lang w:val="en-US"/>
        </w:rPr>
      </w:pPr>
      <w:proofErr w:type="spellStart"/>
      <w:r>
        <w:rPr>
          <w:rFonts w:cs="Times New Roman"/>
          <w:lang w:val="en-US"/>
        </w:rPr>
        <w:t>LVMi</w:t>
      </w:r>
      <w:proofErr w:type="spellEnd"/>
      <w:r>
        <w:rPr>
          <w:rFonts w:cs="Times New Roman"/>
          <w:lang w:val="en-US"/>
        </w:rPr>
        <w:t>: left ventricular mass index</w:t>
      </w:r>
    </w:p>
    <w:p w:rsidR="008E6E7A" w:rsidRDefault="008E6E7A" w:rsidP="008E6E7A">
      <w:pPr>
        <w:spacing w:after="0" w:line="240" w:lineRule="auto"/>
        <w:ind w:firstLine="709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Probability distribution: Normal</w:t>
      </w:r>
    </w:p>
    <w:p w:rsidR="008E6E7A" w:rsidRDefault="00F32A38" w:rsidP="008E6E7A">
      <w:pPr>
        <w:spacing w:after="0" w:line="240" w:lineRule="auto"/>
        <w:ind w:firstLine="709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Link function: Identit</w:t>
      </w:r>
      <w:r w:rsidR="008E6E7A">
        <w:rPr>
          <w:sz w:val="24"/>
          <w:szCs w:val="24"/>
          <w:lang w:val="en-US"/>
        </w:rPr>
        <w:t>y</w:t>
      </w:r>
    </w:p>
    <w:p w:rsidR="008E6E7A" w:rsidRDefault="008E6E7A" w:rsidP="008E6E7A">
      <w:pPr>
        <w:spacing w:after="0" w:line="240" w:lineRule="auto"/>
        <w:ind w:firstLine="708"/>
        <w:rPr>
          <w:lang w:val="en-US"/>
        </w:rPr>
      </w:pPr>
      <w:r w:rsidRPr="00C32593">
        <w:rPr>
          <w:sz w:val="24"/>
          <w:szCs w:val="24"/>
          <w:lang w:val="en-US"/>
        </w:rPr>
        <w:t>a.</w:t>
      </w:r>
      <w:r w:rsidRPr="009D02B5">
        <w:rPr>
          <w:lang w:val="en-US"/>
        </w:rPr>
        <w:t xml:space="preserve"> This coefficient is set zero because it is redundant</w:t>
      </w:r>
    </w:p>
    <w:p w:rsidR="00E34978" w:rsidRDefault="00E34978" w:rsidP="008E6E7A">
      <w:pPr>
        <w:spacing w:after="0" w:line="240" w:lineRule="auto"/>
        <w:ind w:firstLine="708"/>
        <w:rPr>
          <w:lang w:val="en-US"/>
        </w:rPr>
      </w:pPr>
    </w:p>
    <w:p w:rsidR="00E34978" w:rsidRDefault="00E34978" w:rsidP="008E6E7A">
      <w:pPr>
        <w:spacing w:after="0" w:line="240" w:lineRule="auto"/>
        <w:ind w:firstLine="708"/>
        <w:rPr>
          <w:lang w:val="en-US"/>
        </w:rPr>
      </w:pPr>
    </w:p>
    <w:p w:rsidR="00E34978" w:rsidRDefault="00E34978" w:rsidP="008E6E7A">
      <w:pPr>
        <w:spacing w:after="0" w:line="240" w:lineRule="auto"/>
        <w:ind w:firstLine="708"/>
        <w:rPr>
          <w:lang w:val="en-US"/>
        </w:rPr>
      </w:pPr>
    </w:p>
    <w:p w:rsidR="00E34978" w:rsidRPr="00091841" w:rsidRDefault="00E34978" w:rsidP="0009184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C3A3A">
        <w:rPr>
          <w:b/>
          <w:lang w:val="en-US"/>
        </w:rPr>
        <w:t>Model 0</w:t>
      </w:r>
      <w:r>
        <w:rPr>
          <w:b/>
          <w:lang w:val="en-US"/>
        </w:rPr>
        <w:t>3</w:t>
      </w:r>
      <w:r w:rsidRPr="002C3A3A">
        <w:rPr>
          <w:b/>
          <w:lang w:val="en-US"/>
        </w:rPr>
        <w:t xml:space="preserve">. </w:t>
      </w:r>
      <w:r w:rsidRPr="00F32A38">
        <w:rPr>
          <w:b/>
          <w:lang w:val="en-US"/>
        </w:rPr>
        <w:t xml:space="preserve">Linear mixed models to native T1 adjusted </w:t>
      </w:r>
      <w:r w:rsidR="00F32A38">
        <w:rPr>
          <w:b/>
          <w:lang w:val="en-US"/>
        </w:rPr>
        <w:t>for</w:t>
      </w:r>
      <w:r w:rsidRPr="00F32A38">
        <w:rPr>
          <w:b/>
          <w:lang w:val="en-US"/>
        </w:rPr>
        <w:t xml:space="preserve"> confounders (hematocrit, heart </w:t>
      </w:r>
      <w:r w:rsidR="001D3A08" w:rsidRPr="00F32A38">
        <w:rPr>
          <w:b/>
          <w:lang w:val="en-US"/>
        </w:rPr>
        <w:t>rate</w:t>
      </w:r>
      <w:r w:rsidRPr="00F32A38">
        <w:rPr>
          <w:b/>
          <w:lang w:val="en-US"/>
        </w:rPr>
        <w:t xml:space="preserve">, weight, </w:t>
      </w:r>
      <w:r w:rsidR="00B167DC">
        <w:rPr>
          <w:b/>
          <w:lang w:val="en-US"/>
        </w:rPr>
        <w:t>l</w:t>
      </w:r>
      <w:r w:rsidRPr="00F32A38">
        <w:rPr>
          <w:b/>
          <w:lang w:val="en-US"/>
        </w:rPr>
        <w:t xml:space="preserve">eft ventricular mass index at baseline, diabetes and use </w:t>
      </w:r>
      <w:r w:rsidR="006C1350" w:rsidRPr="00F32A38">
        <w:rPr>
          <w:b/>
          <w:lang w:val="en-US"/>
        </w:rPr>
        <w:t>of</w:t>
      </w:r>
      <w:r w:rsidR="00B167DC">
        <w:rPr>
          <w:b/>
          <w:lang w:val="en-US"/>
        </w:rPr>
        <w:t xml:space="preserve"> ARB/ACEs</w:t>
      </w:r>
      <w:bookmarkStart w:id="0" w:name="_GoBack"/>
      <w:bookmarkEnd w:id="0"/>
      <w:r w:rsidRPr="00F32A38">
        <w:rPr>
          <w:b/>
          <w:lang w:val="en-US"/>
        </w:rPr>
        <w:t xml:space="preserve"> over time (baseline and 6 months)</w:t>
      </w:r>
    </w:p>
    <w:tbl>
      <w:tblPr>
        <w:tblStyle w:val="SombreamentoMdio21"/>
        <w:tblW w:w="5170" w:type="dxa"/>
        <w:tblLook w:val="0000"/>
      </w:tblPr>
      <w:tblGrid>
        <w:gridCol w:w="2598"/>
        <w:gridCol w:w="235"/>
        <w:gridCol w:w="1326"/>
        <w:gridCol w:w="1011"/>
      </w:tblGrid>
      <w:tr w:rsidR="00E34978" w:rsidTr="00706E11">
        <w:trPr>
          <w:cnfStyle w:val="000000100000"/>
        </w:trPr>
        <w:tc>
          <w:tcPr>
            <w:cnfStyle w:val="000010000000"/>
            <w:tcW w:w="2833" w:type="dxa"/>
            <w:gridSpan w:val="2"/>
            <w:shd w:val="clear" w:color="auto" w:fill="FFFFFF" w:themeFill="background1"/>
          </w:tcPr>
          <w:p w:rsidR="00E34978" w:rsidRPr="00C32593" w:rsidRDefault="00E34978" w:rsidP="00706E11">
            <w:pPr>
              <w:rPr>
                <w:rFonts w:cs="Arial"/>
                <w:color w:val="000000"/>
                <w:sz w:val="24"/>
              </w:rPr>
            </w:pPr>
          </w:p>
          <w:p w:rsidR="00E34978" w:rsidRPr="00F32A38" w:rsidRDefault="00E34978" w:rsidP="00706E11">
            <w:pPr>
              <w:rPr>
                <w:rFonts w:cs="Arial"/>
                <w:b/>
                <w:color w:val="000000"/>
                <w:sz w:val="24"/>
              </w:rPr>
            </w:pPr>
            <w:r w:rsidRPr="00F32A38">
              <w:rPr>
                <w:rFonts w:cs="Arial"/>
                <w:b/>
                <w:color w:val="000000"/>
                <w:sz w:val="24"/>
              </w:rPr>
              <w:t>Model Term</w:t>
            </w:r>
          </w:p>
        </w:tc>
        <w:tc>
          <w:tcPr>
            <w:tcW w:w="2337" w:type="dxa"/>
            <w:gridSpan w:val="2"/>
            <w:shd w:val="clear" w:color="auto" w:fill="FFFFFF" w:themeFill="background1"/>
          </w:tcPr>
          <w:p w:rsidR="00E34978" w:rsidRDefault="00E34978" w:rsidP="00706E11">
            <w:pPr>
              <w:spacing w:line="320" w:lineRule="atLeast"/>
              <w:ind w:left="60" w:right="60"/>
              <w:cnfStyle w:val="000000100000"/>
              <w:rPr>
                <w:rFonts w:cs="Arial"/>
                <w:b/>
                <w:color w:val="000000"/>
                <w:sz w:val="24"/>
                <w:lang w:val="pt-BR"/>
              </w:rPr>
            </w:pPr>
          </w:p>
          <w:p w:rsidR="00E34978" w:rsidRPr="00F32A38" w:rsidRDefault="00E34978" w:rsidP="00706E11">
            <w:pPr>
              <w:spacing w:line="320" w:lineRule="atLeast"/>
              <w:ind w:left="60" w:right="60"/>
              <w:cnfStyle w:val="000000100000"/>
              <w:rPr>
                <w:rFonts w:cs="Arial"/>
                <w:b/>
                <w:color w:val="000000"/>
                <w:sz w:val="24"/>
                <w:lang w:val="pt-BR"/>
              </w:rPr>
            </w:pPr>
            <w:proofErr w:type="spellStart"/>
            <w:r w:rsidRPr="00F32A38">
              <w:rPr>
                <w:rFonts w:cs="Arial"/>
                <w:b/>
                <w:color w:val="000000"/>
                <w:sz w:val="24"/>
                <w:lang w:val="pt-BR"/>
              </w:rPr>
              <w:t>Coefficient</w:t>
            </w:r>
            <w:proofErr w:type="spellEnd"/>
            <w:r w:rsidRPr="00F32A38">
              <w:rPr>
                <w:rFonts w:cs="Arial"/>
                <w:b/>
                <w:color w:val="000000"/>
                <w:sz w:val="24"/>
                <w:lang w:val="pt-BR"/>
              </w:rPr>
              <w:t xml:space="preserve">        p                </w:t>
            </w:r>
          </w:p>
          <w:p w:rsidR="00E34978" w:rsidRPr="00C32593" w:rsidRDefault="00E34978" w:rsidP="00706E11">
            <w:pPr>
              <w:spacing w:line="320" w:lineRule="atLeast"/>
              <w:ind w:left="60" w:right="60"/>
              <w:cnfStyle w:val="000000100000"/>
              <w:rPr>
                <w:rFonts w:cs="Arial"/>
                <w:color w:val="000000"/>
                <w:sz w:val="24"/>
                <w:lang w:val="pt-BR"/>
              </w:rPr>
            </w:pPr>
          </w:p>
        </w:tc>
      </w:tr>
      <w:tr w:rsidR="00E34978" w:rsidTr="00706E11">
        <w:tc>
          <w:tcPr>
            <w:cnfStyle w:val="000010000000"/>
            <w:tcW w:w="2598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E34978" w:rsidRPr="00F32A38" w:rsidRDefault="00E34978" w:rsidP="00706E11">
            <w:pPr>
              <w:spacing w:line="320" w:lineRule="atLeast"/>
              <w:ind w:left="60" w:right="60"/>
              <w:rPr>
                <w:rFonts w:cs="Arial"/>
                <w:b/>
                <w:color w:val="000000"/>
                <w:sz w:val="24"/>
                <w:szCs w:val="24"/>
                <w:lang w:val="pt-BR"/>
              </w:rPr>
            </w:pPr>
            <w:r w:rsidRPr="00F32A38">
              <w:rPr>
                <w:rStyle w:val="shorttext"/>
                <w:b/>
                <w:sz w:val="24"/>
                <w:szCs w:val="24"/>
              </w:rPr>
              <w:t>Intercept</w:t>
            </w:r>
          </w:p>
        </w:tc>
        <w:tc>
          <w:tcPr>
            <w:tcW w:w="235" w:type="dxa"/>
            <w:tcBorders>
              <w:top w:val="single" w:sz="18" w:space="0" w:color="auto"/>
              <w:bottom w:val="nil"/>
            </w:tcBorders>
            <w:shd w:val="clear" w:color="auto" w:fill="FFFFFF" w:themeFill="background1"/>
          </w:tcPr>
          <w:p w:rsidR="00E34978" w:rsidRPr="00C32593" w:rsidRDefault="00E34978" w:rsidP="00706E11">
            <w:pPr>
              <w:spacing w:line="320" w:lineRule="atLeast"/>
              <w:ind w:left="60" w:right="60"/>
              <w:cnfStyle w:val="000000000000"/>
              <w:rPr>
                <w:rFonts w:cs="Arial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cnfStyle w:val="000010000000"/>
            <w:tcW w:w="1326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E34978" w:rsidRPr="00F32A38" w:rsidRDefault="00E34978" w:rsidP="00E34978">
            <w:pPr>
              <w:spacing w:line="320" w:lineRule="atLeast"/>
              <w:ind w:left="60" w:right="60"/>
              <w:jc w:val="center"/>
              <w:rPr>
                <w:rFonts w:cs="Arial"/>
                <w:color w:val="000000"/>
                <w:sz w:val="24"/>
                <w:szCs w:val="24"/>
                <w:lang w:val="pt-BR"/>
              </w:rPr>
            </w:pPr>
            <w:r w:rsidRPr="00F32A38">
              <w:rPr>
                <w:rFonts w:cs="Arial"/>
                <w:color w:val="000000"/>
                <w:sz w:val="24"/>
                <w:szCs w:val="24"/>
                <w:lang w:val="pt-BR"/>
              </w:rPr>
              <w:t>1,283.6</w:t>
            </w:r>
          </w:p>
        </w:tc>
        <w:tc>
          <w:tcPr>
            <w:tcW w:w="1011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E34978" w:rsidRPr="00F32A38" w:rsidRDefault="00E34978" w:rsidP="00706E11">
            <w:pPr>
              <w:spacing w:line="320" w:lineRule="atLeast"/>
              <w:ind w:left="60" w:right="60"/>
              <w:jc w:val="center"/>
              <w:cnfStyle w:val="000000000000"/>
              <w:rPr>
                <w:rFonts w:cs="Arial"/>
                <w:color w:val="000000"/>
                <w:sz w:val="24"/>
                <w:szCs w:val="24"/>
                <w:lang w:val="pt-BR"/>
              </w:rPr>
            </w:pPr>
            <w:r w:rsidRPr="00F32A38">
              <w:rPr>
                <w:rFonts w:cs="Arial"/>
                <w:color w:val="000000"/>
                <w:sz w:val="24"/>
                <w:szCs w:val="24"/>
                <w:lang w:val="pt-BR"/>
              </w:rPr>
              <w:t>0.000</w:t>
            </w:r>
          </w:p>
        </w:tc>
      </w:tr>
      <w:tr w:rsidR="00E34978" w:rsidTr="00706E11">
        <w:trPr>
          <w:cnfStyle w:val="000000100000"/>
        </w:trPr>
        <w:tc>
          <w:tcPr>
            <w:cnfStyle w:val="000010000000"/>
            <w:tcW w:w="2598" w:type="dxa"/>
            <w:shd w:val="clear" w:color="auto" w:fill="FFFFFF" w:themeFill="background1"/>
          </w:tcPr>
          <w:p w:rsidR="00E34978" w:rsidRPr="00F32A38" w:rsidRDefault="00E34978" w:rsidP="00706E11">
            <w:pPr>
              <w:spacing w:line="320" w:lineRule="atLeast"/>
              <w:ind w:left="60" w:right="60"/>
              <w:rPr>
                <w:rFonts w:cs="Arial"/>
                <w:b/>
                <w:color w:val="000000"/>
                <w:sz w:val="24"/>
                <w:szCs w:val="24"/>
                <w:lang w:val="pt-BR"/>
              </w:rPr>
            </w:pPr>
            <w:r w:rsidRPr="00F32A38">
              <w:rPr>
                <w:rStyle w:val="shorttext"/>
                <w:b/>
                <w:sz w:val="24"/>
                <w:szCs w:val="24"/>
              </w:rPr>
              <w:t>Hematocrit (%)</w:t>
            </w:r>
          </w:p>
        </w:tc>
        <w:tc>
          <w:tcPr>
            <w:tcW w:w="2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34978" w:rsidRPr="00C32593" w:rsidRDefault="00E34978" w:rsidP="00706E11">
            <w:pPr>
              <w:spacing w:line="320" w:lineRule="atLeast"/>
              <w:ind w:left="60" w:right="60"/>
              <w:cnfStyle w:val="000000100000"/>
              <w:rPr>
                <w:rFonts w:cs="Arial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cnfStyle w:val="000010000000"/>
            <w:tcW w:w="1326" w:type="dxa"/>
            <w:shd w:val="clear" w:color="auto" w:fill="FFFFFF" w:themeFill="background1"/>
          </w:tcPr>
          <w:p w:rsidR="00E34978" w:rsidRPr="00F32A38" w:rsidRDefault="00E34978" w:rsidP="00E34978">
            <w:pPr>
              <w:spacing w:line="320" w:lineRule="atLeast"/>
              <w:ind w:right="60"/>
              <w:jc w:val="center"/>
              <w:rPr>
                <w:rFonts w:cs="Arial"/>
                <w:color w:val="000000"/>
                <w:sz w:val="24"/>
                <w:szCs w:val="24"/>
                <w:lang w:val="pt-BR"/>
              </w:rPr>
            </w:pPr>
            <w:r w:rsidRPr="00F32A38">
              <w:rPr>
                <w:rFonts w:cs="Arial"/>
                <w:color w:val="000000"/>
                <w:sz w:val="24"/>
                <w:szCs w:val="24"/>
                <w:lang w:val="pt-BR"/>
              </w:rPr>
              <w:t>-0.667</w:t>
            </w:r>
          </w:p>
        </w:tc>
        <w:tc>
          <w:tcPr>
            <w:tcW w:w="1011" w:type="dxa"/>
            <w:shd w:val="clear" w:color="auto" w:fill="FFFFFF" w:themeFill="background1"/>
          </w:tcPr>
          <w:p w:rsidR="00E34978" w:rsidRPr="00F32A38" w:rsidRDefault="00E34978" w:rsidP="00E34978">
            <w:pPr>
              <w:spacing w:line="320" w:lineRule="atLeast"/>
              <w:ind w:left="60" w:right="60"/>
              <w:jc w:val="center"/>
              <w:cnfStyle w:val="000000100000"/>
              <w:rPr>
                <w:rFonts w:cs="Arial"/>
                <w:color w:val="000000"/>
                <w:sz w:val="24"/>
                <w:szCs w:val="24"/>
                <w:lang w:val="pt-BR"/>
              </w:rPr>
            </w:pPr>
            <w:r w:rsidRPr="00F32A38">
              <w:rPr>
                <w:rFonts w:cs="Arial"/>
                <w:color w:val="000000"/>
                <w:sz w:val="24"/>
                <w:szCs w:val="24"/>
                <w:lang w:val="pt-BR"/>
              </w:rPr>
              <w:t>0.491</w:t>
            </w:r>
          </w:p>
        </w:tc>
      </w:tr>
      <w:tr w:rsidR="00E34978" w:rsidTr="00706E11">
        <w:tc>
          <w:tcPr>
            <w:cnfStyle w:val="000010000000"/>
            <w:tcW w:w="2598" w:type="dxa"/>
            <w:shd w:val="clear" w:color="auto" w:fill="FFFFFF" w:themeFill="background1"/>
          </w:tcPr>
          <w:p w:rsidR="00E34978" w:rsidRPr="00F32A38" w:rsidRDefault="00E34978" w:rsidP="001D3A08">
            <w:pPr>
              <w:spacing w:line="320" w:lineRule="atLeast"/>
              <w:ind w:left="60" w:right="60"/>
              <w:rPr>
                <w:rFonts w:cs="Arial"/>
                <w:b/>
                <w:color w:val="000000"/>
                <w:sz w:val="24"/>
                <w:szCs w:val="24"/>
                <w:lang w:val="pt-BR"/>
              </w:rPr>
            </w:pPr>
            <w:r w:rsidRPr="00F32A38">
              <w:rPr>
                <w:rStyle w:val="shorttext"/>
                <w:b/>
                <w:sz w:val="24"/>
                <w:szCs w:val="24"/>
              </w:rPr>
              <w:t xml:space="preserve">Heart </w:t>
            </w:r>
            <w:r w:rsidR="001D3A08" w:rsidRPr="00F32A38">
              <w:rPr>
                <w:rStyle w:val="shorttext"/>
                <w:b/>
                <w:sz w:val="24"/>
                <w:szCs w:val="24"/>
              </w:rPr>
              <w:t>Rate</w:t>
            </w:r>
          </w:p>
        </w:tc>
        <w:tc>
          <w:tcPr>
            <w:tcW w:w="2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34978" w:rsidRPr="00C32593" w:rsidRDefault="00E34978" w:rsidP="00706E11">
            <w:pPr>
              <w:spacing w:line="320" w:lineRule="atLeast"/>
              <w:ind w:left="60" w:right="60"/>
              <w:cnfStyle w:val="000000000000"/>
              <w:rPr>
                <w:rFonts w:cs="Arial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cnfStyle w:val="000010000000"/>
            <w:tcW w:w="1326" w:type="dxa"/>
            <w:shd w:val="clear" w:color="auto" w:fill="FFFFFF" w:themeFill="background1"/>
          </w:tcPr>
          <w:p w:rsidR="00E34978" w:rsidRPr="00F32A38" w:rsidRDefault="00E34978" w:rsidP="00E34978">
            <w:pPr>
              <w:spacing w:line="320" w:lineRule="atLeast"/>
              <w:ind w:left="60" w:right="60"/>
              <w:jc w:val="center"/>
              <w:rPr>
                <w:rFonts w:cs="Arial"/>
                <w:color w:val="000000"/>
                <w:sz w:val="24"/>
                <w:szCs w:val="24"/>
                <w:lang w:val="pt-BR"/>
              </w:rPr>
            </w:pPr>
            <w:r w:rsidRPr="00F32A38">
              <w:rPr>
                <w:rFonts w:cs="Arial"/>
                <w:color w:val="000000"/>
                <w:sz w:val="24"/>
                <w:szCs w:val="24"/>
                <w:lang w:val="pt-BR"/>
              </w:rPr>
              <w:t>0.375</w:t>
            </w:r>
          </w:p>
        </w:tc>
        <w:tc>
          <w:tcPr>
            <w:tcW w:w="1011" w:type="dxa"/>
            <w:shd w:val="clear" w:color="auto" w:fill="FFFFFF" w:themeFill="background1"/>
          </w:tcPr>
          <w:p w:rsidR="00E34978" w:rsidRPr="00F32A38" w:rsidRDefault="00E34978" w:rsidP="00E34978">
            <w:pPr>
              <w:spacing w:line="320" w:lineRule="atLeast"/>
              <w:ind w:left="60" w:right="60"/>
              <w:jc w:val="center"/>
              <w:cnfStyle w:val="000000000000"/>
              <w:rPr>
                <w:rFonts w:cs="Arial"/>
                <w:color w:val="000000"/>
                <w:sz w:val="24"/>
                <w:szCs w:val="24"/>
                <w:lang w:val="pt-BR"/>
              </w:rPr>
            </w:pPr>
            <w:r w:rsidRPr="00F32A38">
              <w:rPr>
                <w:rFonts w:cs="Arial"/>
                <w:color w:val="000000"/>
                <w:sz w:val="24"/>
                <w:szCs w:val="24"/>
                <w:lang w:val="pt-BR"/>
              </w:rPr>
              <w:t>0.398</w:t>
            </w:r>
          </w:p>
        </w:tc>
      </w:tr>
      <w:tr w:rsidR="00E34978" w:rsidTr="00706E11">
        <w:trPr>
          <w:cnfStyle w:val="000000100000"/>
        </w:trPr>
        <w:tc>
          <w:tcPr>
            <w:cnfStyle w:val="000010000000"/>
            <w:tcW w:w="2598" w:type="dxa"/>
            <w:shd w:val="clear" w:color="auto" w:fill="FFFFFF" w:themeFill="background1"/>
          </w:tcPr>
          <w:p w:rsidR="00E34978" w:rsidRPr="00F32A38" w:rsidRDefault="00E34978" w:rsidP="00706E11">
            <w:pPr>
              <w:spacing w:line="320" w:lineRule="atLeast"/>
              <w:ind w:left="60" w:right="60"/>
              <w:rPr>
                <w:rFonts w:cs="Arial"/>
                <w:b/>
                <w:color w:val="000000"/>
                <w:sz w:val="24"/>
                <w:szCs w:val="24"/>
                <w:lang w:val="pt-BR"/>
              </w:rPr>
            </w:pPr>
            <w:proofErr w:type="spellStart"/>
            <w:r w:rsidRPr="00F32A38">
              <w:rPr>
                <w:rFonts w:cs="Arial"/>
                <w:b/>
                <w:color w:val="000000"/>
                <w:sz w:val="24"/>
                <w:szCs w:val="24"/>
                <w:lang w:val="pt-BR"/>
              </w:rPr>
              <w:t>Weight</w:t>
            </w:r>
            <w:proofErr w:type="spellEnd"/>
            <w:r w:rsidRPr="00F32A38">
              <w:rPr>
                <w:rFonts w:cs="Arial"/>
                <w:b/>
                <w:color w:val="000000"/>
                <w:sz w:val="24"/>
                <w:szCs w:val="24"/>
                <w:lang w:val="pt-BR"/>
              </w:rPr>
              <w:t xml:space="preserve"> (kg)</w:t>
            </w:r>
          </w:p>
        </w:tc>
        <w:tc>
          <w:tcPr>
            <w:tcW w:w="2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34978" w:rsidRPr="00C32593" w:rsidRDefault="00E34978" w:rsidP="00706E11">
            <w:pPr>
              <w:spacing w:line="320" w:lineRule="atLeast"/>
              <w:ind w:left="60" w:right="60"/>
              <w:cnfStyle w:val="000000100000"/>
              <w:rPr>
                <w:rFonts w:cs="Arial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cnfStyle w:val="000010000000"/>
            <w:tcW w:w="1326" w:type="dxa"/>
            <w:shd w:val="clear" w:color="auto" w:fill="FFFFFF" w:themeFill="background1"/>
          </w:tcPr>
          <w:p w:rsidR="00E34978" w:rsidRPr="00F32A38" w:rsidRDefault="00E34978" w:rsidP="00706E11">
            <w:pPr>
              <w:spacing w:line="320" w:lineRule="atLeast"/>
              <w:ind w:left="60" w:right="60"/>
              <w:jc w:val="center"/>
              <w:rPr>
                <w:rFonts w:cs="Arial"/>
                <w:color w:val="000000"/>
                <w:sz w:val="24"/>
                <w:szCs w:val="24"/>
                <w:lang w:val="pt-BR"/>
              </w:rPr>
            </w:pPr>
            <w:r w:rsidRPr="00F32A38">
              <w:rPr>
                <w:rFonts w:cs="Arial"/>
                <w:color w:val="000000"/>
                <w:sz w:val="24"/>
                <w:szCs w:val="24"/>
                <w:lang w:val="pt-BR"/>
              </w:rPr>
              <w:t>0.047</w:t>
            </w:r>
          </w:p>
        </w:tc>
        <w:tc>
          <w:tcPr>
            <w:tcW w:w="1011" w:type="dxa"/>
            <w:shd w:val="clear" w:color="auto" w:fill="FFFFFF" w:themeFill="background1"/>
          </w:tcPr>
          <w:p w:rsidR="00E34978" w:rsidRPr="00F32A38" w:rsidRDefault="00E34978" w:rsidP="00E34978">
            <w:pPr>
              <w:spacing w:line="320" w:lineRule="atLeast"/>
              <w:ind w:left="60" w:right="60"/>
              <w:jc w:val="center"/>
              <w:cnfStyle w:val="000000100000"/>
              <w:rPr>
                <w:rFonts w:cs="Arial"/>
                <w:color w:val="000000"/>
                <w:sz w:val="24"/>
                <w:szCs w:val="24"/>
                <w:lang w:val="pt-BR"/>
              </w:rPr>
            </w:pPr>
            <w:r w:rsidRPr="00F32A38">
              <w:rPr>
                <w:rFonts w:cs="Arial"/>
                <w:color w:val="000000"/>
                <w:sz w:val="24"/>
                <w:szCs w:val="24"/>
                <w:lang w:val="pt-BR"/>
              </w:rPr>
              <w:t>0.607</w:t>
            </w:r>
          </w:p>
        </w:tc>
      </w:tr>
      <w:tr w:rsidR="00E34978" w:rsidTr="00706E11">
        <w:tc>
          <w:tcPr>
            <w:cnfStyle w:val="000010000000"/>
            <w:tcW w:w="2598" w:type="dxa"/>
            <w:shd w:val="clear" w:color="auto" w:fill="FFFFFF" w:themeFill="background1"/>
          </w:tcPr>
          <w:p w:rsidR="00E34978" w:rsidRPr="00F32A38" w:rsidRDefault="00E34978" w:rsidP="00706E11">
            <w:pPr>
              <w:spacing w:line="320" w:lineRule="atLeast"/>
              <w:ind w:left="60" w:right="60"/>
              <w:rPr>
                <w:rFonts w:cs="Arial"/>
                <w:b/>
                <w:color w:val="000000"/>
                <w:sz w:val="24"/>
                <w:szCs w:val="24"/>
              </w:rPr>
            </w:pPr>
            <w:proofErr w:type="spellStart"/>
            <w:r w:rsidRPr="00F32A38">
              <w:rPr>
                <w:rFonts w:cs="Arial"/>
                <w:b/>
                <w:color w:val="000000"/>
                <w:sz w:val="24"/>
                <w:szCs w:val="24"/>
              </w:rPr>
              <w:t>LVMi</w:t>
            </w:r>
            <w:proofErr w:type="spellEnd"/>
            <w:r w:rsidRPr="00F32A38">
              <w:rPr>
                <w:rFonts w:cs="Arial"/>
                <w:b/>
                <w:color w:val="000000"/>
                <w:sz w:val="24"/>
                <w:szCs w:val="24"/>
              </w:rPr>
              <w:t xml:space="preserve"> (g/m</w:t>
            </w:r>
            <w:r w:rsidRPr="00F32A38">
              <w:rPr>
                <w:rFonts w:cs="Arial"/>
                <w:b/>
                <w:color w:val="000000"/>
                <w:sz w:val="24"/>
                <w:szCs w:val="24"/>
                <w:vertAlign w:val="superscript"/>
              </w:rPr>
              <w:t>2</w:t>
            </w:r>
            <w:r w:rsidRPr="00F32A38">
              <w:rPr>
                <w:rFonts w:cs="Arial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2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34978" w:rsidRPr="00C32593" w:rsidRDefault="00E34978" w:rsidP="00706E11">
            <w:pPr>
              <w:spacing w:line="320" w:lineRule="atLeast"/>
              <w:ind w:left="60" w:right="60"/>
              <w:cnfStyle w:val="00000000000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cnfStyle w:val="000010000000"/>
            <w:tcW w:w="1326" w:type="dxa"/>
            <w:shd w:val="clear" w:color="auto" w:fill="FFFFFF" w:themeFill="background1"/>
          </w:tcPr>
          <w:p w:rsidR="00E34978" w:rsidRPr="00F32A38" w:rsidRDefault="00E34978" w:rsidP="00706E11">
            <w:pPr>
              <w:spacing w:line="320" w:lineRule="atLeast"/>
              <w:ind w:left="60" w:right="6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F32A38">
              <w:rPr>
                <w:rFonts w:cs="Arial"/>
                <w:color w:val="000000"/>
                <w:sz w:val="24"/>
                <w:szCs w:val="24"/>
              </w:rPr>
              <w:t>0.034</w:t>
            </w:r>
          </w:p>
        </w:tc>
        <w:tc>
          <w:tcPr>
            <w:tcW w:w="1011" w:type="dxa"/>
            <w:shd w:val="clear" w:color="auto" w:fill="FFFFFF" w:themeFill="background1"/>
          </w:tcPr>
          <w:p w:rsidR="00E34978" w:rsidRPr="00F32A38" w:rsidRDefault="00E34978" w:rsidP="00706E11">
            <w:pPr>
              <w:spacing w:line="320" w:lineRule="atLeast"/>
              <w:ind w:left="60" w:right="60"/>
              <w:jc w:val="center"/>
              <w:cnfStyle w:val="000000000000"/>
              <w:rPr>
                <w:rFonts w:cs="Arial"/>
                <w:color w:val="000000"/>
                <w:sz w:val="24"/>
                <w:szCs w:val="24"/>
              </w:rPr>
            </w:pPr>
            <w:r w:rsidRPr="00F32A38">
              <w:rPr>
                <w:rFonts w:cs="Arial"/>
                <w:color w:val="000000"/>
                <w:sz w:val="24"/>
                <w:szCs w:val="24"/>
              </w:rPr>
              <w:t>0.912</w:t>
            </w:r>
          </w:p>
        </w:tc>
      </w:tr>
      <w:tr w:rsidR="00E34978" w:rsidTr="00706E11">
        <w:trPr>
          <w:cnfStyle w:val="000000100000"/>
        </w:trPr>
        <w:tc>
          <w:tcPr>
            <w:cnfStyle w:val="000010000000"/>
            <w:tcW w:w="2598" w:type="dxa"/>
            <w:shd w:val="clear" w:color="auto" w:fill="FFFFFF" w:themeFill="background1"/>
          </w:tcPr>
          <w:p w:rsidR="00E34978" w:rsidRPr="00F32A38" w:rsidRDefault="00E34978" w:rsidP="00706E11">
            <w:pPr>
              <w:spacing w:line="320" w:lineRule="atLeast"/>
              <w:ind w:left="60" w:right="60"/>
              <w:rPr>
                <w:rFonts w:cs="Arial"/>
                <w:b/>
                <w:color w:val="000000"/>
                <w:sz w:val="24"/>
                <w:szCs w:val="24"/>
              </w:rPr>
            </w:pPr>
            <w:r w:rsidRPr="00F32A38">
              <w:rPr>
                <w:rFonts w:cs="Arial"/>
                <w:b/>
                <w:color w:val="000000"/>
                <w:sz w:val="24"/>
                <w:szCs w:val="24"/>
              </w:rPr>
              <w:t xml:space="preserve">Diabetes </w:t>
            </w:r>
          </w:p>
        </w:tc>
        <w:tc>
          <w:tcPr>
            <w:tcW w:w="2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34978" w:rsidRPr="00C32593" w:rsidRDefault="00E34978" w:rsidP="00706E11">
            <w:pPr>
              <w:spacing w:line="320" w:lineRule="atLeast"/>
              <w:ind w:left="60" w:right="60"/>
              <w:cnfStyle w:val="00000010000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cnfStyle w:val="000010000000"/>
            <w:tcW w:w="1326" w:type="dxa"/>
            <w:shd w:val="clear" w:color="auto" w:fill="FFFFFF" w:themeFill="background1"/>
          </w:tcPr>
          <w:p w:rsidR="00E34978" w:rsidRPr="00F32A38" w:rsidRDefault="00E34978" w:rsidP="00706E11">
            <w:pPr>
              <w:spacing w:line="320" w:lineRule="atLeast"/>
              <w:ind w:left="60" w:right="6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F32A38">
              <w:rPr>
                <w:rFonts w:cs="Arial"/>
                <w:color w:val="000000"/>
                <w:sz w:val="24"/>
                <w:szCs w:val="24"/>
              </w:rPr>
              <w:t>4.259</w:t>
            </w:r>
          </w:p>
        </w:tc>
        <w:tc>
          <w:tcPr>
            <w:tcW w:w="1011" w:type="dxa"/>
            <w:shd w:val="clear" w:color="auto" w:fill="FFFFFF" w:themeFill="background1"/>
          </w:tcPr>
          <w:p w:rsidR="00E34978" w:rsidRPr="00F32A38" w:rsidRDefault="00E34978" w:rsidP="00706E11">
            <w:pPr>
              <w:spacing w:line="320" w:lineRule="atLeast"/>
              <w:ind w:left="60" w:right="60"/>
              <w:jc w:val="center"/>
              <w:cnfStyle w:val="000000100000"/>
              <w:rPr>
                <w:rFonts w:cs="Arial"/>
                <w:color w:val="000000"/>
                <w:sz w:val="24"/>
                <w:szCs w:val="24"/>
              </w:rPr>
            </w:pPr>
            <w:r w:rsidRPr="00F32A38">
              <w:rPr>
                <w:rFonts w:cs="Arial"/>
                <w:color w:val="000000"/>
                <w:sz w:val="24"/>
                <w:szCs w:val="24"/>
              </w:rPr>
              <w:t>0.763</w:t>
            </w:r>
          </w:p>
        </w:tc>
      </w:tr>
      <w:tr w:rsidR="00E34978" w:rsidTr="00706E11">
        <w:tc>
          <w:tcPr>
            <w:cnfStyle w:val="000010000000"/>
            <w:tcW w:w="2598" w:type="dxa"/>
            <w:shd w:val="clear" w:color="auto" w:fill="FFFFFF" w:themeFill="background1"/>
          </w:tcPr>
          <w:p w:rsidR="00E34978" w:rsidRPr="00F32A38" w:rsidRDefault="00A50135" w:rsidP="00B23B5F">
            <w:pPr>
              <w:spacing w:line="320" w:lineRule="atLeast"/>
              <w:ind w:left="60" w:right="60"/>
              <w:rPr>
                <w:rFonts w:cs="Arial"/>
                <w:b/>
                <w:color w:val="000000"/>
                <w:sz w:val="24"/>
                <w:szCs w:val="24"/>
              </w:rPr>
            </w:pPr>
            <w:r w:rsidRPr="00F32A38">
              <w:rPr>
                <w:rFonts w:cs="Arial"/>
                <w:b/>
                <w:color w:val="000000"/>
                <w:sz w:val="24"/>
                <w:szCs w:val="24"/>
              </w:rPr>
              <w:t xml:space="preserve">Use of </w:t>
            </w:r>
            <w:r w:rsidR="00E34978" w:rsidRPr="00F32A38">
              <w:rPr>
                <w:rFonts w:cs="Arial"/>
                <w:b/>
                <w:color w:val="000000"/>
                <w:sz w:val="24"/>
                <w:szCs w:val="24"/>
              </w:rPr>
              <w:t>AR</w:t>
            </w:r>
            <w:r w:rsidR="00B23B5F" w:rsidRPr="00F32A38">
              <w:rPr>
                <w:rFonts w:cs="Arial"/>
                <w:b/>
                <w:color w:val="000000"/>
                <w:sz w:val="24"/>
                <w:szCs w:val="24"/>
              </w:rPr>
              <w:t>B</w:t>
            </w:r>
            <w:r w:rsidR="00E34978" w:rsidRPr="00F32A38">
              <w:rPr>
                <w:rFonts w:cs="Arial"/>
                <w:b/>
                <w:color w:val="000000"/>
                <w:sz w:val="24"/>
                <w:szCs w:val="24"/>
              </w:rPr>
              <w:t>/ACEs</w:t>
            </w:r>
          </w:p>
        </w:tc>
        <w:tc>
          <w:tcPr>
            <w:tcW w:w="2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34978" w:rsidRPr="00C32593" w:rsidRDefault="00E34978" w:rsidP="00706E11">
            <w:pPr>
              <w:spacing w:line="320" w:lineRule="atLeast"/>
              <w:ind w:left="60" w:right="60"/>
              <w:cnfStyle w:val="00000000000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cnfStyle w:val="000010000000"/>
            <w:tcW w:w="1326" w:type="dxa"/>
            <w:shd w:val="clear" w:color="auto" w:fill="FFFFFF" w:themeFill="background1"/>
          </w:tcPr>
          <w:p w:rsidR="00E34978" w:rsidRPr="00F32A38" w:rsidRDefault="00E34978" w:rsidP="00706E11">
            <w:pPr>
              <w:spacing w:line="320" w:lineRule="atLeast"/>
              <w:ind w:left="60" w:right="6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F32A38">
              <w:rPr>
                <w:rFonts w:cs="Arial"/>
                <w:color w:val="000000"/>
                <w:sz w:val="24"/>
                <w:szCs w:val="24"/>
              </w:rPr>
              <w:t>-1.200</w:t>
            </w:r>
          </w:p>
        </w:tc>
        <w:tc>
          <w:tcPr>
            <w:tcW w:w="1011" w:type="dxa"/>
            <w:shd w:val="clear" w:color="auto" w:fill="FFFFFF" w:themeFill="background1"/>
          </w:tcPr>
          <w:p w:rsidR="00E34978" w:rsidRPr="00F32A38" w:rsidRDefault="00E34978" w:rsidP="00706E11">
            <w:pPr>
              <w:spacing w:line="320" w:lineRule="atLeast"/>
              <w:ind w:left="60" w:right="60"/>
              <w:jc w:val="center"/>
              <w:cnfStyle w:val="000000000000"/>
              <w:rPr>
                <w:rFonts w:cs="Arial"/>
                <w:color w:val="000000"/>
                <w:sz w:val="24"/>
                <w:szCs w:val="24"/>
              </w:rPr>
            </w:pPr>
            <w:r w:rsidRPr="00F32A38">
              <w:rPr>
                <w:rFonts w:cs="Arial"/>
                <w:color w:val="000000"/>
                <w:sz w:val="24"/>
                <w:szCs w:val="24"/>
              </w:rPr>
              <w:t>0.922</w:t>
            </w:r>
          </w:p>
        </w:tc>
      </w:tr>
      <w:tr w:rsidR="00E34978" w:rsidTr="00706E11">
        <w:trPr>
          <w:cnfStyle w:val="000000100000"/>
        </w:trPr>
        <w:tc>
          <w:tcPr>
            <w:cnfStyle w:val="000010000000"/>
            <w:tcW w:w="2598" w:type="dxa"/>
            <w:shd w:val="clear" w:color="auto" w:fill="FFFFFF" w:themeFill="background1"/>
          </w:tcPr>
          <w:p w:rsidR="00E34978" w:rsidRPr="00F32A38" w:rsidRDefault="00E34978" w:rsidP="00706E11">
            <w:pPr>
              <w:spacing w:line="320" w:lineRule="atLeast"/>
              <w:ind w:left="60" w:right="60"/>
              <w:rPr>
                <w:rFonts w:cs="Arial"/>
                <w:b/>
                <w:color w:val="000000"/>
                <w:sz w:val="24"/>
                <w:szCs w:val="24"/>
                <w:lang w:val="pt-BR"/>
              </w:rPr>
            </w:pPr>
            <w:r w:rsidRPr="00F32A38">
              <w:rPr>
                <w:rStyle w:val="shorttext"/>
                <w:b/>
                <w:sz w:val="24"/>
                <w:szCs w:val="24"/>
              </w:rPr>
              <w:t>Time (6-months)</w:t>
            </w:r>
          </w:p>
        </w:tc>
        <w:tc>
          <w:tcPr>
            <w:tcW w:w="2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34978" w:rsidRPr="00C32593" w:rsidRDefault="00E34978" w:rsidP="00706E11">
            <w:pPr>
              <w:spacing w:line="320" w:lineRule="atLeast"/>
              <w:ind w:left="60" w:right="60"/>
              <w:cnfStyle w:val="000000100000"/>
              <w:rPr>
                <w:rFonts w:cs="Arial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cnfStyle w:val="000010000000"/>
            <w:tcW w:w="1326" w:type="dxa"/>
            <w:shd w:val="clear" w:color="auto" w:fill="FFFFFF" w:themeFill="background1"/>
          </w:tcPr>
          <w:p w:rsidR="00E34978" w:rsidRPr="00F32A38" w:rsidRDefault="00E34978" w:rsidP="00706E11">
            <w:pPr>
              <w:spacing w:line="320" w:lineRule="atLeast"/>
              <w:ind w:left="60" w:right="60"/>
              <w:jc w:val="center"/>
              <w:rPr>
                <w:rFonts w:cs="Arial"/>
                <w:color w:val="000000"/>
                <w:sz w:val="24"/>
                <w:szCs w:val="24"/>
                <w:lang w:val="pt-BR"/>
              </w:rPr>
            </w:pPr>
            <w:r w:rsidRPr="00F32A38">
              <w:rPr>
                <w:rFonts w:cs="Arial"/>
                <w:color w:val="000000"/>
                <w:sz w:val="24"/>
                <w:szCs w:val="24"/>
                <w:lang w:val="pt-BR"/>
              </w:rPr>
              <w:t>25.42</w:t>
            </w:r>
          </w:p>
        </w:tc>
        <w:tc>
          <w:tcPr>
            <w:tcW w:w="1011" w:type="dxa"/>
            <w:shd w:val="clear" w:color="auto" w:fill="FFFFFF" w:themeFill="background1"/>
          </w:tcPr>
          <w:p w:rsidR="00E34978" w:rsidRPr="00F32A38" w:rsidRDefault="00E34978" w:rsidP="00E34978">
            <w:pPr>
              <w:spacing w:line="320" w:lineRule="atLeast"/>
              <w:ind w:left="60" w:right="60"/>
              <w:jc w:val="center"/>
              <w:cnfStyle w:val="000000100000"/>
              <w:rPr>
                <w:rFonts w:cs="Arial"/>
                <w:color w:val="000000"/>
                <w:sz w:val="24"/>
                <w:szCs w:val="24"/>
                <w:lang w:val="pt-BR"/>
              </w:rPr>
            </w:pPr>
            <w:r w:rsidRPr="00F32A38">
              <w:rPr>
                <w:rFonts w:cs="Arial"/>
                <w:color w:val="000000"/>
                <w:sz w:val="24"/>
                <w:szCs w:val="24"/>
                <w:lang w:val="pt-BR"/>
              </w:rPr>
              <w:t>0.017</w:t>
            </w:r>
          </w:p>
        </w:tc>
      </w:tr>
      <w:tr w:rsidR="00E34978" w:rsidTr="00706E11">
        <w:tc>
          <w:tcPr>
            <w:cnfStyle w:val="000010000000"/>
            <w:tcW w:w="2598" w:type="dxa"/>
            <w:shd w:val="clear" w:color="auto" w:fill="FFFFFF" w:themeFill="background1"/>
          </w:tcPr>
          <w:p w:rsidR="00E34978" w:rsidRPr="00F32A38" w:rsidRDefault="00E34978" w:rsidP="00706E11">
            <w:pPr>
              <w:spacing w:line="320" w:lineRule="atLeast"/>
              <w:ind w:left="60" w:right="60"/>
              <w:rPr>
                <w:rFonts w:cs="Arial"/>
                <w:b/>
                <w:color w:val="000000"/>
                <w:sz w:val="24"/>
                <w:szCs w:val="24"/>
                <w:lang w:val="pt-BR"/>
              </w:rPr>
            </w:pPr>
            <w:r w:rsidRPr="00F32A38">
              <w:rPr>
                <w:rStyle w:val="shorttext"/>
                <w:b/>
                <w:sz w:val="24"/>
                <w:szCs w:val="24"/>
              </w:rPr>
              <w:t>Time (baseline)</w:t>
            </w:r>
          </w:p>
        </w:tc>
        <w:tc>
          <w:tcPr>
            <w:tcW w:w="2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34978" w:rsidRPr="00C32593" w:rsidRDefault="00E34978" w:rsidP="00706E11">
            <w:pPr>
              <w:spacing w:line="320" w:lineRule="atLeast"/>
              <w:ind w:left="60" w:right="60"/>
              <w:cnfStyle w:val="000000000000"/>
              <w:rPr>
                <w:rFonts w:cs="Arial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cnfStyle w:val="000010000000"/>
            <w:tcW w:w="1326" w:type="dxa"/>
            <w:shd w:val="clear" w:color="auto" w:fill="FFFFFF" w:themeFill="background1"/>
          </w:tcPr>
          <w:p w:rsidR="00E34978" w:rsidRPr="00F32A38" w:rsidRDefault="00E34978" w:rsidP="00706E11">
            <w:pPr>
              <w:spacing w:line="320" w:lineRule="atLeast"/>
              <w:ind w:left="60" w:right="60"/>
              <w:jc w:val="center"/>
              <w:rPr>
                <w:rFonts w:cs="Arial"/>
                <w:color w:val="000000"/>
                <w:sz w:val="24"/>
                <w:szCs w:val="24"/>
                <w:lang w:val="pt-BR"/>
              </w:rPr>
            </w:pPr>
            <w:r w:rsidRPr="00F32A38">
              <w:rPr>
                <w:rFonts w:cs="Arial"/>
                <w:color w:val="000000"/>
                <w:sz w:val="24"/>
                <w:szCs w:val="24"/>
                <w:lang w:val="pt-BR"/>
              </w:rPr>
              <w:t>0</w:t>
            </w:r>
            <w:r w:rsidRPr="00F32A38">
              <w:rPr>
                <w:rFonts w:cs="Arial"/>
                <w:color w:val="000000"/>
                <w:sz w:val="24"/>
                <w:szCs w:val="24"/>
                <w:vertAlign w:val="superscript"/>
                <w:lang w:val="pt-BR"/>
              </w:rPr>
              <w:t>a</w:t>
            </w:r>
          </w:p>
        </w:tc>
        <w:tc>
          <w:tcPr>
            <w:tcW w:w="1011" w:type="dxa"/>
            <w:shd w:val="clear" w:color="auto" w:fill="FFFFFF" w:themeFill="background1"/>
          </w:tcPr>
          <w:p w:rsidR="00E34978" w:rsidRPr="00C32593" w:rsidRDefault="00E34978" w:rsidP="00706E11">
            <w:pPr>
              <w:spacing w:line="320" w:lineRule="atLeast"/>
              <w:ind w:left="60" w:right="60"/>
              <w:jc w:val="center"/>
              <w:cnfStyle w:val="000000000000"/>
              <w:rPr>
                <w:rFonts w:cs="Arial"/>
                <w:color w:val="000000"/>
                <w:sz w:val="24"/>
                <w:szCs w:val="24"/>
                <w:lang w:val="pt-BR"/>
              </w:rPr>
            </w:pPr>
          </w:p>
        </w:tc>
      </w:tr>
      <w:tr w:rsidR="00E34978" w:rsidTr="00706E11">
        <w:trPr>
          <w:cnfStyle w:val="000000100000"/>
          <w:trHeight w:val="80"/>
        </w:trPr>
        <w:tc>
          <w:tcPr>
            <w:cnfStyle w:val="000010000000"/>
            <w:tcW w:w="2598" w:type="dxa"/>
            <w:shd w:val="clear" w:color="auto" w:fill="FFFFFF" w:themeFill="background1"/>
          </w:tcPr>
          <w:p w:rsidR="00E34978" w:rsidRPr="00C32593" w:rsidRDefault="00E34978" w:rsidP="00706E11">
            <w:pPr>
              <w:spacing w:line="320" w:lineRule="atLeast"/>
              <w:ind w:right="60"/>
              <w:rPr>
                <w:rFonts w:cs="Arial"/>
                <w:b/>
                <w:color w:val="000000"/>
                <w:sz w:val="22"/>
                <w:lang w:val="pt-BR"/>
              </w:rPr>
            </w:pPr>
          </w:p>
        </w:tc>
        <w:tc>
          <w:tcPr>
            <w:tcW w:w="235" w:type="dxa"/>
            <w:tcBorders>
              <w:top w:val="nil"/>
            </w:tcBorders>
            <w:shd w:val="clear" w:color="auto" w:fill="FFFFFF" w:themeFill="background1"/>
          </w:tcPr>
          <w:p w:rsidR="00E34978" w:rsidRPr="00C32593" w:rsidRDefault="00E34978" w:rsidP="00706E11">
            <w:pPr>
              <w:spacing w:line="320" w:lineRule="atLeast"/>
              <w:ind w:left="60" w:right="60"/>
              <w:cnfStyle w:val="000000100000"/>
              <w:rPr>
                <w:rFonts w:cs="Arial"/>
                <w:color w:val="000000"/>
                <w:sz w:val="22"/>
                <w:lang w:val="pt-BR"/>
              </w:rPr>
            </w:pPr>
          </w:p>
        </w:tc>
        <w:tc>
          <w:tcPr>
            <w:cnfStyle w:val="000010000000"/>
            <w:tcW w:w="1326" w:type="dxa"/>
            <w:shd w:val="clear" w:color="auto" w:fill="FFFFFF" w:themeFill="background1"/>
          </w:tcPr>
          <w:p w:rsidR="00E34978" w:rsidRPr="00C32593" w:rsidRDefault="00E34978" w:rsidP="00706E11">
            <w:pPr>
              <w:spacing w:line="320" w:lineRule="atLeast"/>
              <w:ind w:left="60" w:right="60"/>
              <w:jc w:val="center"/>
              <w:rPr>
                <w:rFonts w:cs="Arial"/>
                <w:color w:val="000000"/>
                <w:sz w:val="22"/>
                <w:lang w:val="pt-BR"/>
              </w:rPr>
            </w:pPr>
          </w:p>
        </w:tc>
        <w:tc>
          <w:tcPr>
            <w:tcW w:w="1011" w:type="dxa"/>
            <w:shd w:val="clear" w:color="auto" w:fill="FFFFFF" w:themeFill="background1"/>
          </w:tcPr>
          <w:p w:rsidR="00E34978" w:rsidRPr="00C32593" w:rsidRDefault="00E34978" w:rsidP="00706E11">
            <w:pPr>
              <w:spacing w:line="320" w:lineRule="atLeast"/>
              <w:ind w:left="60" w:right="60"/>
              <w:jc w:val="center"/>
              <w:cnfStyle w:val="000000100000"/>
              <w:rPr>
                <w:rFonts w:cs="Arial"/>
                <w:color w:val="000000"/>
                <w:sz w:val="22"/>
                <w:lang w:val="pt-BR"/>
              </w:rPr>
            </w:pPr>
          </w:p>
        </w:tc>
      </w:tr>
    </w:tbl>
    <w:p w:rsidR="00A50135" w:rsidRPr="00F32A38" w:rsidRDefault="00A50135" w:rsidP="00A50135">
      <w:pPr>
        <w:spacing w:after="0"/>
        <w:rPr>
          <w:rFonts w:cs="Times New Roman"/>
          <w:lang w:val="en-US"/>
        </w:rPr>
      </w:pPr>
      <w:proofErr w:type="spellStart"/>
      <w:r w:rsidRPr="00F32A38">
        <w:rPr>
          <w:rFonts w:cs="Times New Roman"/>
          <w:lang w:val="en-US"/>
        </w:rPr>
        <w:lastRenderedPageBreak/>
        <w:t>LVMi</w:t>
      </w:r>
      <w:proofErr w:type="spellEnd"/>
      <w:r w:rsidRPr="00F32A38">
        <w:rPr>
          <w:rFonts w:cs="Times New Roman"/>
          <w:lang w:val="en-US"/>
        </w:rPr>
        <w:t>: left ventricular mass index</w:t>
      </w:r>
    </w:p>
    <w:p w:rsidR="00E34978" w:rsidRPr="00F32A38" w:rsidRDefault="00A50135" w:rsidP="00E34978">
      <w:pPr>
        <w:spacing w:after="0"/>
        <w:rPr>
          <w:rFonts w:cs="Times New Roman"/>
          <w:lang w:val="en-US"/>
        </w:rPr>
      </w:pPr>
      <w:r w:rsidRPr="00F32A38">
        <w:rPr>
          <w:rFonts w:cs="Times New Roman"/>
          <w:lang w:val="en-US"/>
        </w:rPr>
        <w:t xml:space="preserve">ARB/ACEs: </w:t>
      </w:r>
      <w:r w:rsidR="00BF4B24" w:rsidRPr="00F32A38">
        <w:rPr>
          <w:lang w:val="en-US"/>
        </w:rPr>
        <w:t>angiotensin II receptor blockers; angiotensin converting enzyme inhibitor</w:t>
      </w:r>
    </w:p>
    <w:p w:rsidR="00E34978" w:rsidRPr="00F32A38" w:rsidRDefault="00E34978" w:rsidP="00E34978">
      <w:pPr>
        <w:spacing w:after="0" w:line="240" w:lineRule="auto"/>
        <w:ind w:firstLine="709"/>
        <w:jc w:val="both"/>
        <w:rPr>
          <w:sz w:val="24"/>
          <w:szCs w:val="24"/>
          <w:lang w:val="en-US"/>
        </w:rPr>
      </w:pPr>
      <w:r w:rsidRPr="00F32A38">
        <w:rPr>
          <w:sz w:val="24"/>
          <w:szCs w:val="24"/>
          <w:lang w:val="en-US"/>
        </w:rPr>
        <w:t>Probability distribution: Normal</w:t>
      </w:r>
    </w:p>
    <w:p w:rsidR="00E34978" w:rsidRPr="00F32A38" w:rsidRDefault="00F32A38" w:rsidP="00E34978">
      <w:pPr>
        <w:spacing w:after="0" w:line="240" w:lineRule="auto"/>
        <w:ind w:firstLine="709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Link function: Identit</w:t>
      </w:r>
      <w:r w:rsidR="00E34978" w:rsidRPr="00F32A38">
        <w:rPr>
          <w:sz w:val="24"/>
          <w:szCs w:val="24"/>
          <w:lang w:val="en-US"/>
        </w:rPr>
        <w:t>y</w:t>
      </w:r>
    </w:p>
    <w:p w:rsidR="00E34978" w:rsidRDefault="00E34978" w:rsidP="00E34978">
      <w:pPr>
        <w:spacing w:after="0" w:line="240" w:lineRule="auto"/>
        <w:ind w:firstLine="708"/>
        <w:rPr>
          <w:lang w:val="en-US"/>
        </w:rPr>
      </w:pPr>
      <w:r w:rsidRPr="00C32593">
        <w:rPr>
          <w:sz w:val="24"/>
          <w:szCs w:val="24"/>
          <w:lang w:val="en-US"/>
        </w:rPr>
        <w:t>a.</w:t>
      </w:r>
      <w:r w:rsidRPr="009D02B5">
        <w:rPr>
          <w:lang w:val="en-US"/>
        </w:rPr>
        <w:t xml:space="preserve"> This coefficient is set zero because it is redundant</w:t>
      </w:r>
    </w:p>
    <w:p w:rsidR="00E34978" w:rsidRDefault="00E34978" w:rsidP="00E34978">
      <w:pPr>
        <w:spacing w:after="0" w:line="240" w:lineRule="auto"/>
        <w:ind w:firstLine="708"/>
        <w:rPr>
          <w:lang w:val="en-US"/>
        </w:rPr>
      </w:pPr>
    </w:p>
    <w:p w:rsidR="00C32593" w:rsidRPr="009D02B5" w:rsidRDefault="00C32593" w:rsidP="007A41DC">
      <w:pPr>
        <w:spacing w:after="0" w:line="240" w:lineRule="auto"/>
        <w:rPr>
          <w:lang w:val="en-US"/>
        </w:rPr>
      </w:pPr>
    </w:p>
    <w:sectPr w:rsidR="00C32593" w:rsidRPr="009D02B5" w:rsidSect="00E417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16C38"/>
    <w:multiLevelType w:val="hybridMultilevel"/>
    <w:tmpl w:val="941A3BCC"/>
    <w:lvl w:ilvl="0" w:tplc="2D0C70B0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4505"/>
    <w:rsid w:val="000269D6"/>
    <w:rsid w:val="00091841"/>
    <w:rsid w:val="000A05FA"/>
    <w:rsid w:val="00163EF2"/>
    <w:rsid w:val="001D3A08"/>
    <w:rsid w:val="001E2A3D"/>
    <w:rsid w:val="0024647B"/>
    <w:rsid w:val="002C3A3A"/>
    <w:rsid w:val="003B7859"/>
    <w:rsid w:val="00663D5C"/>
    <w:rsid w:val="0067307D"/>
    <w:rsid w:val="006C1350"/>
    <w:rsid w:val="007A41DC"/>
    <w:rsid w:val="00864505"/>
    <w:rsid w:val="008E6E7A"/>
    <w:rsid w:val="00971CC8"/>
    <w:rsid w:val="00993F45"/>
    <w:rsid w:val="009B27D3"/>
    <w:rsid w:val="009D02B5"/>
    <w:rsid w:val="009E11A0"/>
    <w:rsid w:val="00A50135"/>
    <w:rsid w:val="00A55E94"/>
    <w:rsid w:val="00AB6603"/>
    <w:rsid w:val="00B167DC"/>
    <w:rsid w:val="00B23B5F"/>
    <w:rsid w:val="00B32B67"/>
    <w:rsid w:val="00B65368"/>
    <w:rsid w:val="00B71D0D"/>
    <w:rsid w:val="00B8218C"/>
    <w:rsid w:val="00BF4B24"/>
    <w:rsid w:val="00C32593"/>
    <w:rsid w:val="00D652F3"/>
    <w:rsid w:val="00D87E63"/>
    <w:rsid w:val="00DE7491"/>
    <w:rsid w:val="00E263F4"/>
    <w:rsid w:val="00E33AC6"/>
    <w:rsid w:val="00E34978"/>
    <w:rsid w:val="00E417BA"/>
    <w:rsid w:val="00E77F5D"/>
    <w:rsid w:val="00F32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7B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SombreamentoMdio21">
    <w:name w:val="Sombreamento Médio 21"/>
    <w:basedOn w:val="Tabelanormal"/>
    <w:uiPriority w:val="64"/>
    <w:rsid w:val="000269D6"/>
    <w:pPr>
      <w:spacing w:after="0" w:line="240" w:lineRule="auto"/>
    </w:pPr>
    <w:rPr>
      <w:sz w:val="20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shorttext">
    <w:name w:val="short_text"/>
    <w:basedOn w:val="Fontepargpadro"/>
    <w:rsid w:val="000269D6"/>
  </w:style>
  <w:style w:type="paragraph" w:styleId="PargrafodaLista">
    <w:name w:val="List Paragraph"/>
    <w:basedOn w:val="Normal"/>
    <w:uiPriority w:val="34"/>
    <w:qFormat/>
    <w:rsid w:val="00C325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30471-CE68-47F4-9CC6-B076D01CF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454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Gustavo Modelli de Andrade</dc:creator>
  <cp:keywords/>
  <dc:description/>
  <cp:lastModifiedBy>transprenal</cp:lastModifiedBy>
  <cp:revision>30</cp:revision>
  <dcterms:created xsi:type="dcterms:W3CDTF">2018-12-10T09:35:00Z</dcterms:created>
  <dcterms:modified xsi:type="dcterms:W3CDTF">2018-12-19T10:36:00Z</dcterms:modified>
</cp:coreProperties>
</file>