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6664"/>
      </w:tblGrid>
      <w:tr w:rsidR="00FF7C20" w:rsidRPr="00BE0346" w14:paraId="59549C39" w14:textId="77777777" w:rsidTr="00267759">
        <w:trPr>
          <w:jc w:val="center"/>
        </w:trPr>
        <w:tc>
          <w:tcPr>
            <w:tcW w:w="2341" w:type="dxa"/>
          </w:tcPr>
          <w:p w14:paraId="1BB60498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Title</w:t>
            </w:r>
          </w:p>
        </w:tc>
        <w:tc>
          <w:tcPr>
            <w:tcW w:w="6664" w:type="dxa"/>
          </w:tcPr>
          <w:p w14:paraId="30DAEA20" w14:textId="72ED7257" w:rsidR="00FF7C20" w:rsidRPr="00BE0346" w:rsidRDefault="00B07932" w:rsidP="00267759">
            <w:pPr>
              <w:spacing w:before="20" w:after="20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B07932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A multicente</w:t>
            </w:r>
            <w:r w:rsidRPr="00E12AE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de-DE"/>
              </w:rPr>
              <w:t>R</w:t>
            </w:r>
            <w:r w:rsidRPr="00B07932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open-label phase II tri</w:t>
            </w:r>
            <w:r w:rsidRPr="00E12AE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de-DE"/>
              </w:rPr>
              <w:t>A</w:t>
            </w:r>
            <w:r w:rsidRPr="00B07932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l to evaluate Nivolu</w:t>
            </w:r>
            <w:r w:rsidRPr="00E12AE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de-DE"/>
              </w:rPr>
              <w:t>M</w:t>
            </w:r>
            <w:r w:rsidRPr="00B07932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ab and Ipilimumab f</w:t>
            </w:r>
            <w:r w:rsidRPr="00E12AE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de-DE"/>
              </w:rPr>
              <w:t>O</w:t>
            </w:r>
            <w:r w:rsidRPr="00B07932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r 2nd line therapy in elderly patie</w:t>
            </w:r>
            <w:r w:rsidRPr="00E12AE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de-DE"/>
              </w:rPr>
              <w:t>N</w:t>
            </w:r>
            <w:r w:rsidRPr="00B07932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ts with advanced esophageal squamous cell c</w:t>
            </w:r>
            <w:r w:rsidRPr="00E12AE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de-DE"/>
              </w:rPr>
              <w:t>A</w:t>
            </w:r>
            <w:r w:rsidR="00E12AE0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ncer </w:t>
            </w:r>
          </w:p>
        </w:tc>
      </w:tr>
      <w:tr w:rsidR="00FF7C20" w:rsidRPr="00BE0346" w14:paraId="64077A82" w14:textId="77777777" w:rsidTr="00267759">
        <w:trPr>
          <w:jc w:val="center"/>
        </w:trPr>
        <w:tc>
          <w:tcPr>
            <w:tcW w:w="2341" w:type="dxa"/>
          </w:tcPr>
          <w:p w14:paraId="1DFA254E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de-DE"/>
              </w:rPr>
              <w:t>Acronym</w:t>
            </w:r>
          </w:p>
        </w:tc>
        <w:tc>
          <w:tcPr>
            <w:tcW w:w="6664" w:type="dxa"/>
          </w:tcPr>
          <w:p w14:paraId="2075D8B6" w14:textId="4825E576" w:rsidR="00FF7C20" w:rsidRPr="00BE0346" w:rsidRDefault="00B07932" w:rsidP="00267759">
            <w:pPr>
              <w:spacing w:before="20" w:after="20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RAMONA</w:t>
            </w:r>
          </w:p>
        </w:tc>
      </w:tr>
      <w:tr w:rsidR="00FF7C20" w:rsidRPr="00BE0346" w14:paraId="63D27BB2" w14:textId="77777777" w:rsidTr="00267759">
        <w:trPr>
          <w:jc w:val="center"/>
        </w:trPr>
        <w:tc>
          <w:tcPr>
            <w:tcW w:w="2341" w:type="dxa"/>
          </w:tcPr>
          <w:p w14:paraId="0DF3B681" w14:textId="77777777" w:rsidR="00FF7C20" w:rsidRPr="00BE0346" w:rsidRDefault="00FF7C20" w:rsidP="007221B3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Protocol Version</w:t>
            </w:r>
          </w:p>
        </w:tc>
        <w:tc>
          <w:tcPr>
            <w:tcW w:w="6664" w:type="dxa"/>
          </w:tcPr>
          <w:p w14:paraId="59AD2E35" w14:textId="05C23AAF" w:rsidR="00FF7C20" w:rsidRPr="00BE0346" w:rsidRDefault="00B07932" w:rsidP="007221B3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>
              <w:rPr>
                <w:rFonts w:ascii="Arial" w:eastAsia="Calibri" w:hAnsi="Arial" w:cs="Arial"/>
                <w:sz w:val="22"/>
                <w:lang w:eastAsia="de-DE"/>
              </w:rPr>
              <w:t>V3.0</w:t>
            </w:r>
          </w:p>
        </w:tc>
      </w:tr>
      <w:tr w:rsidR="00FF7C20" w:rsidRPr="00BE0346" w14:paraId="5775F278" w14:textId="77777777" w:rsidTr="00267759">
        <w:trPr>
          <w:jc w:val="center"/>
        </w:trPr>
        <w:tc>
          <w:tcPr>
            <w:tcW w:w="2341" w:type="dxa"/>
          </w:tcPr>
          <w:p w14:paraId="1CE050B4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FF7C20">
              <w:rPr>
                <w:rFonts w:ascii="Arial" w:eastAsia="Calibri" w:hAnsi="Arial" w:cs="Arial"/>
                <w:sz w:val="22"/>
                <w:szCs w:val="22"/>
                <w:lang w:eastAsia="de-DE"/>
              </w:rPr>
              <w:t>Primary registry and trial identifying number</w:t>
            </w:r>
          </w:p>
        </w:tc>
        <w:tc>
          <w:tcPr>
            <w:tcW w:w="6664" w:type="dxa"/>
          </w:tcPr>
          <w:p w14:paraId="638532ED" w14:textId="79981420" w:rsidR="00B07932" w:rsidRDefault="00DA4DC8" w:rsidP="00DA4D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NCT03416244</w:t>
            </w:r>
          </w:p>
          <w:p w14:paraId="6484D897" w14:textId="60B819CA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</w:p>
        </w:tc>
      </w:tr>
      <w:tr w:rsidR="00FF7C20" w:rsidRPr="00BE0346" w14:paraId="07E71879" w14:textId="77777777" w:rsidTr="00267759">
        <w:trPr>
          <w:jc w:val="center"/>
        </w:trPr>
        <w:tc>
          <w:tcPr>
            <w:tcW w:w="2341" w:type="dxa"/>
          </w:tcPr>
          <w:p w14:paraId="62E3C8B9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 w:rsidRPr="00FF7C20">
              <w:rPr>
                <w:rFonts w:ascii="Arial" w:eastAsia="Calibri" w:hAnsi="Arial" w:cs="Arial"/>
                <w:sz w:val="22"/>
                <w:szCs w:val="22"/>
                <w:lang w:eastAsia="de-DE"/>
              </w:rPr>
              <w:t>Date of registration in primary registry</w:t>
            </w:r>
          </w:p>
        </w:tc>
        <w:tc>
          <w:tcPr>
            <w:tcW w:w="6664" w:type="dxa"/>
          </w:tcPr>
          <w:p w14:paraId="579846F5" w14:textId="55D4AD31" w:rsidR="00FF7C20" w:rsidRDefault="00DA4DC8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>
              <w:rPr>
                <w:rFonts w:ascii="Arial" w:eastAsia="Calibri" w:hAnsi="Arial" w:cs="Arial"/>
                <w:sz w:val="22"/>
                <w:lang w:eastAsia="de-DE"/>
              </w:rPr>
              <w:t>31.1.2018</w:t>
            </w:r>
          </w:p>
        </w:tc>
      </w:tr>
      <w:tr w:rsidR="00FF7C20" w:rsidRPr="00BE0346" w14:paraId="08C41B2B" w14:textId="77777777" w:rsidTr="00267759">
        <w:trPr>
          <w:jc w:val="center"/>
        </w:trPr>
        <w:tc>
          <w:tcPr>
            <w:tcW w:w="2341" w:type="dxa"/>
          </w:tcPr>
          <w:p w14:paraId="47A289E9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 w:rsidRPr="00FF7C20">
              <w:rPr>
                <w:rFonts w:ascii="Arial" w:eastAsia="Calibri" w:hAnsi="Arial" w:cs="Arial"/>
                <w:sz w:val="22"/>
                <w:szCs w:val="22"/>
                <w:lang w:eastAsia="de-DE"/>
              </w:rPr>
              <w:t>Secondary identifying numbers</w:t>
            </w:r>
          </w:p>
        </w:tc>
        <w:tc>
          <w:tcPr>
            <w:tcW w:w="6664" w:type="dxa"/>
          </w:tcPr>
          <w:p w14:paraId="41919313" w14:textId="5A635DCC" w:rsidR="00FF7C20" w:rsidRDefault="00DA4DC8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904982">
              <w:rPr>
                <w:rFonts w:ascii="Arial" w:hAnsi="Arial" w:cs="Arial"/>
                <w:bCs/>
              </w:rPr>
              <w:t>EudraCT Number</w:t>
            </w:r>
            <w:r>
              <w:rPr>
                <w:rFonts w:ascii="Arial" w:hAnsi="Arial" w:cs="Arial"/>
                <w:bCs/>
              </w:rPr>
              <w:t>:</w:t>
            </w:r>
            <w:r w:rsidRPr="00904982">
              <w:rPr>
                <w:rFonts w:ascii="Arial" w:hAnsi="Arial" w:cs="Arial"/>
                <w:bCs/>
              </w:rPr>
              <w:t xml:space="preserve"> 2017-002056-86</w:t>
            </w:r>
            <w:r>
              <w:rPr>
                <w:rFonts w:ascii="Arial" w:hAnsi="Arial" w:cs="Arial"/>
                <w:bCs/>
              </w:rPr>
              <w:t>, AIO-STO-0117</w:t>
            </w:r>
          </w:p>
        </w:tc>
      </w:tr>
      <w:tr w:rsidR="00FF7C20" w:rsidRPr="00D055C6" w14:paraId="7521C187" w14:textId="77777777" w:rsidTr="00267759">
        <w:trPr>
          <w:jc w:val="center"/>
        </w:trPr>
        <w:tc>
          <w:tcPr>
            <w:tcW w:w="2341" w:type="dxa"/>
          </w:tcPr>
          <w:p w14:paraId="6652FD3C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Sponsor</w:t>
            </w:r>
            <w:r>
              <w:rPr>
                <w:rFonts w:ascii="Arial" w:eastAsia="Calibri" w:hAnsi="Arial" w:cs="Arial"/>
                <w:sz w:val="22"/>
                <w:szCs w:val="22"/>
                <w:lang w:eastAsia="de-DE"/>
              </w:rPr>
              <w:t xml:space="preserve"> and contact for public queries</w:t>
            </w:r>
          </w:p>
        </w:tc>
        <w:tc>
          <w:tcPr>
            <w:tcW w:w="6664" w:type="dxa"/>
          </w:tcPr>
          <w:p w14:paraId="18C9E4FB" w14:textId="77777777" w:rsidR="00FF7C20" w:rsidRPr="00D95170" w:rsidRDefault="00FF7C20" w:rsidP="00267759">
            <w:pPr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</w:pPr>
            <w:r w:rsidRPr="00D95170"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  <w:t>AIO-Studien-gGmbH</w:t>
            </w:r>
          </w:p>
          <w:p w14:paraId="1462202B" w14:textId="5421756C" w:rsidR="00FF7C20" w:rsidRPr="00D95170" w:rsidRDefault="00FF7C20" w:rsidP="00267759">
            <w:pPr>
              <w:rPr>
                <w:rFonts w:ascii="Arial" w:eastAsia="Calibri" w:hAnsi="Arial" w:cs="Arial"/>
                <w:b/>
                <w:bCs/>
                <w:kern w:val="32"/>
                <w:sz w:val="22"/>
                <w:szCs w:val="22"/>
                <w:lang w:val="de-DE" w:eastAsia="de-DE"/>
              </w:rPr>
            </w:pPr>
            <w:r w:rsidRPr="00D95170"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  <w:t>Dr. Aysun Karatas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  <w:t xml:space="preserve">, </w:t>
            </w:r>
            <w:r w:rsidRPr="00D95170"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  <w:t>Kuno-Fischer-Straße 8</w:t>
            </w:r>
            <w:r w:rsidR="00DA4DC8"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  <w:t xml:space="preserve">, </w:t>
            </w:r>
            <w:r w:rsidRPr="00D95170"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  <w:t>14057 Berlin</w:t>
            </w:r>
          </w:p>
          <w:p w14:paraId="1378C0D4" w14:textId="77777777" w:rsidR="00FF7C20" w:rsidRPr="00D95170" w:rsidRDefault="00FF7C20" w:rsidP="00267759">
            <w:pPr>
              <w:rPr>
                <w:rFonts w:ascii="Arial" w:eastAsia="Calibri" w:hAnsi="Arial" w:cs="Arial"/>
                <w:b/>
                <w:bCs/>
                <w:kern w:val="32"/>
                <w:sz w:val="22"/>
                <w:szCs w:val="22"/>
                <w:lang w:eastAsia="de-DE"/>
              </w:rPr>
            </w:pPr>
            <w:r w:rsidRPr="00D95170">
              <w:rPr>
                <w:rFonts w:ascii="Arial" w:eastAsia="Calibri" w:hAnsi="Arial" w:cs="Arial"/>
                <w:sz w:val="22"/>
                <w:szCs w:val="22"/>
                <w:lang w:eastAsia="de-DE"/>
              </w:rPr>
              <w:t>Phone:</w:t>
            </w:r>
            <w:r w:rsidRPr="00D95170">
              <w:rPr>
                <w:rFonts w:ascii="Arial" w:eastAsia="Calibri" w:hAnsi="Arial" w:cs="Arial"/>
                <w:sz w:val="22"/>
                <w:szCs w:val="22"/>
                <w:lang w:eastAsia="de-DE"/>
              </w:rPr>
              <w:tab/>
              <w:t>+49-30 – 8145 344 31</w:t>
            </w:r>
          </w:p>
          <w:p w14:paraId="1A8A4921" w14:textId="77777777" w:rsidR="00FF7C20" w:rsidRPr="00D95170" w:rsidRDefault="00FF7C20" w:rsidP="00267759">
            <w:pPr>
              <w:rPr>
                <w:rFonts w:ascii="Arial" w:eastAsia="Calibri" w:hAnsi="Arial" w:cs="Arial"/>
                <w:b/>
                <w:bCs/>
                <w:kern w:val="32"/>
                <w:sz w:val="22"/>
                <w:szCs w:val="22"/>
                <w:lang w:eastAsia="de-DE"/>
              </w:rPr>
            </w:pPr>
            <w:r w:rsidRPr="00D95170">
              <w:rPr>
                <w:rFonts w:ascii="Arial" w:eastAsia="Calibri" w:hAnsi="Arial" w:cs="Arial"/>
                <w:sz w:val="22"/>
                <w:szCs w:val="22"/>
                <w:lang w:eastAsia="de-DE"/>
              </w:rPr>
              <w:t>Fax:</w:t>
            </w:r>
            <w:r w:rsidRPr="00D95170">
              <w:rPr>
                <w:rFonts w:ascii="Arial" w:eastAsia="Calibri" w:hAnsi="Arial" w:cs="Arial"/>
                <w:sz w:val="22"/>
                <w:szCs w:val="22"/>
                <w:lang w:eastAsia="de-DE"/>
              </w:rPr>
              <w:tab/>
              <w:t>+49-30 – 3229 329 26</w:t>
            </w:r>
          </w:p>
          <w:p w14:paraId="46242EBC" w14:textId="77777777" w:rsidR="00FF7C20" w:rsidRPr="00D95170" w:rsidRDefault="00FF7C20" w:rsidP="00267759">
            <w:pPr>
              <w:rPr>
                <w:rFonts w:ascii="Arial" w:eastAsia="Calibri" w:hAnsi="Arial" w:cs="Arial"/>
                <w:sz w:val="22"/>
                <w:szCs w:val="22"/>
                <w:lang w:val="it-IT" w:eastAsia="de-DE"/>
              </w:rPr>
            </w:pPr>
            <w:r w:rsidRPr="00D95170">
              <w:rPr>
                <w:rFonts w:ascii="Arial" w:eastAsia="Calibri" w:hAnsi="Arial" w:cs="Arial"/>
                <w:sz w:val="22"/>
                <w:szCs w:val="22"/>
                <w:lang w:eastAsia="de-DE"/>
              </w:rPr>
              <w:t>E-Mail: info@aio-studien-ggmbh.de</w:t>
            </w:r>
          </w:p>
        </w:tc>
      </w:tr>
      <w:tr w:rsidR="00FF7C20" w:rsidRPr="00D055C6" w14:paraId="1D268EA0" w14:textId="77777777" w:rsidTr="00267759">
        <w:trPr>
          <w:jc w:val="center"/>
        </w:trPr>
        <w:tc>
          <w:tcPr>
            <w:tcW w:w="2341" w:type="dxa"/>
          </w:tcPr>
          <w:p w14:paraId="2B0A5314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 w:rsidRPr="00FF7C20">
              <w:rPr>
                <w:rFonts w:ascii="Arial" w:eastAsia="Calibri" w:hAnsi="Arial" w:cs="Arial"/>
                <w:sz w:val="22"/>
                <w:szCs w:val="22"/>
                <w:lang w:eastAsia="de-DE"/>
              </w:rPr>
              <w:t>Source(s) of monetary or material support</w:t>
            </w:r>
          </w:p>
        </w:tc>
        <w:tc>
          <w:tcPr>
            <w:tcW w:w="6664" w:type="dxa"/>
          </w:tcPr>
          <w:p w14:paraId="4621E3A2" w14:textId="6827A8D8" w:rsidR="00FF7C20" w:rsidRPr="00B07932" w:rsidRDefault="00DA4DC8" w:rsidP="00267759">
            <w:pPr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de-DE"/>
              </w:rPr>
              <w:t xml:space="preserve">Bristol-Myers Squibb GmbH &amp; Co.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de-DE"/>
              </w:rPr>
              <w:t>KGaA</w:t>
            </w:r>
            <w:proofErr w:type="spellEnd"/>
          </w:p>
        </w:tc>
      </w:tr>
      <w:tr w:rsidR="00FF7C20" w:rsidRPr="00B07932" w14:paraId="137ED894" w14:textId="77777777" w:rsidTr="00267759">
        <w:trPr>
          <w:jc w:val="center"/>
        </w:trPr>
        <w:tc>
          <w:tcPr>
            <w:tcW w:w="2341" w:type="dxa"/>
          </w:tcPr>
          <w:p w14:paraId="6B3A629E" w14:textId="77777777" w:rsidR="00FF7C20" w:rsidRPr="00BE0346" w:rsidRDefault="00FF7C20" w:rsidP="00D64F9D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de-DE"/>
              </w:rPr>
              <w:t>Principal investigator and contact for scientific queries</w:t>
            </w:r>
          </w:p>
        </w:tc>
        <w:tc>
          <w:tcPr>
            <w:tcW w:w="6664" w:type="dxa"/>
          </w:tcPr>
          <w:p w14:paraId="39E64714" w14:textId="77777777" w:rsidR="00FF7C20" w:rsidRPr="00DA4DC8" w:rsidRDefault="00FF7C20" w:rsidP="00D64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4DC8">
              <w:rPr>
                <w:rFonts w:ascii="Arial" w:hAnsi="Arial" w:cs="Arial"/>
                <w:sz w:val="22"/>
                <w:szCs w:val="22"/>
              </w:rPr>
              <w:t>Prof. Dr. med. Matthias Ebert</w:t>
            </w:r>
          </w:p>
          <w:p w14:paraId="52419186" w14:textId="77777777" w:rsidR="00FF7C20" w:rsidRPr="00F23201" w:rsidRDefault="00FF7C20" w:rsidP="00D64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DA4DC8">
              <w:rPr>
                <w:rFonts w:ascii="Arial" w:hAnsi="Arial" w:cs="Arial"/>
                <w:sz w:val="22"/>
                <w:szCs w:val="22"/>
              </w:rPr>
              <w:t>Universi</w:t>
            </w:r>
            <w:r w:rsidRPr="00F23201">
              <w:rPr>
                <w:rFonts w:ascii="Arial" w:hAnsi="Arial" w:cs="Arial"/>
                <w:sz w:val="22"/>
                <w:szCs w:val="22"/>
                <w:lang w:val="de-DE"/>
              </w:rPr>
              <w:t>tätsmedizin</w:t>
            </w:r>
            <w:proofErr w:type="spellEnd"/>
            <w:r w:rsidRPr="00F23201">
              <w:rPr>
                <w:rFonts w:ascii="Arial" w:hAnsi="Arial" w:cs="Arial"/>
                <w:sz w:val="22"/>
                <w:szCs w:val="22"/>
                <w:lang w:val="de-DE"/>
              </w:rPr>
              <w:t xml:space="preserve"> Mannheim</w:t>
            </w:r>
          </w:p>
          <w:p w14:paraId="3878918E" w14:textId="77777777" w:rsidR="00FF7C20" w:rsidRPr="00F23201" w:rsidRDefault="00FF7C20" w:rsidP="00D64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23201">
              <w:rPr>
                <w:rFonts w:ascii="Arial" w:hAnsi="Arial" w:cs="Arial"/>
                <w:sz w:val="22"/>
                <w:szCs w:val="22"/>
                <w:lang w:val="de-DE"/>
              </w:rPr>
              <w:t>Theodor-Kutzer-Ufer 1-3</w:t>
            </w:r>
          </w:p>
          <w:p w14:paraId="0474C031" w14:textId="77777777" w:rsidR="00FF7C20" w:rsidRPr="00F23201" w:rsidRDefault="00FF7C20" w:rsidP="00D64F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23201">
              <w:rPr>
                <w:rFonts w:ascii="Arial" w:hAnsi="Arial" w:cs="Arial"/>
                <w:sz w:val="22"/>
                <w:szCs w:val="22"/>
                <w:lang w:val="de-DE"/>
              </w:rPr>
              <w:t>68167 Mannheim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23201">
              <w:rPr>
                <w:rFonts w:ascii="Arial" w:hAnsi="Arial" w:cs="Arial"/>
                <w:sz w:val="22"/>
                <w:szCs w:val="22"/>
                <w:lang w:val="de-DE"/>
              </w:rPr>
              <w:t>Germany</w:t>
            </w:r>
          </w:p>
          <w:p w14:paraId="0DFDD5D8" w14:textId="77777777" w:rsidR="00FF7C20" w:rsidRPr="00F23201" w:rsidRDefault="00FF7C20" w:rsidP="00D64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 w:eastAsia="de-AT"/>
              </w:rPr>
            </w:pPr>
            <w:r w:rsidRPr="00F23201">
              <w:rPr>
                <w:rFonts w:ascii="Arial" w:hAnsi="Arial" w:cs="Arial"/>
                <w:color w:val="000000"/>
                <w:sz w:val="22"/>
                <w:szCs w:val="22"/>
                <w:lang w:val="de-DE" w:eastAsia="de-AT"/>
              </w:rPr>
              <w:t>Phone: +49621 383 3284</w:t>
            </w:r>
          </w:p>
          <w:p w14:paraId="5E01823A" w14:textId="77777777" w:rsidR="00FF7C20" w:rsidRPr="005942EA" w:rsidRDefault="00FF7C20" w:rsidP="00D64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de-DE" w:eastAsia="de-AT"/>
              </w:rPr>
            </w:pPr>
            <w:r w:rsidRPr="005942EA">
              <w:rPr>
                <w:rFonts w:ascii="Arial" w:hAnsi="Arial" w:cs="Arial"/>
                <w:color w:val="000000"/>
                <w:sz w:val="22"/>
                <w:szCs w:val="22"/>
                <w:lang w:val="de-DE" w:eastAsia="de-AT"/>
              </w:rPr>
              <w:t>Fax: +49621 383 3905</w:t>
            </w:r>
          </w:p>
          <w:p w14:paraId="7AEDE533" w14:textId="77777777" w:rsidR="00FF7C20" w:rsidRPr="00CB1532" w:rsidRDefault="00FF7C20" w:rsidP="00D64F9D">
            <w:pPr>
              <w:tabs>
                <w:tab w:val="left" w:pos="779"/>
              </w:tabs>
              <w:jc w:val="both"/>
              <w:rPr>
                <w:rFonts w:ascii="Arial" w:eastAsia="Calibri" w:hAnsi="Arial" w:cs="Arial"/>
                <w:sz w:val="22"/>
                <w:lang w:val="de-DE" w:eastAsia="de-DE"/>
              </w:rPr>
            </w:pPr>
            <w:r w:rsidRPr="00CB1532">
              <w:rPr>
                <w:rFonts w:ascii="Arial" w:hAnsi="Arial" w:cs="Arial"/>
                <w:color w:val="000000"/>
                <w:sz w:val="22"/>
                <w:szCs w:val="22"/>
                <w:lang w:val="de-DE" w:eastAsia="de-AT"/>
              </w:rPr>
              <w:t>E-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AT"/>
              </w:rPr>
              <w:t>M</w:t>
            </w:r>
            <w:r w:rsidRPr="00CB1532">
              <w:rPr>
                <w:rFonts w:ascii="Arial" w:hAnsi="Arial" w:cs="Arial"/>
                <w:color w:val="000000"/>
                <w:sz w:val="22"/>
                <w:szCs w:val="22"/>
                <w:lang w:val="de-DE" w:eastAsia="de-AT"/>
              </w:rPr>
              <w:t>ail: Matthias.Ebert@umm.de</w:t>
            </w:r>
          </w:p>
        </w:tc>
      </w:tr>
      <w:tr w:rsidR="00DD19B7" w:rsidRPr="00BE0346" w14:paraId="275CD1DA" w14:textId="77777777" w:rsidTr="00267759">
        <w:trPr>
          <w:jc w:val="center"/>
        </w:trPr>
        <w:tc>
          <w:tcPr>
            <w:tcW w:w="2341" w:type="dxa"/>
          </w:tcPr>
          <w:p w14:paraId="044773C5" w14:textId="77777777" w:rsidR="00DD19B7" w:rsidRPr="00BE0346" w:rsidRDefault="00DD19B7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de-DE"/>
              </w:rPr>
              <w:t>Data monitoring</w:t>
            </w:r>
          </w:p>
        </w:tc>
        <w:tc>
          <w:tcPr>
            <w:tcW w:w="6664" w:type="dxa"/>
          </w:tcPr>
          <w:p w14:paraId="4431036A" w14:textId="77777777" w:rsidR="00DD19B7" w:rsidRPr="00DD19B7" w:rsidRDefault="00DD19B7" w:rsidP="00DD19B7">
            <w:pPr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</w:pPr>
            <w:r w:rsidRPr="00D95170"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  <w:t>AIO-Studien-gGmbH</w:t>
            </w:r>
          </w:p>
        </w:tc>
      </w:tr>
      <w:tr w:rsidR="00DD19B7" w:rsidRPr="00BE0346" w14:paraId="3C7FA049" w14:textId="77777777" w:rsidTr="00267759">
        <w:trPr>
          <w:jc w:val="center"/>
        </w:trPr>
        <w:tc>
          <w:tcPr>
            <w:tcW w:w="2341" w:type="dxa"/>
          </w:tcPr>
          <w:p w14:paraId="2EEB5197" w14:textId="77777777" w:rsidR="00DD19B7" w:rsidRPr="00BE0346" w:rsidRDefault="00DD19B7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de-DE"/>
              </w:rPr>
              <w:t>Safety desk</w:t>
            </w:r>
          </w:p>
        </w:tc>
        <w:tc>
          <w:tcPr>
            <w:tcW w:w="6664" w:type="dxa"/>
          </w:tcPr>
          <w:p w14:paraId="14A5ECF1" w14:textId="77777777" w:rsidR="00DD19B7" w:rsidRPr="00931C5B" w:rsidRDefault="00DD19B7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 w:rsidRPr="00D95170">
              <w:rPr>
                <w:rFonts w:ascii="Arial" w:eastAsia="Calibri" w:hAnsi="Arial" w:cs="Arial"/>
                <w:sz w:val="22"/>
                <w:szCs w:val="22"/>
                <w:lang w:val="de-DE" w:eastAsia="de-DE"/>
              </w:rPr>
              <w:t>AIO-Studien-gGmbH</w:t>
            </w:r>
          </w:p>
        </w:tc>
      </w:tr>
      <w:tr w:rsidR="00FF7C20" w:rsidRPr="00BE0346" w14:paraId="0B39F8DA" w14:textId="77777777" w:rsidTr="00267759">
        <w:trPr>
          <w:jc w:val="center"/>
        </w:trPr>
        <w:tc>
          <w:tcPr>
            <w:tcW w:w="2341" w:type="dxa"/>
          </w:tcPr>
          <w:p w14:paraId="0734D5FB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Anticipated start date</w:t>
            </w:r>
          </w:p>
        </w:tc>
        <w:tc>
          <w:tcPr>
            <w:tcW w:w="6664" w:type="dxa"/>
          </w:tcPr>
          <w:p w14:paraId="1101C046" w14:textId="1B5A892D" w:rsidR="00FF7C20" w:rsidRPr="00BE0346" w:rsidRDefault="00FF7C20" w:rsidP="00DA4DC8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highlight w:val="yellow"/>
                <w:lang w:eastAsia="de-DE"/>
              </w:rPr>
            </w:pPr>
            <w:r w:rsidRPr="00931C5B">
              <w:rPr>
                <w:rFonts w:ascii="Arial" w:eastAsia="Calibri" w:hAnsi="Arial" w:cs="Arial"/>
                <w:sz w:val="22"/>
                <w:szCs w:val="22"/>
                <w:lang w:eastAsia="de-DE"/>
              </w:rPr>
              <w:t>Q</w:t>
            </w:r>
            <w:r w:rsidR="00DA4DC8">
              <w:rPr>
                <w:rFonts w:ascii="Arial" w:eastAsia="Calibri" w:hAnsi="Arial" w:cs="Arial"/>
                <w:sz w:val="22"/>
                <w:szCs w:val="22"/>
                <w:lang w:eastAsia="de-DE"/>
              </w:rPr>
              <w:t>4</w:t>
            </w:r>
            <w:r w:rsidRPr="00931C5B">
              <w:rPr>
                <w:rFonts w:ascii="Arial" w:eastAsia="Calibri" w:hAnsi="Arial" w:cs="Arial"/>
                <w:sz w:val="22"/>
                <w:szCs w:val="22"/>
                <w:lang w:eastAsia="de-DE"/>
              </w:rPr>
              <w:t>/201</w:t>
            </w:r>
            <w:r w:rsidR="00DA4DC8">
              <w:rPr>
                <w:rFonts w:ascii="Arial" w:eastAsia="Calibri" w:hAnsi="Arial" w:cs="Arial"/>
                <w:sz w:val="22"/>
                <w:szCs w:val="22"/>
                <w:lang w:eastAsia="de-DE"/>
              </w:rPr>
              <w:t>7</w:t>
            </w:r>
          </w:p>
        </w:tc>
      </w:tr>
      <w:tr w:rsidR="00FF7C20" w:rsidRPr="00BE0346" w14:paraId="1F5565A0" w14:textId="77777777" w:rsidTr="00267759">
        <w:trPr>
          <w:jc w:val="center"/>
        </w:trPr>
        <w:tc>
          <w:tcPr>
            <w:tcW w:w="2341" w:type="dxa"/>
          </w:tcPr>
          <w:p w14:paraId="4A0C783F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Duration of study</w:t>
            </w:r>
          </w:p>
        </w:tc>
        <w:tc>
          <w:tcPr>
            <w:tcW w:w="6664" w:type="dxa"/>
          </w:tcPr>
          <w:p w14:paraId="06698B60" w14:textId="77777777" w:rsidR="00DA4DC8" w:rsidRPr="00DA4DC8" w:rsidRDefault="00DA4DC8" w:rsidP="00DA4DC8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sz w:val="22"/>
                <w:szCs w:val="22"/>
                <w:lang w:eastAsia="de-DE"/>
              </w:rPr>
              <w:t>Enrollment: 12 month</w:t>
            </w:r>
          </w:p>
          <w:p w14:paraId="5B6DD370" w14:textId="1A14A743" w:rsidR="00FF7C20" w:rsidRPr="00BE0346" w:rsidRDefault="00DA4DC8" w:rsidP="00DA4DC8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DA4DC8">
              <w:rPr>
                <w:rFonts w:ascii="Arial" w:eastAsia="Calibri" w:hAnsi="Arial" w:cs="Arial"/>
                <w:sz w:val="22"/>
                <w:szCs w:val="22"/>
                <w:lang w:eastAsia="de-DE"/>
              </w:rPr>
              <w:t>total study duration 36 month (incl. follow-up)</w:t>
            </w:r>
          </w:p>
        </w:tc>
      </w:tr>
      <w:tr w:rsidR="00FF7C20" w:rsidRPr="00BE0346" w14:paraId="57579F46" w14:textId="77777777" w:rsidTr="00267759">
        <w:trPr>
          <w:jc w:val="center"/>
        </w:trPr>
        <w:tc>
          <w:tcPr>
            <w:tcW w:w="2341" w:type="dxa"/>
          </w:tcPr>
          <w:p w14:paraId="2A288138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Indication</w:t>
            </w:r>
          </w:p>
        </w:tc>
        <w:tc>
          <w:tcPr>
            <w:tcW w:w="6664" w:type="dxa"/>
          </w:tcPr>
          <w:p w14:paraId="6EF20FDE" w14:textId="26241E69" w:rsidR="00FF7C20" w:rsidRPr="00DA4DC8" w:rsidRDefault="00DA4DC8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Pretreated advanced esophageal squamous cell cancer (ESCC)</w:t>
            </w:r>
          </w:p>
        </w:tc>
      </w:tr>
      <w:tr w:rsidR="00FF7C20" w:rsidRPr="00BE0346" w14:paraId="17627CD9" w14:textId="77777777" w:rsidTr="00267759">
        <w:trPr>
          <w:jc w:val="center"/>
        </w:trPr>
        <w:tc>
          <w:tcPr>
            <w:tcW w:w="2341" w:type="dxa"/>
          </w:tcPr>
          <w:p w14:paraId="5786225C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Total number of sites</w:t>
            </w:r>
          </w:p>
        </w:tc>
        <w:tc>
          <w:tcPr>
            <w:tcW w:w="6664" w:type="dxa"/>
          </w:tcPr>
          <w:p w14:paraId="4FE10CC5" w14:textId="295022F4" w:rsidR="00FF7C20" w:rsidRDefault="00DA4DC8" w:rsidP="00267759">
            <w:pPr>
              <w:tabs>
                <w:tab w:val="left" w:pos="4608"/>
                <w:tab w:val="left" w:pos="9216"/>
              </w:tabs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34</w:t>
            </w:r>
            <w:r w:rsidR="00FF7C20" w:rsidRPr="00BE034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sites in Germany</w:t>
            </w:r>
          </w:p>
          <w:p w14:paraId="07B3CA3F" w14:textId="77777777" w:rsidR="00FF7C20" w:rsidRPr="007C21C0" w:rsidRDefault="00FF7C20" w:rsidP="00267759">
            <w:pPr>
              <w:tabs>
                <w:tab w:val="left" w:pos="4608"/>
                <w:tab w:val="left" w:pos="9216"/>
              </w:tabs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FF7C20" w:rsidRPr="00BE0346" w14:paraId="3BDDB9AA" w14:textId="77777777" w:rsidTr="00267759">
        <w:trPr>
          <w:jc w:val="center"/>
        </w:trPr>
        <w:tc>
          <w:tcPr>
            <w:tcW w:w="2341" w:type="dxa"/>
          </w:tcPr>
          <w:p w14:paraId="385C5FE2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Primary objective</w:t>
            </w:r>
          </w:p>
        </w:tc>
        <w:tc>
          <w:tcPr>
            <w:tcW w:w="6664" w:type="dxa"/>
          </w:tcPr>
          <w:p w14:paraId="2AA4BF5F" w14:textId="77777777" w:rsidR="00DA4DC8" w:rsidRPr="00DA4DC8" w:rsidRDefault="00DA4DC8" w:rsidP="00DA4DC8">
            <w:pPr>
              <w:keepNext/>
              <w:spacing w:before="20" w:after="20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The primary objective of this trial is to demonstrate a significant</w:t>
            </w:r>
          </w:p>
          <w:p w14:paraId="1780A98D" w14:textId="60F8F5C2" w:rsidR="00DA4DC8" w:rsidRPr="00DA4DC8" w:rsidRDefault="00DA4DC8" w:rsidP="00DA4DC8">
            <w:pPr>
              <w:keepNext/>
              <w:spacing w:before="20" w:after="20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survival benefit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of the combination therapy with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Nivolumab/Ipilimumab t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reatment in advanced esophageal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squamous cell cancer compared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to historical data of standard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chemotherapy regimens.</w:t>
            </w:r>
          </w:p>
          <w:p w14:paraId="4AD72CC7" w14:textId="62A38018" w:rsidR="00FF7C20" w:rsidRPr="00DA4DC8" w:rsidRDefault="00DA4DC8" w:rsidP="00DA4DC8">
            <w:pPr>
              <w:keepNext/>
              <w:spacing w:before="20" w:after="20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Additionally, tolerability of Nivolum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ab as single agent and in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combination with Ipilimumab will be i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nvestigated in terms of quality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of life. Hence, a key secondary endpo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int ‘time to QoL deterioration’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will be implemented.</w:t>
            </w:r>
          </w:p>
        </w:tc>
      </w:tr>
      <w:tr w:rsidR="00FF7C20" w:rsidRPr="00BE0346" w14:paraId="3CC9108B" w14:textId="77777777" w:rsidTr="00267759">
        <w:trPr>
          <w:jc w:val="center"/>
        </w:trPr>
        <w:tc>
          <w:tcPr>
            <w:tcW w:w="2341" w:type="dxa"/>
          </w:tcPr>
          <w:p w14:paraId="442893C3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Secondary objectives</w:t>
            </w:r>
          </w:p>
        </w:tc>
        <w:tc>
          <w:tcPr>
            <w:tcW w:w="6664" w:type="dxa"/>
          </w:tcPr>
          <w:p w14:paraId="7802ADD7" w14:textId="1B8EA278" w:rsidR="00DA4DC8" w:rsidRPr="00DA4DC8" w:rsidRDefault="00DA4DC8" w:rsidP="00DA4DC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Secondar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y objectives of this study are:</w:t>
            </w:r>
          </w:p>
          <w:p w14:paraId="4396370D" w14:textId="77777777" w:rsidR="00DA4DC8" w:rsidRDefault="00DA4DC8" w:rsidP="00DA4DC8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41"/>
              </w:tabs>
              <w:spacing w:before="20" w:after="20"/>
              <w:ind w:left="241" w:hanging="241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proofErr w:type="gramStart"/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to</w:t>
            </w:r>
            <w:proofErr w:type="gramEnd"/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assess additional efficacy and safety parameters of an</w:t>
            </w:r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intensified immunotherapy regimen.</w:t>
            </w:r>
            <w:r w:rsidRPr="00BE0346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</w:p>
          <w:p w14:paraId="6F7D80F4" w14:textId="4DF21DEE" w:rsidR="00FF7C20" w:rsidRPr="00DA4DC8" w:rsidRDefault="00DA4DC8" w:rsidP="00DA4DC8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41"/>
              </w:tabs>
              <w:spacing w:before="20" w:after="20"/>
              <w:ind w:left="241" w:hanging="241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proofErr w:type="gramStart"/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to</w:t>
            </w:r>
            <w:proofErr w:type="gramEnd"/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assess and explore the predictive value of structured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geriatric assessments for tr</w:t>
            </w:r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eatment-emergent toxicities and </w:t>
            </w:r>
            <w:r w:rsidRPr="00DA4DC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treatment discontinuation.</w:t>
            </w:r>
          </w:p>
        </w:tc>
      </w:tr>
      <w:tr w:rsidR="00FF7C20" w:rsidRPr="00BE0346" w14:paraId="7E6078E5" w14:textId="77777777" w:rsidTr="00267759">
        <w:trPr>
          <w:jc w:val="center"/>
        </w:trPr>
        <w:tc>
          <w:tcPr>
            <w:tcW w:w="2341" w:type="dxa"/>
          </w:tcPr>
          <w:p w14:paraId="088C80BD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Planned sample size</w:t>
            </w:r>
          </w:p>
        </w:tc>
        <w:tc>
          <w:tcPr>
            <w:tcW w:w="6664" w:type="dxa"/>
          </w:tcPr>
          <w:p w14:paraId="20126D40" w14:textId="77777777" w:rsidR="00DA4DC8" w:rsidRPr="00DA4DC8" w:rsidRDefault="00DA4DC8" w:rsidP="00DA4DC8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b/>
                <w:sz w:val="22"/>
                <w:szCs w:val="22"/>
                <w:lang w:eastAsia="de-DE"/>
              </w:rPr>
              <w:t xml:space="preserve">N=75 enrolled to receive </w:t>
            </w:r>
            <w:proofErr w:type="spellStart"/>
            <w:r w:rsidRPr="00DA4DC8">
              <w:rPr>
                <w:rFonts w:ascii="Arial" w:eastAsia="Calibri" w:hAnsi="Arial" w:cs="Arial"/>
                <w:b/>
                <w:sz w:val="22"/>
                <w:szCs w:val="22"/>
                <w:lang w:eastAsia="de-DE"/>
              </w:rPr>
              <w:t>Nivolumab</w:t>
            </w:r>
            <w:proofErr w:type="spellEnd"/>
            <w:r w:rsidRPr="00DA4DC8">
              <w:rPr>
                <w:rFonts w:ascii="Arial" w:eastAsia="Calibri" w:hAnsi="Arial" w:cs="Arial"/>
                <w:b/>
                <w:sz w:val="22"/>
                <w:szCs w:val="22"/>
                <w:lang w:eastAsia="de-DE"/>
              </w:rPr>
              <w:t xml:space="preserve"> monotherapy followed by</w:t>
            </w:r>
          </w:p>
          <w:p w14:paraId="7DF5E2F9" w14:textId="77777777" w:rsidR="00DA4DC8" w:rsidRPr="00DA4DC8" w:rsidRDefault="00DA4DC8" w:rsidP="00DA4DC8">
            <w:pPr>
              <w:spacing w:before="20" w:after="2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de-DE"/>
              </w:rPr>
            </w:pPr>
            <w:proofErr w:type="spellStart"/>
            <w:r w:rsidRPr="00DA4DC8">
              <w:rPr>
                <w:rFonts w:ascii="Arial" w:eastAsia="Calibri" w:hAnsi="Arial" w:cs="Arial"/>
                <w:b/>
                <w:sz w:val="22"/>
                <w:szCs w:val="22"/>
                <w:lang w:eastAsia="de-DE"/>
              </w:rPr>
              <w:lastRenderedPageBreak/>
              <w:t>Nivolumab</w:t>
            </w:r>
            <w:proofErr w:type="spellEnd"/>
            <w:r w:rsidRPr="00DA4DC8">
              <w:rPr>
                <w:rFonts w:ascii="Arial" w:eastAsia="Calibri" w:hAnsi="Arial" w:cs="Arial"/>
                <w:b/>
                <w:sz w:val="22"/>
                <w:szCs w:val="22"/>
                <w:lang w:eastAsia="de-DE"/>
              </w:rPr>
              <w:t>/Ipilimumab combination therapy conditional upon</w:t>
            </w:r>
          </w:p>
          <w:p w14:paraId="113376C7" w14:textId="5D116989" w:rsidR="00FF7C20" w:rsidRPr="00BE0346" w:rsidRDefault="00DA4DC8" w:rsidP="00DA4DC8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proofErr w:type="spellStart"/>
            <w:r w:rsidRPr="00DA4DC8">
              <w:rPr>
                <w:rFonts w:ascii="Arial" w:eastAsia="Calibri" w:hAnsi="Arial" w:cs="Arial"/>
                <w:b/>
                <w:sz w:val="22"/>
                <w:szCs w:val="22"/>
                <w:lang w:eastAsia="de-DE"/>
              </w:rPr>
              <w:t>tolerablitity</w:t>
            </w:r>
            <w:proofErr w:type="spellEnd"/>
            <w:r w:rsidR="00FF7C20">
              <w:rPr>
                <w:rFonts w:ascii="Arial" w:eastAsia="Calibri" w:hAnsi="Arial" w:cs="Arial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FF7C20" w:rsidRPr="00BE0346" w14:paraId="36FEB9D7" w14:textId="77777777" w:rsidTr="00267759">
        <w:trPr>
          <w:jc w:val="center"/>
        </w:trPr>
        <w:tc>
          <w:tcPr>
            <w:tcW w:w="2341" w:type="dxa"/>
          </w:tcPr>
          <w:p w14:paraId="560AE9C4" w14:textId="000A8903" w:rsidR="00FF7C20" w:rsidRPr="00BE0346" w:rsidRDefault="00FF7C20" w:rsidP="00DA4DC8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lastRenderedPageBreak/>
              <w:t>Inclusion Criteria</w:t>
            </w:r>
          </w:p>
        </w:tc>
        <w:tc>
          <w:tcPr>
            <w:tcW w:w="6664" w:type="dxa"/>
          </w:tcPr>
          <w:p w14:paraId="2234B8D6" w14:textId="6F83B7DF" w:rsidR="00DA4DC8" w:rsidRPr="00DA4DC8" w:rsidRDefault="00DA4DC8" w:rsidP="00370858">
            <w:pPr>
              <w:tabs>
                <w:tab w:val="left" w:pos="356"/>
              </w:tabs>
              <w:spacing w:line="276" w:lineRule="auto"/>
              <w:ind w:left="265" w:hanging="265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1. Written informed consent including participation in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translational research and any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locally-required authorization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(EU Data Privacy Directi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ve in the EU) obtained from the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subject prior to performing a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ny protocol-related procedures,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including screening evaluations</w:t>
            </w:r>
          </w:p>
          <w:p w14:paraId="5BA3A981" w14:textId="77777777" w:rsidR="00DA4DC8" w:rsidRPr="00DA4DC8" w:rsidRDefault="00DA4DC8" w:rsidP="00DA4DC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2. Age ≥ 65 years at time of study entry</w:t>
            </w:r>
          </w:p>
          <w:p w14:paraId="30AAA9CF" w14:textId="77777777" w:rsidR="00DA4DC8" w:rsidRPr="00DA4DC8" w:rsidRDefault="00DA4DC8" w:rsidP="00DA4DC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3. Histologically confirmed advanced stage non-resectable</w:t>
            </w:r>
          </w:p>
          <w:p w14:paraId="453E6EF3" w14:textId="32263714" w:rsidR="00DA4DC8" w:rsidRPr="00DA4DC8" w:rsidRDefault="00DA4DC8" w:rsidP="00DA4DC8">
            <w:pPr>
              <w:tabs>
                <w:tab w:val="left" w:pos="215"/>
                <w:tab w:val="left" w:pos="399"/>
              </w:tabs>
              <w:spacing w:line="276" w:lineRule="auto"/>
              <w:ind w:left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esophageal squamous cell carcinoma beyond frontline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therapy*:</w:t>
            </w:r>
          </w:p>
          <w:p w14:paraId="073329F0" w14:textId="77777777" w:rsidR="00DA4DC8" w:rsidRPr="00DA4DC8" w:rsidRDefault="00DA4DC8" w:rsidP="00370858">
            <w:pPr>
              <w:tabs>
                <w:tab w:val="left" w:pos="215"/>
                <w:tab w:val="left" w:pos="399"/>
              </w:tabs>
              <w:spacing w:line="276" w:lineRule="auto"/>
              <w:ind w:left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• stage 4 OR</w:t>
            </w:r>
          </w:p>
          <w:p w14:paraId="50DC7E81" w14:textId="77777777" w:rsidR="00DA4DC8" w:rsidRPr="00DA4DC8" w:rsidRDefault="00DA4DC8" w:rsidP="00370858">
            <w:pPr>
              <w:tabs>
                <w:tab w:val="left" w:pos="215"/>
                <w:tab w:val="left" w:pos="399"/>
              </w:tabs>
              <w:spacing w:line="276" w:lineRule="auto"/>
              <w:ind w:left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• stage 3 non-responder to radio-chemotherapy OR</w:t>
            </w:r>
          </w:p>
          <w:p w14:paraId="35EDFC0C" w14:textId="77777777" w:rsidR="00DA4DC8" w:rsidRPr="00DA4DC8" w:rsidRDefault="00DA4DC8" w:rsidP="00370858">
            <w:pPr>
              <w:tabs>
                <w:tab w:val="left" w:pos="215"/>
                <w:tab w:val="left" w:pos="399"/>
              </w:tabs>
              <w:spacing w:line="276" w:lineRule="auto"/>
              <w:ind w:left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• any relapse after chemo-radiation OR</w:t>
            </w:r>
          </w:p>
          <w:p w14:paraId="2E9256FD" w14:textId="2841820C" w:rsidR="00DA4DC8" w:rsidRPr="00DA4DC8" w:rsidRDefault="00DA4DC8" w:rsidP="00370858">
            <w:pPr>
              <w:tabs>
                <w:tab w:val="left" w:pos="399"/>
                <w:tab w:val="left" w:pos="498"/>
              </w:tabs>
              <w:spacing w:line="276" w:lineRule="auto"/>
              <w:ind w:left="356" w:hanging="141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• any relapse after surg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ery if patient is ineligible or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intolerant to standard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frontline therapies OR refuses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other treatment</w:t>
            </w:r>
          </w:p>
          <w:p w14:paraId="7657BCF5" w14:textId="3D6CFED9" w:rsidR="00DA4DC8" w:rsidRPr="00DA4DC8" w:rsidRDefault="00DA4DC8" w:rsidP="00370858">
            <w:pPr>
              <w:tabs>
                <w:tab w:val="left" w:pos="215"/>
                <w:tab w:val="left" w:pos="399"/>
              </w:tabs>
              <w:spacing w:line="276" w:lineRule="auto"/>
              <w:ind w:left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* Frontline therapy is define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d as chemotherapy (+/-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radiotherapy) (e.g. CROSS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, FLOT or similar protocols) OR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any palliative systemic chemotherapy</w:t>
            </w:r>
          </w:p>
          <w:p w14:paraId="514D81D0" w14:textId="6934A415" w:rsidR="00DA4DC8" w:rsidRPr="00DA4DC8" w:rsidRDefault="00370858" w:rsidP="00370858">
            <w:pPr>
              <w:tabs>
                <w:tab w:val="left" w:pos="215"/>
                <w:tab w:val="left" w:pos="399"/>
              </w:tabs>
              <w:spacing w:line="276" w:lineRule="auto"/>
              <w:ind w:left="223" w:hanging="223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4.</w:t>
            </w:r>
            <w:r w:rsidR="00DA4DC8"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Geriatric status: SlowGo o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r GoGo according to G8 and DAFI </w:t>
            </w:r>
            <w:r w:rsidR="00DA4DC8"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assessment (G8 &gt; 14 points or CGA/DAFI 0.2 &lt; 0.35)</w:t>
            </w:r>
          </w:p>
          <w:p w14:paraId="2579F729" w14:textId="77777777" w:rsidR="00DA4DC8" w:rsidRPr="00DA4DC8" w:rsidRDefault="00DA4DC8" w:rsidP="00DA4DC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5. At least 1 measurable lesion according to RECIST 1.1</w:t>
            </w:r>
          </w:p>
          <w:p w14:paraId="530B9744" w14:textId="77777777" w:rsidR="00DA4DC8" w:rsidRPr="00DA4DC8" w:rsidRDefault="00DA4DC8" w:rsidP="00DA4DC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6. Karnofsky performance status ≥ 50</w:t>
            </w:r>
          </w:p>
          <w:p w14:paraId="4AE6E7C7" w14:textId="370642F7" w:rsidR="00DA4DC8" w:rsidRPr="00DA4DC8" w:rsidRDefault="00DA4DC8" w:rsidP="00370858">
            <w:pPr>
              <w:tabs>
                <w:tab w:val="left" w:pos="215"/>
                <w:tab w:val="left" w:pos="399"/>
              </w:tabs>
              <w:spacing w:line="276" w:lineRule="auto"/>
              <w:ind w:left="215" w:hanging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7. Sufficient cardiac functio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nal reserve defined as ejection </w:t>
            </w: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fraction ≥ 50%</w:t>
            </w:r>
          </w:p>
          <w:p w14:paraId="17569F14" w14:textId="77777777" w:rsidR="00DA4DC8" w:rsidRPr="00DA4DC8" w:rsidRDefault="00DA4DC8" w:rsidP="00DA4DC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8. Adequate blood count, liver-enzymes and renal function:</w:t>
            </w:r>
          </w:p>
          <w:p w14:paraId="71217750" w14:textId="48E5E311" w:rsidR="00DA4DC8" w:rsidRPr="00370858" w:rsidRDefault="00DA4DC8" w:rsidP="00370858">
            <w:pPr>
              <w:pStyle w:val="Listenabsatz"/>
              <w:numPr>
                <w:ilvl w:val="0"/>
                <w:numId w:val="9"/>
              </w:numPr>
              <w:tabs>
                <w:tab w:val="left" w:pos="215"/>
                <w:tab w:val="left" w:pos="399"/>
              </w:tabs>
              <w:spacing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neutrophil count &gt; 1.5 x 106/mL</w:t>
            </w:r>
          </w:p>
          <w:p w14:paraId="2BEB28FB" w14:textId="53B8A808" w:rsidR="00DA4DC8" w:rsidRPr="00DA4DC8" w:rsidRDefault="00DA4DC8" w:rsidP="00370858">
            <w:pPr>
              <w:tabs>
                <w:tab w:val="left" w:pos="215"/>
                <w:tab w:val="left" w:pos="399"/>
              </w:tabs>
              <w:spacing w:line="276" w:lineRule="auto"/>
              <w:ind w:left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WBC ≥ 3000/μL</w:t>
            </w:r>
          </w:p>
          <w:p w14:paraId="778FF4D4" w14:textId="45966320" w:rsidR="00DA4DC8" w:rsidRPr="00DA4DC8" w:rsidRDefault="00DA4DC8" w:rsidP="00370858">
            <w:pPr>
              <w:pStyle w:val="Listenabsatz"/>
              <w:numPr>
                <w:ilvl w:val="0"/>
                <w:numId w:val="9"/>
              </w:numPr>
              <w:tabs>
                <w:tab w:val="left" w:pos="215"/>
                <w:tab w:val="left" w:pos="399"/>
              </w:tabs>
              <w:spacing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Platelet count ≥ 100 x 109/L (&gt; 100,000 per mm3)</w:t>
            </w:r>
          </w:p>
          <w:p w14:paraId="68B06C70" w14:textId="0680748E" w:rsidR="00DA4DC8" w:rsidRPr="00DA4DC8" w:rsidRDefault="00DA4DC8" w:rsidP="00370858">
            <w:pPr>
              <w:pStyle w:val="Listenabsatz"/>
              <w:numPr>
                <w:ilvl w:val="0"/>
                <w:numId w:val="9"/>
              </w:numPr>
              <w:tabs>
                <w:tab w:val="left" w:pos="215"/>
                <w:tab w:val="left" w:pos="399"/>
              </w:tabs>
              <w:spacing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hemoglobin ≥ 9 g/dL</w:t>
            </w:r>
          </w:p>
          <w:p w14:paraId="64A14B24" w14:textId="131AF359" w:rsidR="00DA4DC8" w:rsidRPr="00370858" w:rsidRDefault="00DA4DC8" w:rsidP="00370858">
            <w:pPr>
              <w:pStyle w:val="Listenabsatz"/>
              <w:numPr>
                <w:ilvl w:val="0"/>
                <w:numId w:val="9"/>
              </w:numPr>
              <w:tabs>
                <w:tab w:val="left" w:pos="215"/>
                <w:tab w:val="left" w:pos="399"/>
              </w:tabs>
              <w:spacing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INR ≤ 1.5 and PTT ≤ 1.5 x ULN during the last 7 days before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therapy</w:t>
            </w:r>
          </w:p>
          <w:p w14:paraId="68845D7E" w14:textId="77777777" w:rsidR="00370858" w:rsidRDefault="00DA4DC8" w:rsidP="00370858">
            <w:pPr>
              <w:pStyle w:val="Listenabsatz"/>
              <w:numPr>
                <w:ilvl w:val="0"/>
                <w:numId w:val="9"/>
              </w:numPr>
              <w:tabs>
                <w:tab w:val="left" w:pos="215"/>
                <w:tab w:val="left" w:pos="399"/>
              </w:tabs>
              <w:spacing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AST (SGOT)/ALT (SGPT) &lt; 3 x institutional upper limit of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normal (5 x lower limit in case of liver metastases)</w:t>
            </w:r>
          </w:p>
          <w:p w14:paraId="3B2FBAD3" w14:textId="390389C9" w:rsidR="00DA4DC8" w:rsidRPr="00370858" w:rsidRDefault="00DA4DC8" w:rsidP="00370858">
            <w:pPr>
              <w:pStyle w:val="Listenabsatz"/>
              <w:numPr>
                <w:ilvl w:val="0"/>
                <w:numId w:val="9"/>
              </w:numPr>
              <w:tabs>
                <w:tab w:val="left" w:pos="215"/>
                <w:tab w:val="left" w:pos="399"/>
              </w:tabs>
              <w:spacing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bilirubin &lt; 1.5 x ULN</w:t>
            </w:r>
          </w:p>
          <w:p w14:paraId="11D6C9F4" w14:textId="07BB958D" w:rsidR="00DA4DC8" w:rsidRPr="00370858" w:rsidRDefault="00DA4DC8" w:rsidP="00370858">
            <w:pPr>
              <w:pStyle w:val="Listenabsatz"/>
              <w:numPr>
                <w:ilvl w:val="0"/>
                <w:numId w:val="9"/>
              </w:numPr>
              <w:tabs>
                <w:tab w:val="left" w:pos="215"/>
                <w:tab w:val="left" w:pos="399"/>
              </w:tabs>
              <w:spacing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Serum creatinine ≤ 1.5 x institutional ULN or creatinine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clearance (CrCl) ≥ 30 mL/min (if using the Cockcroft-Gault</w:t>
            </w:r>
            <w:r w:rsid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formula below):</w:t>
            </w:r>
          </w:p>
          <w:p w14:paraId="780E4D76" w14:textId="77777777" w:rsidR="00DA4DC8" w:rsidRPr="00370858" w:rsidRDefault="00DA4DC8" w:rsidP="00DA4DC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u w:val="single"/>
                <w:lang w:eastAsia="de-DE"/>
              </w:rPr>
            </w:pPr>
            <w:r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Female CrCl = </w:t>
            </w:r>
            <w:r w:rsidRPr="00370858">
              <w:rPr>
                <w:rFonts w:ascii="Arial" w:eastAsia="Calibri" w:hAnsi="Arial" w:cs="Arial"/>
                <w:noProof/>
                <w:sz w:val="22"/>
                <w:szCs w:val="22"/>
                <w:u w:val="single"/>
                <w:lang w:eastAsia="de-DE"/>
              </w:rPr>
              <w:t>(140 - age in years) x weight in kg x 0.85</w:t>
            </w:r>
          </w:p>
          <w:p w14:paraId="38C7C7F4" w14:textId="77777777" w:rsidR="00FF7C20" w:rsidRDefault="00370858" w:rsidP="00DA4DC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                             </w:t>
            </w:r>
            <w:r w:rsidR="00DA4DC8" w:rsidRPr="00DA4DC8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>72 x serum creatinine in mg/dL</w:t>
            </w:r>
            <w:r w:rsidR="00FF7C20" w:rsidRPr="00BE0346">
              <w:rPr>
                <w:rFonts w:ascii="Arial" w:eastAsia="Calibri" w:hAnsi="Arial" w:cs="Arial"/>
                <w:noProof/>
                <w:sz w:val="22"/>
                <w:szCs w:val="22"/>
                <w:lang w:eastAsia="de-DE"/>
              </w:rPr>
              <w:t xml:space="preserve"> </w:t>
            </w:r>
          </w:p>
          <w:p w14:paraId="7FFB41DE" w14:textId="77777777" w:rsidR="00370858" w:rsidRPr="00370858" w:rsidRDefault="00370858" w:rsidP="0037085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u w:val="single"/>
                <w:lang w:eastAsia="de-DE"/>
              </w:rPr>
            </w:pP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Male CrCl = </w:t>
            </w:r>
            <w:r w:rsidRPr="00370858">
              <w:rPr>
                <w:rFonts w:ascii="Arial" w:eastAsia="Calibri" w:hAnsi="Arial" w:cs="Arial"/>
                <w:noProof/>
                <w:sz w:val="22"/>
                <w:u w:val="single"/>
                <w:lang w:eastAsia="de-DE"/>
              </w:rPr>
              <w:t>(140 - age in years) x weight in kg x 1.00</w:t>
            </w:r>
          </w:p>
          <w:p w14:paraId="2F3ADCD7" w14:textId="77777777" w:rsidR="00370858" w:rsidRDefault="00370858" w:rsidP="00370858">
            <w:pPr>
              <w:tabs>
                <w:tab w:val="left" w:pos="-69"/>
                <w:tab w:val="left" w:pos="39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                            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72 x serum creatinine in mg/dL</w:t>
            </w:r>
          </w:p>
          <w:p w14:paraId="4ECF1F70" w14:textId="28F755C0" w:rsidR="00370858" w:rsidRPr="00370858" w:rsidRDefault="00370858" w:rsidP="00370858">
            <w:pPr>
              <w:tabs>
                <w:tab w:val="left" w:pos="399"/>
                <w:tab w:val="left" w:pos="1349"/>
              </w:tabs>
              <w:spacing w:line="276" w:lineRule="auto"/>
              <w:ind w:left="215" w:hanging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9.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Men who are sexually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 active with WOCBP must use any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contraceptive method with a failure rate of less than 1% per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year. Men receiving Nivolu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mab and who are sexually active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with WOCBP will be instructed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 to adhere to contraception for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a period of 7 months after t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he last dose of investigational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products (Nivolumab, Ip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ilimumab). Women who are not of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childbearing potential (i.e., who are postmenopausal or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lastRenderedPageBreak/>
              <w:t>surgically sterile) as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well as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 azoospermic men do not require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contraception)</w:t>
            </w:r>
          </w:p>
          <w:p w14:paraId="7AF5E200" w14:textId="77777777" w:rsidR="00370858" w:rsidRPr="00370858" w:rsidRDefault="00370858" w:rsidP="00370858">
            <w:pPr>
              <w:tabs>
                <w:tab w:val="left" w:pos="399"/>
                <w:tab w:val="left" w:pos="1349"/>
              </w:tabs>
              <w:spacing w:line="276" w:lineRule="auto"/>
              <w:contextualSpacing/>
              <w:jc w:val="both"/>
              <w:rPr>
                <w:rFonts w:ascii="Arial" w:eastAsia="Calibri" w:hAnsi="Arial" w:cs="Arial"/>
                <w:noProof/>
                <w:sz w:val="22"/>
                <w:lang w:eastAsia="de-DE"/>
              </w:rPr>
            </w:pP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10. Subject is willing and able to comply with the protocol for the</w:t>
            </w:r>
          </w:p>
          <w:p w14:paraId="17126022" w14:textId="53454FC1" w:rsidR="00370858" w:rsidRPr="00FF7C20" w:rsidRDefault="00370858" w:rsidP="00370858">
            <w:pPr>
              <w:tabs>
                <w:tab w:val="left" w:pos="399"/>
                <w:tab w:val="left" w:pos="1349"/>
              </w:tabs>
              <w:spacing w:line="276" w:lineRule="auto"/>
              <w:ind w:left="215"/>
              <w:contextualSpacing/>
              <w:jc w:val="both"/>
              <w:rPr>
                <w:rFonts w:ascii="Arial" w:eastAsia="Calibri" w:hAnsi="Arial" w:cs="Arial"/>
                <w:noProof/>
                <w:sz w:val="22"/>
                <w:lang w:eastAsia="de-DE"/>
              </w:rPr>
            </w:pP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duration of the study including undergoing treatment and</w:t>
            </w:r>
            <w:r>
              <w:rPr>
                <w:rFonts w:ascii="Arial" w:eastAsia="Calibri" w:hAnsi="Arial" w:cs="Arial"/>
                <w:noProof/>
                <w:sz w:val="22"/>
                <w:lang w:eastAsia="de-DE"/>
              </w:rPr>
              <w:t xml:space="preserve"> </w:t>
            </w:r>
            <w:r w:rsidRPr="00370858">
              <w:rPr>
                <w:rFonts w:ascii="Arial" w:eastAsia="Calibri" w:hAnsi="Arial" w:cs="Arial"/>
                <w:noProof/>
                <w:sz w:val="22"/>
                <w:lang w:eastAsia="de-DE"/>
              </w:rPr>
              <w:t>scheduled visits and examinations including follow up</w:t>
            </w:r>
          </w:p>
        </w:tc>
      </w:tr>
      <w:tr w:rsidR="00FF7C20" w:rsidRPr="00BE0346" w14:paraId="6A7A3A6B" w14:textId="77777777" w:rsidTr="00267759">
        <w:trPr>
          <w:jc w:val="center"/>
        </w:trPr>
        <w:tc>
          <w:tcPr>
            <w:tcW w:w="2341" w:type="dxa"/>
          </w:tcPr>
          <w:p w14:paraId="20606852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lastRenderedPageBreak/>
              <w:t>Exclusion Criteria</w:t>
            </w:r>
          </w:p>
        </w:tc>
        <w:tc>
          <w:tcPr>
            <w:tcW w:w="6664" w:type="dxa"/>
          </w:tcPr>
          <w:p w14:paraId="4AA2BFE2" w14:textId="77777777" w:rsidR="00370858" w:rsidRPr="00370858" w:rsidRDefault="0037085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>Methodological criteria:</w:t>
            </w:r>
          </w:p>
          <w:p w14:paraId="60A8262E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1. Patients &lt; 65 years of age</w:t>
            </w:r>
          </w:p>
          <w:p w14:paraId="2DCD8DD3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="ArialMT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2. </w:t>
            </w:r>
            <w:r w:rsidRPr="00370858">
              <w:rPr>
                <w:rFonts w:ascii="Arial" w:eastAsia="ArialMT" w:hAnsi="Arial" w:cs="Arial"/>
                <w:sz w:val="22"/>
                <w:szCs w:val="22"/>
                <w:lang w:eastAsia="de-DE"/>
              </w:rPr>
              <w:t>Frail patients (DAFI score ≥ 0.35)</w:t>
            </w:r>
          </w:p>
          <w:p w14:paraId="41C6ACB2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3. Esophageal adenocarcinomas, neuroendocrine tumors</w:t>
            </w:r>
          </w:p>
          <w:p w14:paraId="205E5BE2" w14:textId="4248F450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4. Prior therapy with an anti-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programmed cell death protein 1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(anti-PD-1), anti-PD-L1, anti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-programmed cell death-ligand 2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(anti-PD-L2), anti-CD137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(4-1BB ligand, a member of the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Tumor Necrosis Factor Receptor [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TNFR] family), or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anticytotoxic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T-lymphocyte-ass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ociated antigen-4 (anti-CTLA-4)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antibody (including Ipilimuma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b or any other antibody or drug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specifically targeting T-ce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ll co-stimulation or checkpoint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pathways)</w:t>
            </w:r>
          </w:p>
          <w:p w14:paraId="1EEB32FB" w14:textId="4A3972A6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5. Participation in another clinica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l study with an investigational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product during the last 30 days b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efore inclusion or 7 half-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lifes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of previously used trial medication, whichever is longer</w:t>
            </w:r>
          </w:p>
          <w:p w14:paraId="2E12295C" w14:textId="4A11DD2D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6. Previous treatment in the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present study (does not include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screening failure).</w:t>
            </w:r>
          </w:p>
          <w:p w14:paraId="09C978FB" w14:textId="77777777" w:rsidR="00370858" w:rsidRPr="00370858" w:rsidRDefault="0037085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>Medical:</w:t>
            </w:r>
          </w:p>
          <w:p w14:paraId="5D63E31F" w14:textId="659ECD1C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7. Any condition or comorbidity that, in the opinion of the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investigator, would interfere wit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h evaluation of study treatment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or interpretation of patient safety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or study results, including but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not limited to:</w:t>
            </w:r>
          </w:p>
          <w:p w14:paraId="5C0CFE1E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a) </w:t>
            </w:r>
            <w:r w:rsidRPr="00370858">
              <w:rPr>
                <w:rFonts w:ascii="Arial" w:eastAsia="ArialMT" w:hAnsi="Arial" w:cs="Arial"/>
                <w:sz w:val="22"/>
                <w:szCs w:val="22"/>
                <w:lang w:eastAsia="de-DE"/>
              </w:rPr>
              <w:t xml:space="preserve">Major surgery ≤ 28 days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prior first dose of study treatment</w:t>
            </w:r>
          </w:p>
          <w:p w14:paraId="0367B469" w14:textId="36724B76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b) Anticancer treatment during the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last 30 days prior to start of </w:t>
            </w: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monotherap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y treatment, including systemic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therapy, or major surgery [pa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lliative radiotherapy has to be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completed at least 2 weeks prior to start of study treatment]</w:t>
            </w:r>
          </w:p>
          <w:p w14:paraId="3C80DA11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c) History of interstitial lung disease</w:t>
            </w:r>
          </w:p>
          <w:p w14:paraId="363A8150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d) Known acute or chronic pancreatitis</w:t>
            </w:r>
          </w:p>
          <w:p w14:paraId="03751D29" w14:textId="77777777" w:rsidR="00FF7C20" w:rsidRPr="00370858" w:rsidRDefault="00370858" w:rsidP="004A74F5">
            <w:pPr>
              <w:tabs>
                <w:tab w:val="left" w:pos="399"/>
              </w:tabs>
              <w:spacing w:line="276" w:lineRule="auto"/>
              <w:ind w:left="215" w:hanging="215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e) Known active HBV, HCV or HIV infection</w:t>
            </w:r>
          </w:p>
          <w:p w14:paraId="3BCB99F5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f) Active tuberculosis</w:t>
            </w:r>
          </w:p>
          <w:p w14:paraId="3F02FC4D" w14:textId="77467780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g) Any other active infecti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on (viral, fungal or bacterial)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requiring systemic therapy</w:t>
            </w:r>
          </w:p>
          <w:p w14:paraId="7095DE6D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h) History of allogeneic tissue/solid organ transplant</w:t>
            </w:r>
          </w:p>
          <w:p w14:paraId="3E7699E7" w14:textId="37696E23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</w:t>
            </w:r>
            <w:proofErr w:type="spell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) Diagnosis of immunodef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iciency or patient is receiving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chronic systemic stero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id therapy or any other form of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immunosuppressive therapy w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ithin 7 days prior to the first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dose of </w:t>
            </w: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monotherapy treatment.</w:t>
            </w:r>
          </w:p>
          <w:p w14:paraId="39CDD524" w14:textId="687A1E84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j) Has an active autoim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mune disease requiring systemic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treatment within the past 3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months or a documented history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of clinically severe autoim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mune disease or a syndrome that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requires systemic steroids or immunosuppressive agents.</w:t>
            </w:r>
          </w:p>
          <w:p w14:paraId="7CCA3ACE" w14:textId="5770BA15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k) Live vaccine within 30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days prior to the first dose of </w:t>
            </w: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erapy treatment or during study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treatment.</w:t>
            </w:r>
          </w:p>
          <w:p w14:paraId="202A0FBA" w14:textId="7D3C18F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l) Other clinically signific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ant active malignancy requiring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treatment OR less than 5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years disease free interval of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another primary malignancy</w:t>
            </w:r>
          </w:p>
          <w:p w14:paraId="457E7CAB" w14:textId="530A445A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m) Clinically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significant or symptomatic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cardiovascular/cerebrovas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cular disease (incl.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myocardia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infarction, unstable angina, symptomatic congestive heart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lastRenderedPageBreak/>
              <w:t>failure, serious uncontroll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ed cardiac arrhythmia) within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months before enrollment</w:t>
            </w:r>
          </w:p>
          <w:p w14:paraId="692B33C6" w14:textId="5F4C15A9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n) History or clinical eviden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ce of CNS metastases; Exceptions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are: Subjects who have completed local therapy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and who meet both of the following criteria:</w:t>
            </w:r>
          </w:p>
          <w:p w14:paraId="396E1323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I. are asymptomatic AND</w:t>
            </w:r>
          </w:p>
          <w:p w14:paraId="1678AA6F" w14:textId="4F953B3E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II. </w:t>
            </w:r>
            <w:proofErr w:type="gram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have</w:t>
            </w:r>
            <w:proofErr w:type="gram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no requirement for 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steroids 6 weeks prior to start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of </w:t>
            </w: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monotherapy </w:t>
            </w: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treament</w:t>
            </w:r>
            <w:proofErr w:type="spell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. Screening wit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h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CNS imaging (CT or MRI)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is required only if clinically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indicated or if t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he subject has a history of CNS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metastases</w:t>
            </w:r>
          </w:p>
          <w:p w14:paraId="2E2F24B0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>Drug related criteria:</w:t>
            </w:r>
          </w:p>
          <w:p w14:paraId="37A2BB07" w14:textId="380BDB83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8. Medication that is known to i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nterfere with any of the agents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applied in the trial.</w:t>
            </w:r>
          </w:p>
          <w:p w14:paraId="538AEB87" w14:textId="4D8F2202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9. Has known hypersensitivity to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or Ipilimumab or any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of the constituents of the products</w:t>
            </w:r>
          </w:p>
          <w:p w14:paraId="5D37E5B3" w14:textId="1E41EC40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10. Any other efficacious c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ancer treatment except protocol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specified treatment at study start</w:t>
            </w:r>
          </w:p>
          <w:p w14:paraId="30B969C8" w14:textId="06165C73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11. Patient has received any other investigational product wit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hin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28 days of study entry</w:t>
            </w:r>
          </w:p>
          <w:p w14:paraId="541BE4EA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>Safety criteria:</w:t>
            </w:r>
          </w:p>
          <w:p w14:paraId="621AB2A7" w14:textId="7F545DBE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12. Patient has had a prior mon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oclonal antibody within 4 weeks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prior </w:t>
            </w:r>
            <w:r w:rsidRPr="00370858">
              <w:rPr>
                <w:rFonts w:ascii="Arial" w:eastAsia="ArialMT" w:hAnsi="Arial" w:cs="Arial"/>
                <w:sz w:val="22"/>
                <w:szCs w:val="22"/>
                <w:lang w:eastAsia="de-DE"/>
              </w:rPr>
              <w:t>to study Day 1 or who has not recovered (i.e., ≤ Grade 1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or at baseline) fr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om adverse events due to agents </w:t>
            </w:r>
            <w:r w:rsidRPr="00370858">
              <w:rPr>
                <w:rFonts w:ascii="Arial" w:eastAsia="ArialMT" w:hAnsi="Arial" w:cs="Arial"/>
                <w:sz w:val="22"/>
                <w:szCs w:val="22"/>
                <w:lang w:eastAsia="de-DE"/>
              </w:rPr>
              <w:t>administered more than 4 weeks earlier. [Subjects with ≤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Grade 2 neuropathy or al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opecia are an exception to this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criterion and may qualify for the study.]</w:t>
            </w:r>
          </w:p>
          <w:p w14:paraId="7028CED6" w14:textId="39AD9000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13. Female subjects who 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are pregnant, breast-feeding or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male/female patients of rep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roductive potential who are not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employing an effective method of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birth control (failure rate of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less than 1% per year). [Acce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ptable methods of contraception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are: implants, injectabl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 contraceptives, combined oral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contraceptives, intrauterine </w:t>
            </w: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essars</w:t>
            </w:r>
            <w:proofErr w:type="spellEnd"/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(only hormonal devices),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sexual abstinence or vasectomy of th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 partner]. Women of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childbearing potential must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have a negative pregnancy test </w:t>
            </w:r>
            <w:r w:rsidRPr="00370858">
              <w:rPr>
                <w:rFonts w:ascii="Arial" w:eastAsia="ArialMT" w:hAnsi="Arial" w:cs="Arial"/>
                <w:sz w:val="22"/>
                <w:szCs w:val="22"/>
                <w:lang w:eastAsia="de-DE"/>
              </w:rPr>
              <w:t xml:space="preserve">(serum </w:t>
            </w:r>
            <w:r w:rsidRPr="00370858">
              <w:rPr>
                <w:rFonts w:ascii="Arial" w:eastAsia="ArialMT" w:hAnsi="Arial" w:cs="Arial"/>
                <w:sz w:val="22"/>
                <w:szCs w:val="22"/>
                <w:lang w:val="de-DE" w:eastAsia="de-DE"/>
              </w:rPr>
              <w:t>β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-HCG) at screening.</w:t>
            </w:r>
          </w:p>
          <w:p w14:paraId="6893DD87" w14:textId="7777777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>Regulatory and ethical criteria:</w:t>
            </w:r>
          </w:p>
          <w:p w14:paraId="284C4725" w14:textId="4B3772A3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14. Patient with any significa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nt history of non-compliance to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medical regimens or with inability to grant reliable 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informed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consent</w:t>
            </w:r>
          </w:p>
          <w:p w14:paraId="132EF969" w14:textId="6867ACC7" w:rsidR="00370858" w:rsidRPr="0037085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15. Patient who has bee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n incarcerated or involuntarily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institutionalized by court order 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or by the authorities § 40 Abs.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1 S. 3 </w:t>
            </w: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Nr</w:t>
            </w:r>
            <w:proofErr w:type="spell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. 4 AMG</w:t>
            </w:r>
          </w:p>
          <w:p w14:paraId="2FEE77E4" w14:textId="1F3C44E6" w:rsidR="00370858" w:rsidRPr="00D25E18" w:rsidRDefault="00370858" w:rsidP="004A74F5">
            <w:p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16. Patients who are unable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to consent because they do not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understand the nature, signi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ficance and implications of the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clinical trial and therefore cann</w:t>
            </w:r>
            <w:r w:rsid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ot form a rational intention in </w:t>
            </w:r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the light of the facts [§ 40 Abs. 1 S. 3 </w:t>
            </w:r>
            <w:proofErr w:type="spellStart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Nr</w:t>
            </w:r>
            <w:proofErr w:type="spellEnd"/>
            <w:r w:rsidRPr="0037085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. 3a AMG]</w:t>
            </w:r>
          </w:p>
        </w:tc>
      </w:tr>
      <w:tr w:rsidR="00FF7C20" w:rsidRPr="00BE0346" w14:paraId="699B0D0B" w14:textId="77777777" w:rsidTr="00267759">
        <w:trPr>
          <w:jc w:val="center"/>
        </w:trPr>
        <w:tc>
          <w:tcPr>
            <w:tcW w:w="2341" w:type="dxa"/>
          </w:tcPr>
          <w:p w14:paraId="6A07E8F8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lastRenderedPageBreak/>
              <w:t xml:space="preserve">Investigational </w:t>
            </w:r>
            <w:r>
              <w:rPr>
                <w:rFonts w:ascii="Arial" w:eastAsia="Calibri" w:hAnsi="Arial" w:cs="Arial"/>
                <w:sz w:val="22"/>
                <w:szCs w:val="22"/>
                <w:lang w:eastAsia="de-DE"/>
              </w:rPr>
              <w:t>Medicinal Product</w:t>
            </w:r>
          </w:p>
        </w:tc>
        <w:tc>
          <w:tcPr>
            <w:tcW w:w="6664" w:type="dxa"/>
          </w:tcPr>
          <w:p w14:paraId="4A9BDD52" w14:textId="29CC8140" w:rsidR="00D25E18" w:rsidRPr="00123851" w:rsidRDefault="00D25E18" w:rsidP="00123851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sz w:val="22"/>
                <w:szCs w:val="22"/>
                <w:lang w:val="de-DE" w:eastAsia="de-DE"/>
              </w:rPr>
            </w:pPr>
            <w:proofErr w:type="spellStart"/>
            <w:r w:rsidRPr="00123851">
              <w:rPr>
                <w:rFonts w:ascii="Arial" w:eastAsia="SymbolMT" w:hAnsi="Arial" w:cs="Arial"/>
                <w:sz w:val="22"/>
                <w:szCs w:val="22"/>
                <w:lang w:val="de-DE" w:eastAsia="de-DE"/>
              </w:rPr>
              <w:t>Nivolumab</w:t>
            </w:r>
            <w:proofErr w:type="spellEnd"/>
          </w:p>
          <w:p w14:paraId="1878B3EB" w14:textId="336F53A7" w:rsidR="00FF7C20" w:rsidRPr="00123851" w:rsidRDefault="00D25E18" w:rsidP="00123851">
            <w:pPr>
              <w:pStyle w:val="Listenabsatz"/>
              <w:numPr>
                <w:ilvl w:val="0"/>
                <w:numId w:val="14"/>
              </w:num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proofErr w:type="spellStart"/>
            <w:r w:rsidRPr="00123851">
              <w:rPr>
                <w:rFonts w:ascii="Arial" w:eastAsia="SymbolMT" w:hAnsi="Arial" w:cs="Arial"/>
                <w:sz w:val="22"/>
                <w:szCs w:val="22"/>
                <w:lang w:val="de-DE" w:eastAsia="de-DE"/>
              </w:rPr>
              <w:t>Ipilimumab</w:t>
            </w:r>
            <w:proofErr w:type="spellEnd"/>
          </w:p>
        </w:tc>
      </w:tr>
      <w:tr w:rsidR="00FF7C20" w:rsidRPr="00BE0346" w14:paraId="2F201427" w14:textId="77777777" w:rsidTr="00267759">
        <w:trPr>
          <w:jc w:val="center"/>
        </w:trPr>
        <w:tc>
          <w:tcPr>
            <w:tcW w:w="2341" w:type="dxa"/>
          </w:tcPr>
          <w:p w14:paraId="7C50548E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Treatment schedule</w:t>
            </w:r>
          </w:p>
        </w:tc>
        <w:tc>
          <w:tcPr>
            <w:tcW w:w="6664" w:type="dxa"/>
          </w:tcPr>
          <w:p w14:paraId="61048CE9" w14:textId="77777777" w:rsid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Subjects enrolled in this trial will initiate 2nd line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palliative systemic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treatment with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monotherapy (240 mg Q2W) for 3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consecutive cycles (safety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run-in). After three cycles of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monotherapy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study subjects will be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assessed for the occurrence of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specific treatment-emergent adverse events (TEA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E). </w:t>
            </w:r>
          </w:p>
          <w:p w14:paraId="50E8FE24" w14:textId="77777777" w:rsidR="00123851" w:rsidRDefault="00123851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</w:p>
          <w:p w14:paraId="63190F42" w14:textId="069EA92E" w:rsidR="00D25E18" w:rsidRP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Study subjects without significant TEAEs are eligible to escalate</w:t>
            </w:r>
          </w:p>
          <w:p w14:paraId="536B3CE1" w14:textId="77777777" w:rsidR="00D25E18" w:rsidRP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lastRenderedPageBreak/>
              <w:t xml:space="preserve">treatment to a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/Ipilimumab combination therapy:</w:t>
            </w:r>
          </w:p>
          <w:p w14:paraId="0FCCF7B8" w14:textId="77777777" w:rsid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</w:pPr>
          </w:p>
          <w:p w14:paraId="5AAFE906" w14:textId="77777777" w:rsidR="00FF7C20" w:rsidRP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 xml:space="preserve">Arm A: </w:t>
            </w:r>
            <w:proofErr w:type="spellStart"/>
            <w:r w:rsidRPr="00D25E18">
              <w:rPr>
                <w:rFonts w:ascii="Arial" w:eastAsiaTheme="minorEastAsia" w:hAnsi="Arial" w:cs="Arial"/>
                <w:b/>
                <w:sz w:val="22"/>
                <w:szCs w:val="22"/>
                <w:lang w:eastAsia="de-DE"/>
              </w:rPr>
              <w:t>Nivolumab</w:t>
            </w:r>
            <w:proofErr w:type="spellEnd"/>
            <w:r w:rsidRPr="00D25E18">
              <w:rPr>
                <w:rFonts w:ascii="Arial" w:eastAsiaTheme="minorEastAsia" w:hAnsi="Arial" w:cs="Arial"/>
                <w:b/>
                <w:sz w:val="22"/>
                <w:szCs w:val="22"/>
                <w:lang w:eastAsia="de-DE"/>
              </w:rPr>
              <w:t xml:space="preserve"> 240 mg fixed</w:t>
            </w:r>
            <w:r w:rsidRPr="00D25E18">
              <w:rPr>
                <w:rFonts w:ascii="Arial" w:eastAsiaTheme="minorEastAsia" w:hAnsi="Arial" w:cs="Arial"/>
                <w:b/>
                <w:sz w:val="22"/>
                <w:szCs w:val="22"/>
                <w:lang w:eastAsia="de-DE"/>
              </w:rPr>
              <w:t xml:space="preserve"> dose IV Q2W; Ipilimumab 1mg/kg </w:t>
            </w:r>
            <w:r w:rsidRPr="00D25E18">
              <w:rPr>
                <w:rFonts w:ascii="Arial" w:eastAsiaTheme="minorEastAsia" w:hAnsi="Arial" w:cs="Arial"/>
                <w:b/>
                <w:sz w:val="22"/>
                <w:szCs w:val="22"/>
                <w:lang w:eastAsia="de-DE"/>
              </w:rPr>
              <w:t>IV Q6W (starting in week 7 after safety assessment)</w:t>
            </w:r>
          </w:p>
          <w:p w14:paraId="250BD099" w14:textId="77777777" w:rsid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</w:p>
          <w:p w14:paraId="1CC28225" w14:textId="3FBC57D7" w:rsidR="00D25E18" w:rsidRP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Subjects with significant TEAEs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who still qualify for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treatment continue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monotherapy:</w:t>
            </w:r>
          </w:p>
          <w:p w14:paraId="3782B1D1" w14:textId="77777777" w:rsid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</w:pPr>
          </w:p>
          <w:p w14:paraId="6D077D69" w14:textId="77777777" w:rsidR="00D25E18" w:rsidRP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 xml:space="preserve">Arm B: </w:t>
            </w:r>
            <w:proofErr w:type="spellStart"/>
            <w:r w:rsidRPr="00D25E1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>Nivolumab</w:t>
            </w:r>
            <w:proofErr w:type="spellEnd"/>
            <w:r w:rsidRPr="00D25E1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 xml:space="preserve"> 240 mg IV fixed dose Q2W</w:t>
            </w:r>
          </w:p>
          <w:p w14:paraId="2BEC692E" w14:textId="77777777" w:rsid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</w:p>
          <w:p w14:paraId="415DFC5B" w14:textId="0504D322" w:rsidR="00D25E18" w:rsidRP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In both arms treatment continu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es until progressive disease or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intolerable toxicity or withdrawal of consent or death. Treatme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nt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within the context of the study is limited to 2 years.</w:t>
            </w:r>
          </w:p>
          <w:p w14:paraId="25247B5F" w14:textId="77777777" w:rsid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</w:p>
          <w:p w14:paraId="4DA70DB1" w14:textId="77777777" w:rsidR="00D25E18" w:rsidRP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Tumor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assesssments</w:t>
            </w:r>
            <w:proofErr w:type="spellEnd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:</w:t>
            </w:r>
          </w:p>
          <w:p w14:paraId="1CC528F4" w14:textId="247AC7CC" w:rsidR="00D25E18" w:rsidRPr="00123851" w:rsidRDefault="00D25E18" w:rsidP="0012385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1st restaging assessment after 12 weeks of therapy</w:t>
            </w:r>
          </w:p>
          <w:p w14:paraId="298B6625" w14:textId="701F57B9" w:rsidR="00D25E18" w:rsidRPr="00123851" w:rsidRDefault="00D25E18" w:rsidP="00123851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thereafter Q8W (appl</w:t>
            </w:r>
            <w:r w:rsidRP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ies equally to any confirmatory </w:t>
            </w:r>
            <w:r w:rsidRP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assessments according to RECIST 1.1 or modified RECIST</w:t>
            </w:r>
            <w:r w:rsidRP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as well as any re</w:t>
            </w:r>
            <w:r w:rsidRP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-evaluation of treatment beyond </w:t>
            </w:r>
            <w:r w:rsidRP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progression)</w:t>
            </w:r>
          </w:p>
          <w:p w14:paraId="7BB6CE95" w14:textId="48C8CEBC" w:rsidR="00D25E18" w:rsidRPr="00D25E18" w:rsidRDefault="00D25E18" w:rsidP="004A74F5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</w:p>
        </w:tc>
      </w:tr>
      <w:tr w:rsidR="00FF7C20" w:rsidRPr="00BE0346" w14:paraId="60F92548" w14:textId="77777777" w:rsidTr="00267759">
        <w:trPr>
          <w:jc w:val="center"/>
        </w:trPr>
        <w:tc>
          <w:tcPr>
            <w:tcW w:w="2341" w:type="dxa"/>
          </w:tcPr>
          <w:p w14:paraId="7CB1F6E7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lastRenderedPageBreak/>
              <w:t>Primary endpoint</w:t>
            </w:r>
          </w:p>
        </w:tc>
        <w:tc>
          <w:tcPr>
            <w:tcW w:w="6664" w:type="dxa"/>
          </w:tcPr>
          <w:p w14:paraId="5259FAD9" w14:textId="0E0ACBA1" w:rsidR="00FF7C20" w:rsidRPr="00BE0346" w:rsidRDefault="00D25E18" w:rsidP="00267759">
            <w:pPr>
              <w:keepNext/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 xml:space="preserve">Overall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survival</w:t>
            </w:r>
            <w:proofErr w:type="spellEnd"/>
          </w:p>
        </w:tc>
      </w:tr>
      <w:tr w:rsidR="00FF7C20" w:rsidRPr="00BE0346" w14:paraId="12D254DD" w14:textId="77777777" w:rsidTr="00267759">
        <w:trPr>
          <w:jc w:val="center"/>
        </w:trPr>
        <w:tc>
          <w:tcPr>
            <w:tcW w:w="2341" w:type="dxa"/>
          </w:tcPr>
          <w:p w14:paraId="51181BD0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Secondary endpoints</w:t>
            </w:r>
          </w:p>
        </w:tc>
        <w:tc>
          <w:tcPr>
            <w:tcW w:w="6664" w:type="dxa"/>
          </w:tcPr>
          <w:p w14:paraId="03AE1029" w14:textId="77777777" w:rsidR="00D25E18" w:rsidRPr="00D25E18" w:rsidRDefault="00D25E18" w:rsidP="00D25E1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Key secondary endpoint:</w:t>
            </w:r>
          </w:p>
          <w:p w14:paraId="112245D6" w14:textId="024C3F19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="ArialMT" w:hAnsi="Arial" w:cs="Arial"/>
                <w:sz w:val="22"/>
                <w:szCs w:val="22"/>
                <w:lang w:eastAsia="de-DE"/>
              </w:rPr>
              <w:t xml:space="preserve">Time to </w:t>
            </w:r>
            <w:proofErr w:type="spellStart"/>
            <w:r w:rsidRPr="00D25E18">
              <w:rPr>
                <w:rFonts w:ascii="Arial" w:eastAsia="ArialMT" w:hAnsi="Arial" w:cs="Arial"/>
                <w:sz w:val="22"/>
                <w:szCs w:val="22"/>
                <w:lang w:eastAsia="de-DE"/>
              </w:rPr>
              <w:t>QoL</w:t>
            </w:r>
            <w:proofErr w:type="spellEnd"/>
            <w:r w:rsidRPr="00D25E18">
              <w:rPr>
                <w:rFonts w:ascii="Arial" w:eastAsia="ArialMT" w:hAnsi="Arial" w:cs="Arial"/>
                <w:sz w:val="22"/>
                <w:szCs w:val="22"/>
                <w:lang w:eastAsia="de-DE"/>
              </w:rPr>
              <w:t xml:space="preserve"> deterioration defined as a loss of ≥ 10 points</w:t>
            </w:r>
            <w:r>
              <w:rPr>
                <w:rFonts w:ascii="Arial" w:eastAsia="ArialMT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in the EORTC QLQ-C30 compared to base-line</w:t>
            </w:r>
          </w:p>
          <w:p w14:paraId="6ADDD5B1" w14:textId="77777777" w:rsidR="00D25E18" w:rsidRPr="00D25E18" w:rsidRDefault="00D25E18" w:rsidP="00D25E1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Additional secondary endpoints:</w:t>
            </w:r>
          </w:p>
          <w:p w14:paraId="5B5BD4EB" w14:textId="4A92BA40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PFS</w:t>
            </w:r>
          </w:p>
          <w:p w14:paraId="6D0431AE" w14:textId="7E268DBF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ORR according to RECIST 1.1 and immune related response</w:t>
            </w:r>
          </w:p>
          <w:p w14:paraId="54F2D925" w14:textId="77777777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criteria (modified RECIST)</w:t>
            </w:r>
          </w:p>
          <w:p w14:paraId="038140BA" w14:textId="1FD8BA76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Duration of Response (DOR)</w:t>
            </w:r>
          </w:p>
          <w:p w14:paraId="109CE2B6" w14:textId="369F1629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Duration of treatment</w:t>
            </w:r>
          </w:p>
          <w:p w14:paraId="6DB20A00" w14:textId="5ED5BD41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cumulative dose intensity</w:t>
            </w:r>
          </w:p>
          <w:p w14:paraId="62369071" w14:textId="15BEAC5B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QoL</w:t>
            </w:r>
            <w:proofErr w:type="spellEnd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(EORTC QLQC30 and ELD14)</w:t>
            </w:r>
          </w:p>
          <w:p w14:paraId="62503536" w14:textId="2E8E73E9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AEs/SAEs</w:t>
            </w:r>
          </w:p>
          <w:p w14:paraId="3A16439E" w14:textId="77777777" w:rsidR="00D25E18" w:rsidRPr="00D25E18" w:rsidRDefault="00D25E18" w:rsidP="00D25E1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Geriatric assessments:</w:t>
            </w:r>
          </w:p>
          <w:p w14:paraId="0275CCAB" w14:textId="77777777" w:rsid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Evaluation of the predictive value of the GA containing tests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(DAFI, G8-</w:t>
            </w:r>
            <w:r w:rsidRPr="00D25E18">
              <w:rPr>
                <w:rFonts w:ascii="Arial" w:eastAsia="ArialMT" w:hAnsi="Arial" w:cs="Arial"/>
                <w:sz w:val="22"/>
                <w:szCs w:val="22"/>
                <w:lang w:eastAsia="de-DE"/>
              </w:rPr>
              <w:t>Questionaire etc.) for the occurrence of ≥ grade 3</w:t>
            </w:r>
            <w:r>
              <w:rPr>
                <w:rFonts w:ascii="Arial" w:eastAsia="ArialMT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toxicities</w:t>
            </w:r>
          </w:p>
          <w:p w14:paraId="2B2057BA" w14:textId="46F103FC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Predictive value of the assessed geriatric tests for treatment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discontinuation</w:t>
            </w:r>
          </w:p>
        </w:tc>
      </w:tr>
      <w:tr w:rsidR="00FF7C20" w:rsidRPr="00BE0346" w14:paraId="636FFD68" w14:textId="77777777" w:rsidTr="00267759">
        <w:trPr>
          <w:jc w:val="center"/>
        </w:trPr>
        <w:tc>
          <w:tcPr>
            <w:tcW w:w="2341" w:type="dxa"/>
          </w:tcPr>
          <w:p w14:paraId="499862F8" w14:textId="77777777" w:rsidR="00D25E18" w:rsidRDefault="00D25E18" w:rsidP="00D25E1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Translational</w:t>
            </w:r>
            <w:proofErr w:type="spellEnd"/>
          </w:p>
          <w:p w14:paraId="76198D4C" w14:textId="77777777" w:rsidR="00D25E18" w:rsidRDefault="00D25E18" w:rsidP="00D25E1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research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:</w:t>
            </w:r>
          </w:p>
          <w:p w14:paraId="4D4E8835" w14:textId="77777777" w:rsidR="00D25E18" w:rsidRDefault="00D25E18" w:rsidP="00D25E1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Exploratory</w:t>
            </w:r>
            <w:proofErr w:type="spellEnd"/>
          </w:p>
          <w:p w14:paraId="58CC2CCC" w14:textId="77777777" w:rsidR="00D25E18" w:rsidRDefault="00D25E18" w:rsidP="00D25E1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</w:pP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objectives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and</w:t>
            </w:r>
            <w:proofErr w:type="spellEnd"/>
          </w:p>
          <w:p w14:paraId="466B7E52" w14:textId="2BDF7C41" w:rsidR="00FF7C20" w:rsidRPr="00BE0346" w:rsidRDefault="00D25E18" w:rsidP="00D25E18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endpoints</w:t>
            </w:r>
            <w:proofErr w:type="spellEnd"/>
          </w:p>
        </w:tc>
        <w:tc>
          <w:tcPr>
            <w:tcW w:w="6664" w:type="dxa"/>
          </w:tcPr>
          <w:p w14:paraId="60126F75" w14:textId="5C25BD35" w:rsidR="00D25E18" w:rsidRPr="00D25E18" w:rsidRDefault="00D25E18" w:rsidP="00D25E18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predictive biomarkers in tumor tissue (pre-treatment and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rebiopsies</w:t>
            </w:r>
            <w:proofErr w:type="spellEnd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)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and blood</w:t>
            </w:r>
          </w:p>
          <w:p w14:paraId="3E4AD32A" w14:textId="7A660D04" w:rsidR="00D25E18" w:rsidRPr="00D25E18" w:rsidRDefault="00D25E18" w:rsidP="00D25E18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establishment of organoid cultures from tumor tissue</w:t>
            </w:r>
          </w:p>
          <w:p w14:paraId="5793CF2B" w14:textId="77777777" w:rsidR="00D25E18" w:rsidRPr="00D25E18" w:rsidRDefault="00D25E18" w:rsidP="00D25E18">
            <w:pPr>
              <w:pStyle w:val="Listenabsatz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</w:pP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specimens</w:t>
            </w:r>
            <w:proofErr w:type="spellEnd"/>
          </w:p>
          <w:p w14:paraId="0192450F" w14:textId="3569E64E" w:rsidR="00FF7C20" w:rsidRPr="00D25E18" w:rsidRDefault="00D25E18" w:rsidP="00D25E18">
            <w:pPr>
              <w:pStyle w:val="Listenabsatz"/>
              <w:widowControl w:val="0"/>
              <w:numPr>
                <w:ilvl w:val="0"/>
                <w:numId w:val="12"/>
              </w:numPr>
              <w:spacing w:before="20" w:after="20"/>
              <w:jc w:val="both"/>
              <w:rPr>
                <w:rFonts w:ascii="Arial" w:eastAsia="Calibri" w:hAnsi="Arial" w:cs="Arial"/>
                <w:iCs/>
                <w:color w:val="000000"/>
                <w:sz w:val="22"/>
                <w:szCs w:val="22"/>
                <w:lang w:eastAsia="ja-JP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Response prediction and the microbiome in ESCC</w:t>
            </w:r>
          </w:p>
        </w:tc>
      </w:tr>
      <w:tr w:rsidR="00FF7C20" w:rsidRPr="00BE0346" w14:paraId="058E01CE" w14:textId="77777777" w:rsidTr="00267759">
        <w:trPr>
          <w:jc w:val="center"/>
        </w:trPr>
        <w:tc>
          <w:tcPr>
            <w:tcW w:w="2341" w:type="dxa"/>
          </w:tcPr>
          <w:p w14:paraId="5A595805" w14:textId="77777777" w:rsidR="00FF7C20" w:rsidRPr="00BE0346" w:rsidRDefault="00FF7C20" w:rsidP="00267759">
            <w:pPr>
              <w:widowControl w:val="0"/>
              <w:spacing w:before="20" w:after="20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Interim analyses</w:t>
            </w:r>
          </w:p>
        </w:tc>
        <w:tc>
          <w:tcPr>
            <w:tcW w:w="6664" w:type="dxa"/>
          </w:tcPr>
          <w:p w14:paraId="3092A9EF" w14:textId="77777777" w:rsidR="00FF7C20" w:rsidRPr="00BE0346" w:rsidRDefault="00FF7C20" w:rsidP="00267759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ja-JP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ja-JP"/>
              </w:rPr>
              <w:t>Not planned</w:t>
            </w:r>
          </w:p>
        </w:tc>
      </w:tr>
      <w:tr w:rsidR="00FF7C20" w:rsidRPr="00BE0346" w14:paraId="6D286468" w14:textId="77777777" w:rsidTr="00267759">
        <w:trPr>
          <w:jc w:val="center"/>
        </w:trPr>
        <w:tc>
          <w:tcPr>
            <w:tcW w:w="2341" w:type="dxa"/>
          </w:tcPr>
          <w:p w14:paraId="33E7F65B" w14:textId="77777777" w:rsidR="00FF7C20" w:rsidRPr="00BE0346" w:rsidRDefault="00FF7C20" w:rsidP="00267759">
            <w:pPr>
              <w:widowControl w:val="0"/>
              <w:spacing w:before="20" w:after="20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Safety Data</w:t>
            </w:r>
          </w:p>
        </w:tc>
        <w:tc>
          <w:tcPr>
            <w:tcW w:w="6664" w:type="dxa"/>
          </w:tcPr>
          <w:p w14:paraId="26C61BE1" w14:textId="793476B9" w:rsidR="00D25E18" w:rsidRPr="00D25E18" w:rsidRDefault="00D25E18" w:rsidP="00D25E18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AEs, SAEs and treatment emergent adverse events according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to CTC 4.03</w:t>
            </w:r>
          </w:p>
          <w:p w14:paraId="64E2D593" w14:textId="71AAF9BF" w:rsidR="00FF7C20" w:rsidRPr="00D25E18" w:rsidRDefault="00D25E18" w:rsidP="00D25E18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Frequency of clinically significant abnormal laboratory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parameters</w:t>
            </w:r>
          </w:p>
        </w:tc>
      </w:tr>
      <w:tr w:rsidR="00FF7C20" w:rsidRPr="00BE0346" w14:paraId="52A5C95C" w14:textId="77777777" w:rsidTr="00267759">
        <w:trPr>
          <w:jc w:val="center"/>
        </w:trPr>
        <w:tc>
          <w:tcPr>
            <w:tcW w:w="2341" w:type="dxa"/>
          </w:tcPr>
          <w:p w14:paraId="41A0DB39" w14:textId="77777777" w:rsidR="00FF7C20" w:rsidRPr="00BE0346" w:rsidRDefault="00FF7C20" w:rsidP="00267759">
            <w:pPr>
              <w:spacing w:before="20" w:after="20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t>Sample size calculation</w:t>
            </w:r>
          </w:p>
        </w:tc>
        <w:tc>
          <w:tcPr>
            <w:tcW w:w="6664" w:type="dxa"/>
          </w:tcPr>
          <w:p w14:paraId="75CDAC4A" w14:textId="7AE92382" w:rsidR="00D25E18" w:rsidRPr="00D25E18" w:rsidRDefault="00D25E18" w:rsidP="001238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It is hypothesized that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and Ipilimumab wil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l increase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overall survival. It is assumed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that an immunotherapy approach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consisting of a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monotherapy in conjunction with a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lastRenderedPageBreak/>
              <w:t xml:space="preserve">safety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guided treatment escalation to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a NIVO/IPI combination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regimen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increases the 1-year overall survival rate by a margi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n of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13%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compared to historical control 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for standard chemotherapy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(i.e.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monotherapy follow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ed by a conditional </w:t>
            </w:r>
            <w:proofErr w:type="spellStart"/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Nivolumab</w:t>
            </w:r>
            <w:proofErr w:type="spellEnd"/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+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Ipilimumab therapy 1-yr-OS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= 30% vs </w:t>
            </w:r>
            <w:proofErr w:type="spellStart"/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CTx</w:t>
            </w:r>
            <w:proofErr w:type="spellEnd"/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-control 1-yr-OS =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17%).</w:t>
            </w:r>
          </w:p>
          <w:p w14:paraId="6E578B5D" w14:textId="77777777" w:rsidR="00D25E18" w:rsidRPr="00D25E18" w:rsidRDefault="00D25E18" w:rsidP="001238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Sample size estimation:</w:t>
            </w:r>
          </w:p>
          <w:p w14:paraId="4CC59303" w14:textId="52E247BB" w:rsidR="00FF7C20" w:rsidRPr="004A74F5" w:rsidRDefault="00D25E18" w:rsidP="0012385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Based on these assumptions, and an e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xponential shape of the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survival curve, a one-sided, one-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sample log rank test calculated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from a sample of 69 subjects achieves 90.3% power at </w:t>
            </w:r>
            <w:proofErr w:type="spellStart"/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</w:t>
            </w:r>
            <w:proofErr w:type="spellEnd"/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alpha=0.05 one-sided significan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ce level to detect a proportion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surviving of 0.3 in the experimental group when th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e proportion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surviving in the historic control g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roup is 0.17. These proportions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surviving are for a period of 12 m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onth (1-year-OS rate). Subjects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are accrued for a period of 12 m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onth. Follow-up continues for a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period of 24 month after the last su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bject is added. The probability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that a subject experiences an event 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during the study is 0.9477. </w:t>
            </w:r>
            <w:r w:rsid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The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expected number of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events during the study is 65. To </w:t>
            </w:r>
            <w:r w:rsidRPr="00D25E18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compensate for uninformative drop-outs a total of </w:t>
            </w:r>
            <w:r w:rsidRPr="00D25E18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de-DE"/>
              </w:rPr>
              <w:t xml:space="preserve">N=75 </w:t>
            </w:r>
            <w:r w:rsid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subjects</w:t>
            </w:r>
            <w:r w:rsidR="00123851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 </w:t>
            </w:r>
            <w:r w:rsidRP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need to be recruited.</w:t>
            </w:r>
          </w:p>
        </w:tc>
      </w:tr>
      <w:tr w:rsidR="00FF7C20" w:rsidRPr="00BE0346" w14:paraId="2724EFDB" w14:textId="77777777" w:rsidTr="00267759">
        <w:trPr>
          <w:jc w:val="center"/>
        </w:trPr>
        <w:tc>
          <w:tcPr>
            <w:tcW w:w="2341" w:type="dxa"/>
          </w:tcPr>
          <w:p w14:paraId="71719188" w14:textId="77777777" w:rsidR="00FF7C20" w:rsidRPr="00BE0346" w:rsidRDefault="00FF7C20" w:rsidP="00267759">
            <w:pPr>
              <w:widowControl w:val="0"/>
              <w:spacing w:before="20" w:after="20"/>
              <w:jc w:val="both"/>
              <w:rPr>
                <w:rFonts w:ascii="Arial" w:eastAsia="Calibri" w:hAnsi="Arial" w:cs="Arial"/>
                <w:sz w:val="22"/>
                <w:lang w:eastAsia="de-DE"/>
              </w:rPr>
            </w:pPr>
            <w:r w:rsidRPr="00BE0346">
              <w:rPr>
                <w:rFonts w:ascii="Arial" w:eastAsia="Calibri" w:hAnsi="Arial" w:cs="Arial"/>
                <w:sz w:val="22"/>
                <w:szCs w:val="22"/>
                <w:lang w:eastAsia="de-DE"/>
              </w:rPr>
              <w:lastRenderedPageBreak/>
              <w:t>Study plan</w:t>
            </w:r>
          </w:p>
        </w:tc>
        <w:tc>
          <w:tcPr>
            <w:tcW w:w="6664" w:type="dxa"/>
          </w:tcPr>
          <w:p w14:paraId="03BDA980" w14:textId="77777777" w:rsidR="004A74F5" w:rsidRPr="004A74F5" w:rsidRDefault="004A74F5" w:rsidP="004A74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First Patient In (FPI): Q4/2017</w:t>
            </w:r>
          </w:p>
          <w:p w14:paraId="1E1C42A2" w14:textId="77777777" w:rsidR="004A74F5" w:rsidRPr="004A74F5" w:rsidRDefault="004A74F5" w:rsidP="004A74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Last Patient In (LPI): after approx. 12 months</w:t>
            </w:r>
          </w:p>
          <w:p w14:paraId="3D34FDFE" w14:textId="77777777" w:rsidR="004A74F5" w:rsidRPr="004A74F5" w:rsidRDefault="004A74F5" w:rsidP="004A74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Last Patient Last tre</w:t>
            </w:r>
            <w:bookmarkStart w:id="0" w:name="_GoBack"/>
            <w:bookmarkEnd w:id="0"/>
            <w:r w:rsidRP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atment (LPLT): after approx. 20 months</w:t>
            </w:r>
          </w:p>
          <w:p w14:paraId="3500DB81" w14:textId="77777777" w:rsidR="004A74F5" w:rsidRPr="004A74F5" w:rsidRDefault="004A74F5" w:rsidP="004A74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</w:pPr>
            <w:r w:rsidRP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>End of follow-up period after LPI: after approx. 36 months</w:t>
            </w:r>
          </w:p>
          <w:p w14:paraId="7CF1C2B8" w14:textId="77777777" w:rsidR="004A74F5" w:rsidRDefault="004A74F5" w:rsidP="004A74F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</w:pPr>
            <w:r w:rsidRPr="004A74F5">
              <w:rPr>
                <w:rFonts w:ascii="Arial" w:eastAsiaTheme="minorEastAsia" w:hAnsi="Arial" w:cs="Arial"/>
                <w:sz w:val="22"/>
                <w:szCs w:val="22"/>
                <w:lang w:eastAsia="de-DE"/>
              </w:rPr>
              <w:t xml:space="preserve">Study report: after approx. </w:t>
            </w:r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 xml:space="preserve">45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months</w:t>
            </w:r>
            <w:proofErr w:type="spellEnd"/>
          </w:p>
          <w:p w14:paraId="4F987748" w14:textId="61C80B65" w:rsidR="00FF7C20" w:rsidRPr="00BE0346" w:rsidRDefault="004A74F5" w:rsidP="004A74F5">
            <w:pPr>
              <w:spacing w:before="20" w:after="20"/>
              <w:jc w:val="both"/>
              <w:rPr>
                <w:rFonts w:ascii="Arial" w:eastAsia="Calibri" w:hAnsi="Arial" w:cs="Arial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Publication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 xml:space="preserve">: after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approx</w:t>
            </w:r>
            <w:proofErr w:type="spellEnd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 xml:space="preserve">. 45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val="de-DE" w:eastAsia="de-DE"/>
              </w:rPr>
              <w:t>months</w:t>
            </w:r>
            <w:proofErr w:type="spellEnd"/>
          </w:p>
        </w:tc>
      </w:tr>
    </w:tbl>
    <w:p w14:paraId="4F127136" w14:textId="77777777" w:rsidR="00762D9A" w:rsidRDefault="00762D9A"/>
    <w:sectPr w:rsidR="00762D9A" w:rsidSect="00762D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09F"/>
    <w:multiLevelType w:val="hybridMultilevel"/>
    <w:tmpl w:val="CBC6E336"/>
    <w:lvl w:ilvl="0" w:tplc="CC9655C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6F56"/>
    <w:multiLevelType w:val="hybridMultilevel"/>
    <w:tmpl w:val="A14A1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4C95"/>
    <w:multiLevelType w:val="hybridMultilevel"/>
    <w:tmpl w:val="8438F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C6A13"/>
    <w:multiLevelType w:val="multilevel"/>
    <w:tmpl w:val="71B8FC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B44DE5"/>
    <w:multiLevelType w:val="hybridMultilevel"/>
    <w:tmpl w:val="3F1A3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0744"/>
    <w:multiLevelType w:val="hybridMultilevel"/>
    <w:tmpl w:val="DA104CD2"/>
    <w:lvl w:ilvl="0" w:tplc="08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6">
    <w:nsid w:val="3D4551ED"/>
    <w:multiLevelType w:val="multilevel"/>
    <w:tmpl w:val="71B8FC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AA5186"/>
    <w:multiLevelType w:val="hybridMultilevel"/>
    <w:tmpl w:val="9ABA6088"/>
    <w:lvl w:ilvl="0" w:tplc="0407000F">
      <w:start w:val="1"/>
      <w:numFmt w:val="decimal"/>
      <w:lvlText w:val="%1."/>
      <w:lvlJc w:val="left"/>
      <w:pPr>
        <w:ind w:left="748" w:hanging="360"/>
      </w:pPr>
    </w:lvl>
    <w:lvl w:ilvl="1" w:tplc="04070019" w:tentative="1">
      <w:start w:val="1"/>
      <w:numFmt w:val="lowerLetter"/>
      <w:lvlText w:val="%2."/>
      <w:lvlJc w:val="left"/>
      <w:pPr>
        <w:ind w:left="1468" w:hanging="360"/>
      </w:pPr>
    </w:lvl>
    <w:lvl w:ilvl="2" w:tplc="0407001B" w:tentative="1">
      <w:start w:val="1"/>
      <w:numFmt w:val="lowerRoman"/>
      <w:lvlText w:val="%3."/>
      <w:lvlJc w:val="right"/>
      <w:pPr>
        <w:ind w:left="2188" w:hanging="180"/>
      </w:pPr>
    </w:lvl>
    <w:lvl w:ilvl="3" w:tplc="0407000F" w:tentative="1">
      <w:start w:val="1"/>
      <w:numFmt w:val="decimal"/>
      <w:lvlText w:val="%4."/>
      <w:lvlJc w:val="left"/>
      <w:pPr>
        <w:ind w:left="2908" w:hanging="360"/>
      </w:pPr>
    </w:lvl>
    <w:lvl w:ilvl="4" w:tplc="04070019" w:tentative="1">
      <w:start w:val="1"/>
      <w:numFmt w:val="lowerLetter"/>
      <w:lvlText w:val="%5."/>
      <w:lvlJc w:val="left"/>
      <w:pPr>
        <w:ind w:left="3628" w:hanging="360"/>
      </w:pPr>
    </w:lvl>
    <w:lvl w:ilvl="5" w:tplc="0407001B" w:tentative="1">
      <w:start w:val="1"/>
      <w:numFmt w:val="lowerRoman"/>
      <w:lvlText w:val="%6."/>
      <w:lvlJc w:val="right"/>
      <w:pPr>
        <w:ind w:left="4348" w:hanging="180"/>
      </w:pPr>
    </w:lvl>
    <w:lvl w:ilvl="6" w:tplc="0407000F" w:tentative="1">
      <w:start w:val="1"/>
      <w:numFmt w:val="decimal"/>
      <w:lvlText w:val="%7."/>
      <w:lvlJc w:val="left"/>
      <w:pPr>
        <w:ind w:left="5068" w:hanging="360"/>
      </w:pPr>
    </w:lvl>
    <w:lvl w:ilvl="7" w:tplc="04070019" w:tentative="1">
      <w:start w:val="1"/>
      <w:numFmt w:val="lowerLetter"/>
      <w:lvlText w:val="%8."/>
      <w:lvlJc w:val="left"/>
      <w:pPr>
        <w:ind w:left="5788" w:hanging="360"/>
      </w:pPr>
    </w:lvl>
    <w:lvl w:ilvl="8" w:tplc="04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45643E5B"/>
    <w:multiLevelType w:val="hybridMultilevel"/>
    <w:tmpl w:val="2AD46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90A6A"/>
    <w:multiLevelType w:val="hybridMultilevel"/>
    <w:tmpl w:val="7C3C7786"/>
    <w:lvl w:ilvl="0" w:tplc="AE1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AE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67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3C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83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A0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A8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E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9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A56F3"/>
    <w:multiLevelType w:val="hybridMultilevel"/>
    <w:tmpl w:val="E034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0358B"/>
    <w:multiLevelType w:val="hybridMultilevel"/>
    <w:tmpl w:val="76BC72E0"/>
    <w:lvl w:ilvl="0" w:tplc="95C072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AB638B6"/>
    <w:multiLevelType w:val="hybridMultilevel"/>
    <w:tmpl w:val="BED47BF2"/>
    <w:lvl w:ilvl="0" w:tplc="CC9655C6">
      <w:start w:val="2"/>
      <w:numFmt w:val="bullet"/>
      <w:lvlText w:val="•"/>
      <w:lvlJc w:val="left"/>
      <w:pPr>
        <w:ind w:left="9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>
    <w:nsid w:val="71CC6A7B"/>
    <w:multiLevelType w:val="hybridMultilevel"/>
    <w:tmpl w:val="76BC72E0"/>
    <w:lvl w:ilvl="0" w:tplc="95C072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0"/>
    <w:rsid w:val="00123851"/>
    <w:rsid w:val="00370858"/>
    <w:rsid w:val="004A74F5"/>
    <w:rsid w:val="00762D9A"/>
    <w:rsid w:val="00A25737"/>
    <w:rsid w:val="00B07932"/>
    <w:rsid w:val="00D25E18"/>
    <w:rsid w:val="00DA4DC8"/>
    <w:rsid w:val="00DD19B7"/>
    <w:rsid w:val="00E12AE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C4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C20"/>
    <w:rPr>
      <w:rFonts w:ascii="Times New Roman" w:eastAsia="Times New Roman" w:hAnsi="Times New Roman" w:cs="Times New Roman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C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C20"/>
    <w:rPr>
      <w:rFonts w:ascii="Lucida Grande" w:eastAsia="Times New Roman" w:hAnsi="Lucida Grande" w:cs="Lucida Grande"/>
      <w:sz w:val="18"/>
      <w:szCs w:val="18"/>
      <w:lang w:val="en-US" w:eastAsia="en-GB"/>
    </w:rPr>
  </w:style>
  <w:style w:type="paragraph" w:styleId="Listenabsatz">
    <w:name w:val="List Paragraph"/>
    <w:basedOn w:val="Standard"/>
    <w:uiPriority w:val="34"/>
    <w:qFormat/>
    <w:rsid w:val="0037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C20"/>
    <w:rPr>
      <w:rFonts w:ascii="Times New Roman" w:eastAsia="Times New Roman" w:hAnsi="Times New Roman" w:cs="Times New Roman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C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C20"/>
    <w:rPr>
      <w:rFonts w:ascii="Lucida Grande" w:eastAsia="Times New Roman" w:hAnsi="Lucida Grande" w:cs="Lucida Grande"/>
      <w:sz w:val="18"/>
      <w:szCs w:val="18"/>
      <w:lang w:val="en-US" w:eastAsia="en-GB"/>
    </w:rPr>
  </w:style>
  <w:style w:type="paragraph" w:styleId="Listenabsatz">
    <w:name w:val="List Paragraph"/>
    <w:basedOn w:val="Standard"/>
    <w:uiPriority w:val="34"/>
    <w:qFormat/>
    <w:rsid w:val="0037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8CA26-87E9-4A9C-A048-79DE3248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Betge</dc:creator>
  <cp:lastModifiedBy>Meindl-Beinker, Nadja</cp:lastModifiedBy>
  <cp:revision>5</cp:revision>
  <dcterms:created xsi:type="dcterms:W3CDTF">2018-10-16T08:21:00Z</dcterms:created>
  <dcterms:modified xsi:type="dcterms:W3CDTF">2018-10-16T08:59:00Z</dcterms:modified>
</cp:coreProperties>
</file>