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65E8" w14:textId="5C97A1C3" w:rsidR="00FD4154" w:rsidRPr="00AA7CDB" w:rsidRDefault="008B7E33" w:rsidP="00AA7CDB">
      <w:pPr>
        <w:pStyle w:val="Heading3"/>
        <w:rPr>
          <w:rFonts w:ascii="Arial" w:hAnsi="Arial"/>
          <w:i w:val="0"/>
        </w:rPr>
      </w:pPr>
      <w:r w:rsidRPr="00AA7CDB">
        <w:rPr>
          <w:rFonts w:ascii="Arial" w:hAnsi="Arial"/>
          <w:i w:val="0"/>
        </w:rPr>
        <w:t xml:space="preserve">Supplemental File </w:t>
      </w:r>
      <w:r w:rsidR="00AA7CDB" w:rsidRPr="00AA7CDB">
        <w:rPr>
          <w:rFonts w:ascii="Arial" w:hAnsi="Arial"/>
          <w:i w:val="0"/>
        </w:rPr>
        <w:t>S</w:t>
      </w:r>
      <w:r w:rsidR="00124A57">
        <w:rPr>
          <w:rFonts w:ascii="Arial" w:hAnsi="Arial"/>
          <w:i w:val="0"/>
        </w:rPr>
        <w:t>1</w:t>
      </w:r>
      <w:bookmarkStart w:id="0" w:name="_GoBack"/>
      <w:bookmarkEnd w:id="0"/>
      <w:r w:rsidR="00AA7CDB">
        <w:rPr>
          <w:rFonts w:ascii="Arial" w:hAnsi="Arial"/>
          <w:i w:val="0"/>
        </w:rPr>
        <w:t xml:space="preserve">. </w:t>
      </w:r>
      <w:r w:rsidR="00AA7CDB" w:rsidRPr="00AA7CDB">
        <w:rPr>
          <w:rFonts w:ascii="Arial" w:hAnsi="Arial"/>
          <w:i w:val="0"/>
        </w:rPr>
        <w:t>Predicting WGD-duplicate retention status of individual genes using machine learning</w:t>
      </w:r>
    </w:p>
    <w:p w14:paraId="1D5194C6" w14:textId="462880AC" w:rsidR="00EF3A66" w:rsidRPr="008B7E33" w:rsidRDefault="00EF3A66" w:rsidP="00AA7CDB">
      <w:pPr>
        <w:spacing w:line="240" w:lineRule="auto"/>
        <w:ind w:firstLine="720"/>
        <w:contextualSpacing/>
        <w:rPr>
          <w:color w:val="auto"/>
        </w:rPr>
      </w:pPr>
      <w:r w:rsidRPr="008B7E33">
        <w:rPr>
          <w:color w:val="auto"/>
        </w:rPr>
        <w:t xml:space="preserve">Machine learning models for TFs, kinases, and all genes in the genome were generated to predict whether a gene in a particular group had a retained WGD paralog from either the </w:t>
      </w:r>
      <w:r w:rsidRPr="008B7E33">
        <w:rPr>
          <w:color w:val="auto"/>
        </w:rPr>
        <w:sym w:font="Symbol" w:char="F061"/>
      </w:r>
      <w:r w:rsidRPr="008B7E33">
        <w:rPr>
          <w:color w:val="auto"/>
        </w:rPr>
        <w:t xml:space="preserve">, </w:t>
      </w:r>
      <w:r w:rsidRPr="008B7E33">
        <w:rPr>
          <w:color w:val="auto"/>
        </w:rPr>
        <w:sym w:font="Symbol" w:char="F062"/>
      </w:r>
      <w:r w:rsidRPr="008B7E33">
        <w:rPr>
          <w:color w:val="auto"/>
        </w:rPr>
        <w:t xml:space="preserve">, and </w:t>
      </w:r>
      <w:r w:rsidRPr="008B7E33">
        <w:rPr>
          <w:color w:val="auto"/>
        </w:rPr>
        <w:sym w:font="Symbol" w:char="F067"/>
      </w:r>
      <w:r w:rsidRPr="008B7E33">
        <w:rPr>
          <w:color w:val="auto"/>
        </w:rPr>
        <w:t xml:space="preserve"> event, as small numbers of β and γ made the difficult to correctly c</w:t>
      </w:r>
      <w:r w:rsidR="0075368E">
        <w:rPr>
          <w:color w:val="auto"/>
        </w:rPr>
        <w:t>lassify on their own.</w:t>
      </w:r>
      <w:r w:rsidRPr="008B7E33">
        <w:rPr>
          <w:color w:val="auto"/>
        </w:rPr>
        <w:t xml:space="preserve"> The machine learning was performed using the Random Forest algorithm implement in the R package randomForest (https://cran.r-project.org/web/packages/randomForest/index.html). We filtered the gene level feature set from a previous study </w:t>
      </w:r>
      <w:hyperlink r:id="rId5">
        <w:r w:rsidRPr="008B7E33">
          <w:rPr>
            <w:color w:val="auto"/>
          </w:rPr>
          <w:t>(Lloyd et al. 2015)</w:t>
        </w:r>
      </w:hyperlink>
      <w:r w:rsidRPr="008B7E33">
        <w:rPr>
          <w:color w:val="auto"/>
        </w:rPr>
        <w:t xml:space="preserve"> by removing those with missing values for ≥5% of genes. For the remaining features, missing values were imputed with the rfImpute algorithm in randomForest using 10 iterations of 500 trees. The final matrix of genes and features for TFs, kinases, and the whole genome can be found in Tables S7, S8, and S9, respectively. Using the imputed data set for each group of genes and for each WGD event, we ran the Random Forest algorithm 10 times with 500 trees (each time with 10 fold cross validation) and collected the resulting votes (retained or not) for constructing Receiver Operating Characteristic curves (ROCs). The importance of each individual feature was assessed using Mean Decrease in Accuracy (MDA), the average number of genes misclassified across multiple runs as a result of removing the feature in question. The statistical significance of the difference in values of a feature between WGD-duplicates and WGD-singletons was determined using Welch’s t-test.</w:t>
      </w:r>
    </w:p>
    <w:p w14:paraId="5DC5372F" w14:textId="77777777" w:rsidR="00EF3A66" w:rsidRPr="008B7E33" w:rsidRDefault="00EF3A66" w:rsidP="00AA7CDB">
      <w:pPr>
        <w:spacing w:line="240" w:lineRule="auto"/>
        <w:ind w:firstLine="720"/>
        <w:contextualSpacing/>
        <w:rPr>
          <w:color w:val="auto"/>
        </w:rPr>
      </w:pPr>
      <w:r w:rsidRPr="008B7E33">
        <w:rPr>
          <w:color w:val="auto"/>
        </w:rPr>
        <w:t>To evaluate the performance of our classifiers, we determined receiver operating characteristic curves (ROCs) for each model (Fig 1) and calculated the Area Under Curve (AUC-ROC), a metric that summarizes the ability of the classifier to recover true positive WGD-duplicate genes at different false positive rates. An AUC-ROC of 0.5 indicates that the classifier is no better than randomly labeling genes as having a retained duplicate or not, while an AUC-ROC of 1.0 indicates that the classifier can make predictions without error. Among the classifiers, the one characterizing the full genome performed best (AUC-ROC = 0.86), followed closely by protein kinases (AUC-ROC = 0.82), while the classifier for TFs, while much better than random, did not perform as well (AUC-ROC = 0.74). To investigate the source of the difference, we determined the importance of each feature to the classifier by calculating the Mean Decrease in Accuracy (MDA) which is the average number of genes misclassified across multiple runs as a result of removing a feature (Table 1). Given TFs are the least well predicted, we suspected the informative features for predicting retention in TFs would differ greatly from those for the genome at large and the protein kinases. Contrary to this expectation, the ranking of importance for TF WGD-duplicate prediction was more similar to the ranking of features for the whole genome prediction (Spearman’s rank, ρ = 0.86) than the ranking of features protein kinases to the whole genome prediction (Spearman’s rank, ρ = 0.51). This finding suggests that the feature value distributions of TF WGD-duplicate and WGD-singletons are more similar to the genome at large. Therefore, the reason that TF duplicate prediction model had lower performance was not simply because their feature values were substantially different from other duplicate genes. Instead, the features examined simply have lower importance in general for predicting TF retention (average MDA=11.3) than for other genes (average MDA=47.9), suggesting there are additional features important for TF retention that were not considered. For example, we might expect the number of DNA binding sites to be predictive of duplication status as an indication of the breadth of function of the TF which is related to the probability that a duplicate copy has been retained through subfunctionalization or gene balance.</w:t>
      </w:r>
    </w:p>
    <w:p w14:paraId="71E2FC4F" w14:textId="77777777" w:rsidR="00EF3A66" w:rsidRPr="008B7E33" w:rsidRDefault="00EF3A66" w:rsidP="00AA7CDB">
      <w:pPr>
        <w:spacing w:line="240" w:lineRule="auto"/>
        <w:ind w:firstLine="720"/>
        <w:contextualSpacing/>
        <w:rPr>
          <w:color w:val="auto"/>
        </w:rPr>
      </w:pPr>
      <w:r w:rsidRPr="008B7E33">
        <w:rPr>
          <w:color w:val="auto"/>
        </w:rPr>
        <w:t xml:space="preserve">Furthermore, the most informative feature for classifying kinases and the whole genome, the percent identity to the best matching paralog in A. thaliana, was less important when applied to TFs (Table 3). Although the maximum percent identity of WGD-duplicates compared to WGD-singletons is significantly higher in full genome (p = 1e-320), protein kinases (p = 1.1e-36), and TFs (p = 6.2e-12), the magnitude of the difference was greater for protein kinases (11.2%) and </w:t>
      </w:r>
      <w:r w:rsidRPr="008B7E33">
        <w:rPr>
          <w:color w:val="auto"/>
        </w:rPr>
        <w:lastRenderedPageBreak/>
        <w:t>the whole genome (11.3%) than TFs (4.4%). This is due to WGD duplicate TFs having lower maximum percent identity (71.3%) than either kinases (75.2%, p=4.1e-24, t-test) or all genes (72.5%, p=5.9e-</w:t>
      </w:r>
      <w:proofErr w:type="gramStart"/>
      <w:r w:rsidRPr="008B7E33">
        <w:rPr>
          <w:color w:val="auto"/>
        </w:rPr>
        <w:t>83 ,</w:t>
      </w:r>
      <w:proofErr w:type="gramEnd"/>
      <w:r w:rsidRPr="008B7E33">
        <w:rPr>
          <w:color w:val="auto"/>
        </w:rPr>
        <w:t xml:space="preserve"> t-test), while WGD-singletons TF had higher identity (66.9%) than kinases (64.0%, p=4.2E-35, t-test) and all genes (61.3%, p=1.9e-223, t-test). This observation may related to non-duplicate TF genes having apparent paralogs more often than non-duplicate genes do on average across the A. thaliana genome (Fig S2). The variance in the importance of maximum percent identity accounts for most of the performance difference across the classifiers as removing this feature yields similar results from all three (Fig S3). Similarly, inflating the difference in the percent identity of TF WGD-duplicates and WGD-singletons from 4.4% to 11.2% (the difference for protein kinases) would raise the predicted retention of TF from the γ WGD from 2.50 to 2.94, making up for more than half of the original error.</w:t>
      </w:r>
    </w:p>
    <w:p w14:paraId="2BF654AB" w14:textId="77777777" w:rsidR="00EF3A66" w:rsidRPr="008B7E33" w:rsidRDefault="00EF3A66" w:rsidP="00AA7CDB">
      <w:pPr>
        <w:spacing w:line="240" w:lineRule="auto"/>
        <w:ind w:firstLine="720"/>
        <w:contextualSpacing/>
        <w:rPr>
          <w:color w:val="auto"/>
        </w:rPr>
      </w:pPr>
      <w:r w:rsidRPr="008B7E33">
        <w:rPr>
          <w:color w:val="auto"/>
        </w:rPr>
        <w:t>We would expect that other features used in our linear models would also be useful for classifying genes within function groups. However, the average importance rank of features found in more than one linear model was low (13.9 of 20), with the maximum expression value in RNA-seq being the worst feature in both the whole genome and TF classifiers. Of the four linear model features, mean expression in AtGenExpress had the highest rank in the whole genome (12th), TF (7th), and kinase classifiers (5th). However, the difference in mean expression between WGD-duplicates and WGD-singletons was not consistent: WGD duplicates genes were more highly expressed across the whole genome (+0.32, p=4.0e-23), and TFs (+0.37, p=1.0e-4), but in protein kinases WGD-singletons were more highly expressed, though not at a significant level (-1.1, p=0.77). Hence, not only does relationship between gene features and retention depend on the gene function, but the relationship within individual function groups can be the opposite direction of the relationship across function groups. For example, the high retention of the TF function group is in part due to relatively low average expression in AtGenExpress, but within TFs, genes with higher average expression are more often WGD duplicates. This suggests that selection for duplicate retention is dependent not only on function and features, but their interaction as well, though the exact nature of these interactions is beyond the scope of this study.</w:t>
      </w:r>
    </w:p>
    <w:p w14:paraId="241AE23D" w14:textId="77777777" w:rsidR="008B7E33" w:rsidRPr="008B7E33" w:rsidRDefault="008B7E33" w:rsidP="00AA7CDB">
      <w:pPr>
        <w:spacing w:line="240" w:lineRule="auto"/>
        <w:ind w:firstLine="720"/>
        <w:contextualSpacing/>
        <w:jc w:val="center"/>
        <w:rPr>
          <w:color w:val="auto"/>
        </w:rPr>
      </w:pPr>
      <w:r w:rsidRPr="008B7E33">
        <w:rPr>
          <w:noProof/>
          <w:color w:val="auto"/>
        </w:rPr>
        <w:lastRenderedPageBreak/>
        <w:drawing>
          <wp:inline distT="0" distB="0" distL="0" distR="0" wp14:anchorId="78DAF7B7" wp14:editId="035E2597">
            <wp:extent cx="5702300" cy="6659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0" cy="6659880"/>
                    </a:xfrm>
                    <a:prstGeom prst="rect">
                      <a:avLst/>
                    </a:prstGeom>
                    <a:noFill/>
                    <a:ln>
                      <a:noFill/>
                    </a:ln>
                  </pic:spPr>
                </pic:pic>
              </a:graphicData>
            </a:graphic>
          </wp:inline>
        </w:drawing>
      </w:r>
    </w:p>
    <w:p w14:paraId="366607E4" w14:textId="77777777" w:rsidR="00EF3A66" w:rsidRPr="008B7E33" w:rsidRDefault="00EF3A66" w:rsidP="00AA7CDB">
      <w:pPr>
        <w:spacing w:line="240" w:lineRule="auto"/>
        <w:contextualSpacing/>
        <w:rPr>
          <w:b/>
          <w:color w:val="auto"/>
        </w:rPr>
      </w:pPr>
    </w:p>
    <w:p w14:paraId="0349857B" w14:textId="77777777" w:rsidR="00EF3A66" w:rsidRPr="008B7E33" w:rsidRDefault="00EF3A66" w:rsidP="00AA7CDB">
      <w:pPr>
        <w:spacing w:line="240" w:lineRule="auto"/>
        <w:contextualSpacing/>
        <w:rPr>
          <w:b/>
          <w:color w:val="auto"/>
        </w:rPr>
      </w:pPr>
    </w:p>
    <w:p w14:paraId="36927662" w14:textId="77777777" w:rsidR="00EF3A66" w:rsidRPr="008B7E33" w:rsidRDefault="00EF3A66" w:rsidP="00AA7CDB">
      <w:pPr>
        <w:spacing w:line="240" w:lineRule="auto"/>
        <w:contextualSpacing/>
        <w:rPr>
          <w:b/>
          <w:color w:val="auto"/>
        </w:rPr>
      </w:pPr>
    </w:p>
    <w:p w14:paraId="2BD45802" w14:textId="77777777" w:rsidR="00EF3A66" w:rsidRPr="008B7E33" w:rsidRDefault="00EF3A66" w:rsidP="00AA7CDB">
      <w:pPr>
        <w:spacing w:line="240" w:lineRule="auto"/>
        <w:contextualSpacing/>
        <w:rPr>
          <w:b/>
          <w:color w:val="auto"/>
        </w:rPr>
      </w:pPr>
    </w:p>
    <w:p w14:paraId="0C411D5F" w14:textId="77777777" w:rsidR="00EF3A66" w:rsidRPr="008B7E33" w:rsidRDefault="00EF3A66" w:rsidP="00AA7CDB">
      <w:pPr>
        <w:spacing w:line="240" w:lineRule="auto"/>
        <w:contextualSpacing/>
        <w:rPr>
          <w:b/>
          <w:color w:val="auto"/>
        </w:rPr>
      </w:pPr>
    </w:p>
    <w:p w14:paraId="3910746B" w14:textId="77777777" w:rsidR="00EF3A66" w:rsidRPr="008B7E33" w:rsidRDefault="00EF3A66" w:rsidP="00AA7CDB">
      <w:pPr>
        <w:spacing w:line="240" w:lineRule="auto"/>
        <w:contextualSpacing/>
        <w:rPr>
          <w:b/>
          <w:color w:val="auto"/>
        </w:rPr>
      </w:pPr>
    </w:p>
    <w:p w14:paraId="474EFB79" w14:textId="77777777" w:rsidR="00EF3A66" w:rsidRPr="008B7E33" w:rsidRDefault="00EF3A66" w:rsidP="00AA7CDB">
      <w:pPr>
        <w:spacing w:line="240" w:lineRule="auto"/>
        <w:contextualSpacing/>
        <w:rPr>
          <w:b/>
          <w:color w:val="auto"/>
        </w:rPr>
      </w:pPr>
    </w:p>
    <w:p w14:paraId="3C121930" w14:textId="77777777" w:rsidR="00EF3A66" w:rsidRPr="008B7E33" w:rsidRDefault="00EF3A66" w:rsidP="00AA7CDB">
      <w:pPr>
        <w:spacing w:line="240" w:lineRule="auto"/>
        <w:contextualSpacing/>
        <w:rPr>
          <w:b/>
          <w:color w:val="auto"/>
        </w:rPr>
      </w:pPr>
    </w:p>
    <w:p w14:paraId="1D5D242D" w14:textId="77777777" w:rsidR="00EF3A66" w:rsidRPr="008B7E33" w:rsidRDefault="00EF3A66" w:rsidP="00AA7CDB">
      <w:pPr>
        <w:spacing w:line="240" w:lineRule="auto"/>
        <w:contextualSpacing/>
        <w:rPr>
          <w:b/>
          <w:color w:val="auto"/>
        </w:rPr>
      </w:pPr>
    </w:p>
    <w:p w14:paraId="19418EBE" w14:textId="77777777" w:rsidR="00EF3A66" w:rsidRPr="008B7E33" w:rsidRDefault="00EF3A66" w:rsidP="00AA7CDB">
      <w:pPr>
        <w:spacing w:line="240" w:lineRule="auto"/>
        <w:contextualSpacing/>
        <w:rPr>
          <w:b/>
          <w:color w:val="auto"/>
        </w:rPr>
      </w:pPr>
    </w:p>
    <w:p w14:paraId="030DD1F0" w14:textId="77777777" w:rsidR="00EF3A66" w:rsidRPr="008B7E33" w:rsidRDefault="00EF3A66" w:rsidP="00AA7CDB">
      <w:pPr>
        <w:spacing w:line="240" w:lineRule="auto"/>
        <w:contextualSpacing/>
        <w:rPr>
          <w:b/>
          <w:color w:val="auto"/>
        </w:rPr>
      </w:pPr>
    </w:p>
    <w:p w14:paraId="443B9F88" w14:textId="77777777" w:rsidR="00EF3A66" w:rsidRPr="008B7E33" w:rsidRDefault="00EF3A66" w:rsidP="00AA7CDB">
      <w:pPr>
        <w:spacing w:line="240" w:lineRule="auto"/>
        <w:contextualSpacing/>
        <w:rPr>
          <w:b/>
          <w:color w:val="auto"/>
        </w:rPr>
      </w:pPr>
    </w:p>
    <w:p w14:paraId="3E63F8DA" w14:textId="77777777" w:rsidR="00EF3A66" w:rsidRPr="008B7E33" w:rsidRDefault="00EF3A66" w:rsidP="00AA7CDB">
      <w:pPr>
        <w:spacing w:line="240" w:lineRule="auto"/>
        <w:contextualSpacing/>
        <w:rPr>
          <w:b/>
          <w:color w:val="auto"/>
        </w:rPr>
      </w:pPr>
    </w:p>
    <w:p w14:paraId="1C4EA8E0" w14:textId="77777777" w:rsidR="00EF3A66" w:rsidRPr="008B7E33" w:rsidRDefault="00EF3A66" w:rsidP="00AA7CDB">
      <w:pPr>
        <w:spacing w:line="240" w:lineRule="auto"/>
        <w:contextualSpacing/>
        <w:rPr>
          <w:b/>
          <w:color w:val="auto"/>
        </w:rPr>
      </w:pPr>
    </w:p>
    <w:p w14:paraId="10B15F83" w14:textId="77777777" w:rsidR="00EF3A66" w:rsidRPr="008B7E33" w:rsidRDefault="00EF3A66" w:rsidP="00AA7CDB">
      <w:pPr>
        <w:spacing w:line="240" w:lineRule="auto"/>
        <w:contextualSpacing/>
        <w:rPr>
          <w:b/>
          <w:color w:val="auto"/>
        </w:rPr>
      </w:pPr>
    </w:p>
    <w:p w14:paraId="7FA9D8A9" w14:textId="77777777" w:rsidR="00EF3A66" w:rsidRPr="008B7E33" w:rsidRDefault="00EF3A66" w:rsidP="00AA7CDB">
      <w:pPr>
        <w:spacing w:line="240" w:lineRule="auto"/>
        <w:contextualSpacing/>
        <w:rPr>
          <w:b/>
          <w:color w:val="auto"/>
        </w:rPr>
      </w:pPr>
    </w:p>
    <w:p w14:paraId="31E9D4D0" w14:textId="77777777" w:rsidR="00EF3A66" w:rsidRPr="008B7E33" w:rsidRDefault="00EF3A66" w:rsidP="00AA7CDB">
      <w:pPr>
        <w:spacing w:line="240" w:lineRule="auto"/>
        <w:contextualSpacing/>
        <w:rPr>
          <w:b/>
          <w:color w:val="auto"/>
        </w:rPr>
      </w:pPr>
    </w:p>
    <w:p w14:paraId="72960E7E" w14:textId="77777777" w:rsidR="00EF3A66" w:rsidRPr="008B7E33" w:rsidRDefault="00EF3A66" w:rsidP="00AA7CDB">
      <w:pPr>
        <w:spacing w:line="240" w:lineRule="auto"/>
        <w:contextualSpacing/>
        <w:rPr>
          <w:b/>
          <w:color w:val="auto"/>
        </w:rPr>
      </w:pPr>
    </w:p>
    <w:p w14:paraId="01B6FD4D" w14:textId="77777777" w:rsidR="00EF3A66" w:rsidRPr="008B7E33" w:rsidRDefault="00EF3A66" w:rsidP="00AA7CDB">
      <w:pPr>
        <w:spacing w:line="240" w:lineRule="auto"/>
        <w:contextualSpacing/>
        <w:rPr>
          <w:b/>
          <w:color w:val="auto"/>
        </w:rPr>
      </w:pPr>
    </w:p>
    <w:p w14:paraId="64201A75" w14:textId="77777777" w:rsidR="00EF3A66" w:rsidRPr="008B7E33" w:rsidRDefault="00EF3A66" w:rsidP="00AA7CDB">
      <w:pPr>
        <w:spacing w:line="240" w:lineRule="auto"/>
        <w:contextualSpacing/>
        <w:rPr>
          <w:b/>
          <w:color w:val="auto"/>
        </w:rPr>
      </w:pPr>
    </w:p>
    <w:p w14:paraId="3EA3F025" w14:textId="77777777" w:rsidR="00EF3A66" w:rsidRPr="008B7E33" w:rsidRDefault="00EF3A66" w:rsidP="00AA7CDB">
      <w:pPr>
        <w:spacing w:line="240" w:lineRule="auto"/>
        <w:contextualSpacing/>
        <w:rPr>
          <w:b/>
          <w:color w:val="auto"/>
        </w:rPr>
      </w:pPr>
    </w:p>
    <w:p w14:paraId="32408CAA" w14:textId="77777777" w:rsidR="00EF3A66" w:rsidRPr="008B7E33" w:rsidRDefault="00EF3A66" w:rsidP="00AA7CDB">
      <w:pPr>
        <w:spacing w:line="240" w:lineRule="auto"/>
        <w:contextualSpacing/>
        <w:rPr>
          <w:b/>
          <w:color w:val="auto"/>
        </w:rPr>
      </w:pPr>
    </w:p>
    <w:p w14:paraId="71612BB3" w14:textId="77777777" w:rsidR="00EF3A66" w:rsidRPr="008B7E33" w:rsidRDefault="00EF3A66" w:rsidP="00AA7CDB">
      <w:pPr>
        <w:spacing w:line="240" w:lineRule="auto"/>
        <w:contextualSpacing/>
        <w:rPr>
          <w:b/>
          <w:color w:val="auto"/>
        </w:rPr>
      </w:pPr>
    </w:p>
    <w:p w14:paraId="37D658FB" w14:textId="77777777" w:rsidR="00EF3A66" w:rsidRPr="008B7E33" w:rsidRDefault="00EF3A66" w:rsidP="00AA7CDB">
      <w:pPr>
        <w:spacing w:line="240" w:lineRule="auto"/>
        <w:contextualSpacing/>
        <w:rPr>
          <w:b/>
          <w:color w:val="auto"/>
        </w:rPr>
      </w:pPr>
    </w:p>
    <w:p w14:paraId="35205ED7" w14:textId="77777777" w:rsidR="00EF3A66" w:rsidRPr="008B7E33" w:rsidRDefault="00EF3A66" w:rsidP="00AA7CDB">
      <w:pPr>
        <w:spacing w:line="240" w:lineRule="auto"/>
        <w:contextualSpacing/>
        <w:rPr>
          <w:b/>
          <w:color w:val="auto"/>
        </w:rPr>
      </w:pPr>
    </w:p>
    <w:p w14:paraId="35E326C9" w14:textId="77777777" w:rsidR="00EF3A66" w:rsidRPr="008B7E33" w:rsidRDefault="00EF3A66" w:rsidP="00AA7CDB">
      <w:pPr>
        <w:spacing w:line="240" w:lineRule="auto"/>
        <w:contextualSpacing/>
        <w:rPr>
          <w:b/>
          <w:color w:val="auto"/>
        </w:rPr>
      </w:pPr>
    </w:p>
    <w:p w14:paraId="6653CE33" w14:textId="77777777" w:rsidR="00EF3A66" w:rsidRPr="008B7E33" w:rsidRDefault="00EF3A66" w:rsidP="00AA7CDB">
      <w:pPr>
        <w:spacing w:line="240" w:lineRule="auto"/>
        <w:contextualSpacing/>
        <w:rPr>
          <w:b/>
          <w:color w:val="auto"/>
        </w:rPr>
      </w:pPr>
    </w:p>
    <w:p w14:paraId="381A6AEC" w14:textId="77777777" w:rsidR="00EF3A66" w:rsidRPr="008B7E33" w:rsidRDefault="00EF3A66" w:rsidP="00AA7CDB">
      <w:pPr>
        <w:spacing w:line="240" w:lineRule="auto"/>
        <w:contextualSpacing/>
        <w:rPr>
          <w:b/>
          <w:color w:val="auto"/>
        </w:rPr>
      </w:pPr>
    </w:p>
    <w:p w14:paraId="6884A4E4" w14:textId="77777777" w:rsidR="00EF3A66" w:rsidRPr="008B7E33" w:rsidRDefault="00EF3A66" w:rsidP="00AA7CDB">
      <w:pPr>
        <w:spacing w:line="240" w:lineRule="auto"/>
        <w:contextualSpacing/>
        <w:rPr>
          <w:b/>
          <w:color w:val="auto"/>
        </w:rPr>
      </w:pPr>
    </w:p>
    <w:p w14:paraId="43B6B1C5" w14:textId="77777777" w:rsidR="00EF3A66" w:rsidRPr="008B7E33" w:rsidRDefault="00EF3A66" w:rsidP="00AA7CDB">
      <w:pPr>
        <w:spacing w:line="240" w:lineRule="auto"/>
        <w:contextualSpacing/>
        <w:rPr>
          <w:b/>
          <w:color w:val="auto"/>
        </w:rPr>
      </w:pPr>
    </w:p>
    <w:p w14:paraId="52CE9E78" w14:textId="77777777" w:rsidR="00EF3A66" w:rsidRPr="008B7E33" w:rsidRDefault="00EF3A66" w:rsidP="00AA7CDB">
      <w:pPr>
        <w:spacing w:line="240" w:lineRule="auto"/>
        <w:contextualSpacing/>
        <w:rPr>
          <w:b/>
          <w:color w:val="auto"/>
        </w:rPr>
      </w:pPr>
    </w:p>
    <w:p w14:paraId="5BA23B82" w14:textId="77777777" w:rsidR="00EF3A66" w:rsidRPr="008B7E33" w:rsidRDefault="00EF3A66" w:rsidP="00AA7CDB">
      <w:pPr>
        <w:spacing w:line="240" w:lineRule="auto"/>
        <w:contextualSpacing/>
        <w:rPr>
          <w:color w:val="auto"/>
        </w:rPr>
      </w:pPr>
      <w:r w:rsidRPr="008B7E33">
        <w:rPr>
          <w:b/>
          <w:color w:val="auto"/>
        </w:rPr>
        <w:t>Table 1</w:t>
      </w:r>
      <w:r w:rsidRPr="008B7E33">
        <w:rPr>
          <w:color w:val="auto"/>
        </w:rPr>
        <w:t>. The importance (rank) of all features used in the classification of individual duplicate genes</w:t>
      </w:r>
    </w:p>
    <w:tbl>
      <w:tblPr>
        <w:tblStyle w:val="TableGrid"/>
        <w:tblW w:w="0" w:type="auto"/>
        <w:tblInd w:w="108" w:type="dxa"/>
        <w:tblLook w:val="04A0" w:firstRow="1" w:lastRow="0" w:firstColumn="1" w:lastColumn="0" w:noHBand="0" w:noVBand="1"/>
      </w:tblPr>
      <w:tblGrid>
        <w:gridCol w:w="4320"/>
        <w:gridCol w:w="1440"/>
        <w:gridCol w:w="1440"/>
        <w:gridCol w:w="1440"/>
      </w:tblGrid>
      <w:tr w:rsidR="00EF3A66" w:rsidRPr="008B7E33" w14:paraId="0F9A7554" w14:textId="77777777" w:rsidTr="001F6F84">
        <w:tc>
          <w:tcPr>
            <w:tcW w:w="4320" w:type="dxa"/>
          </w:tcPr>
          <w:p w14:paraId="79D1C2DD" w14:textId="77777777" w:rsidR="00EF3A66" w:rsidRPr="008B7E33" w:rsidRDefault="00EF3A66" w:rsidP="00AA7CDB">
            <w:pPr>
              <w:contextualSpacing/>
              <w:rPr>
                <w:b/>
              </w:rPr>
            </w:pPr>
            <w:r w:rsidRPr="008B7E33">
              <w:rPr>
                <w:b/>
              </w:rPr>
              <w:t>Feature</w:t>
            </w:r>
          </w:p>
        </w:tc>
        <w:tc>
          <w:tcPr>
            <w:tcW w:w="1440" w:type="dxa"/>
          </w:tcPr>
          <w:p w14:paraId="7F2D93EA" w14:textId="77777777" w:rsidR="00EF3A66" w:rsidRPr="008B7E33" w:rsidRDefault="00EF3A66" w:rsidP="00AA7CDB">
            <w:pPr>
              <w:contextualSpacing/>
              <w:jc w:val="center"/>
              <w:rPr>
                <w:b/>
                <w:vertAlign w:val="superscript"/>
              </w:rPr>
            </w:pPr>
            <w:r w:rsidRPr="008B7E33">
              <w:rPr>
                <w:b/>
              </w:rPr>
              <w:t>Genome</w:t>
            </w:r>
            <w:r w:rsidRPr="008B7E33">
              <w:rPr>
                <w:b/>
                <w:vertAlign w:val="superscript"/>
              </w:rPr>
              <w:t>1</w:t>
            </w:r>
          </w:p>
        </w:tc>
        <w:tc>
          <w:tcPr>
            <w:tcW w:w="1440" w:type="dxa"/>
          </w:tcPr>
          <w:p w14:paraId="12906D20" w14:textId="77777777" w:rsidR="00EF3A66" w:rsidRPr="008B7E33" w:rsidRDefault="00EF3A66" w:rsidP="00AA7CDB">
            <w:pPr>
              <w:contextualSpacing/>
              <w:jc w:val="center"/>
              <w:rPr>
                <w:b/>
                <w:vertAlign w:val="superscript"/>
              </w:rPr>
            </w:pPr>
            <w:r w:rsidRPr="008B7E33">
              <w:rPr>
                <w:b/>
              </w:rPr>
              <w:t>Kinases</w:t>
            </w:r>
            <w:r w:rsidRPr="008B7E33">
              <w:rPr>
                <w:b/>
                <w:vertAlign w:val="superscript"/>
              </w:rPr>
              <w:t>1</w:t>
            </w:r>
          </w:p>
        </w:tc>
        <w:tc>
          <w:tcPr>
            <w:tcW w:w="1440" w:type="dxa"/>
          </w:tcPr>
          <w:p w14:paraId="49B71481" w14:textId="77777777" w:rsidR="00EF3A66" w:rsidRPr="008B7E33" w:rsidRDefault="00EF3A66" w:rsidP="00AA7CDB">
            <w:pPr>
              <w:contextualSpacing/>
              <w:jc w:val="center"/>
              <w:rPr>
                <w:b/>
                <w:vertAlign w:val="superscript"/>
              </w:rPr>
            </w:pPr>
            <w:r w:rsidRPr="008B7E33">
              <w:rPr>
                <w:b/>
              </w:rPr>
              <w:t>TFs</w:t>
            </w:r>
            <w:r w:rsidRPr="008B7E33">
              <w:rPr>
                <w:b/>
                <w:vertAlign w:val="superscript"/>
              </w:rPr>
              <w:t>1</w:t>
            </w:r>
          </w:p>
        </w:tc>
      </w:tr>
      <w:tr w:rsidR="00EF3A66" w:rsidRPr="008B7E33" w14:paraId="4BE77B5F" w14:textId="77777777" w:rsidTr="001F6F84">
        <w:tc>
          <w:tcPr>
            <w:tcW w:w="4320" w:type="dxa"/>
            <w:vAlign w:val="bottom"/>
          </w:tcPr>
          <w:p w14:paraId="3393D08A" w14:textId="77777777" w:rsidR="00EF3A66" w:rsidRPr="008B7E33" w:rsidRDefault="00EF3A66" w:rsidP="00AA7CDB">
            <w:pPr>
              <w:contextualSpacing/>
            </w:pPr>
            <w:r w:rsidRPr="008B7E33">
              <w:t>Maximum Percent Identity (Paralog)</w:t>
            </w:r>
          </w:p>
        </w:tc>
        <w:tc>
          <w:tcPr>
            <w:tcW w:w="1440" w:type="dxa"/>
            <w:vAlign w:val="center"/>
          </w:tcPr>
          <w:p w14:paraId="48B3FA60" w14:textId="77777777" w:rsidR="00EF3A66" w:rsidRPr="008B7E33" w:rsidRDefault="00EF3A66" w:rsidP="00AA7CDB">
            <w:pPr>
              <w:contextualSpacing/>
              <w:jc w:val="center"/>
            </w:pPr>
            <w:r w:rsidRPr="008B7E33">
              <w:t>171.6 (1)</w:t>
            </w:r>
          </w:p>
        </w:tc>
        <w:tc>
          <w:tcPr>
            <w:tcW w:w="1440" w:type="dxa"/>
            <w:vAlign w:val="center"/>
          </w:tcPr>
          <w:p w14:paraId="3B991037" w14:textId="77777777" w:rsidR="00EF3A66" w:rsidRPr="008B7E33" w:rsidRDefault="00EF3A66" w:rsidP="00AA7CDB">
            <w:pPr>
              <w:contextualSpacing/>
              <w:jc w:val="center"/>
            </w:pPr>
            <w:r w:rsidRPr="008B7E33">
              <w:t>57.9 (1)</w:t>
            </w:r>
          </w:p>
        </w:tc>
        <w:tc>
          <w:tcPr>
            <w:tcW w:w="1440" w:type="dxa"/>
            <w:vAlign w:val="center"/>
          </w:tcPr>
          <w:p w14:paraId="7A0FD190" w14:textId="77777777" w:rsidR="00EF3A66" w:rsidRPr="008B7E33" w:rsidRDefault="00EF3A66" w:rsidP="00AA7CDB">
            <w:pPr>
              <w:contextualSpacing/>
              <w:jc w:val="center"/>
            </w:pPr>
            <w:r w:rsidRPr="008B7E33">
              <w:t>29.4 (2)</w:t>
            </w:r>
          </w:p>
        </w:tc>
      </w:tr>
      <w:tr w:rsidR="00EF3A66" w:rsidRPr="008B7E33" w14:paraId="07633567" w14:textId="77777777" w:rsidTr="001F6F84">
        <w:tc>
          <w:tcPr>
            <w:tcW w:w="4320" w:type="dxa"/>
            <w:vAlign w:val="bottom"/>
          </w:tcPr>
          <w:p w14:paraId="0A74C14F" w14:textId="77777777" w:rsidR="00EF3A66" w:rsidRPr="008B7E33" w:rsidRDefault="00EF3A66" w:rsidP="00AA7CDB">
            <w:pPr>
              <w:contextualSpacing/>
            </w:pPr>
            <w:r w:rsidRPr="008B7E33">
              <w:t>Sequence Conservation (</w:t>
            </w:r>
            <w:proofErr w:type="spellStart"/>
            <w:r w:rsidRPr="008B7E33">
              <w:t>Viridiplantae</w:t>
            </w:r>
            <w:proofErr w:type="spellEnd"/>
            <w:r w:rsidRPr="008B7E33">
              <w:t>)</w:t>
            </w:r>
          </w:p>
        </w:tc>
        <w:tc>
          <w:tcPr>
            <w:tcW w:w="1440" w:type="dxa"/>
            <w:vAlign w:val="center"/>
          </w:tcPr>
          <w:p w14:paraId="3C28A65A" w14:textId="77777777" w:rsidR="00EF3A66" w:rsidRPr="008B7E33" w:rsidRDefault="00EF3A66" w:rsidP="00AA7CDB">
            <w:pPr>
              <w:contextualSpacing/>
              <w:jc w:val="center"/>
            </w:pPr>
            <w:r w:rsidRPr="008B7E33">
              <w:t>109.3 (2)</w:t>
            </w:r>
          </w:p>
        </w:tc>
        <w:tc>
          <w:tcPr>
            <w:tcW w:w="1440" w:type="dxa"/>
            <w:vAlign w:val="center"/>
          </w:tcPr>
          <w:p w14:paraId="7E829C70" w14:textId="77777777" w:rsidR="00EF3A66" w:rsidRPr="008B7E33" w:rsidRDefault="00EF3A66" w:rsidP="00AA7CDB">
            <w:pPr>
              <w:contextualSpacing/>
              <w:jc w:val="center"/>
            </w:pPr>
            <w:r w:rsidRPr="008B7E33">
              <w:t>27.2 (2)</w:t>
            </w:r>
          </w:p>
        </w:tc>
        <w:tc>
          <w:tcPr>
            <w:tcW w:w="1440" w:type="dxa"/>
            <w:vAlign w:val="center"/>
          </w:tcPr>
          <w:p w14:paraId="73B87B68" w14:textId="77777777" w:rsidR="00EF3A66" w:rsidRPr="008B7E33" w:rsidRDefault="00EF3A66" w:rsidP="00AA7CDB">
            <w:pPr>
              <w:contextualSpacing/>
              <w:jc w:val="center"/>
            </w:pPr>
            <w:r w:rsidRPr="008B7E33">
              <w:t>31.8 (1)</w:t>
            </w:r>
          </w:p>
        </w:tc>
      </w:tr>
      <w:tr w:rsidR="00EF3A66" w:rsidRPr="008B7E33" w14:paraId="2DBE5D22" w14:textId="77777777" w:rsidTr="001F6F84">
        <w:tc>
          <w:tcPr>
            <w:tcW w:w="4320" w:type="dxa"/>
            <w:vAlign w:val="bottom"/>
          </w:tcPr>
          <w:p w14:paraId="04046433" w14:textId="77777777" w:rsidR="00EF3A66" w:rsidRPr="008B7E33" w:rsidRDefault="00EF3A66" w:rsidP="00AA7CDB">
            <w:pPr>
              <w:contextualSpacing/>
            </w:pPr>
            <w:r w:rsidRPr="008B7E33">
              <w:t>Gene Family Size (</w:t>
            </w:r>
            <w:proofErr w:type="spellStart"/>
            <w:r w:rsidRPr="008B7E33">
              <w:t>OrthoMCL</w:t>
            </w:r>
            <w:proofErr w:type="spellEnd"/>
            <w:r w:rsidRPr="008B7E33">
              <w:t>)</w:t>
            </w:r>
          </w:p>
        </w:tc>
        <w:tc>
          <w:tcPr>
            <w:tcW w:w="1440" w:type="dxa"/>
            <w:vAlign w:val="center"/>
          </w:tcPr>
          <w:p w14:paraId="37849959" w14:textId="77777777" w:rsidR="00EF3A66" w:rsidRPr="008B7E33" w:rsidRDefault="00EF3A66" w:rsidP="00AA7CDB">
            <w:pPr>
              <w:contextualSpacing/>
              <w:jc w:val="center"/>
            </w:pPr>
            <w:r w:rsidRPr="008B7E33">
              <w:t>81.6 (3)</w:t>
            </w:r>
          </w:p>
        </w:tc>
        <w:tc>
          <w:tcPr>
            <w:tcW w:w="1440" w:type="dxa"/>
            <w:vAlign w:val="center"/>
          </w:tcPr>
          <w:p w14:paraId="74FBB43C" w14:textId="77777777" w:rsidR="00EF3A66" w:rsidRPr="008B7E33" w:rsidRDefault="00EF3A66" w:rsidP="00AA7CDB">
            <w:pPr>
              <w:contextualSpacing/>
              <w:jc w:val="center"/>
            </w:pPr>
            <w:r w:rsidRPr="008B7E33">
              <w:t>2.0 (19)</w:t>
            </w:r>
          </w:p>
        </w:tc>
        <w:tc>
          <w:tcPr>
            <w:tcW w:w="1440" w:type="dxa"/>
            <w:vAlign w:val="center"/>
          </w:tcPr>
          <w:p w14:paraId="773E57E1" w14:textId="77777777" w:rsidR="00EF3A66" w:rsidRPr="008B7E33" w:rsidRDefault="00EF3A66" w:rsidP="00AA7CDB">
            <w:pPr>
              <w:contextualSpacing/>
              <w:jc w:val="center"/>
            </w:pPr>
            <w:r w:rsidRPr="008B7E33">
              <w:t>27.7 (3)</w:t>
            </w:r>
          </w:p>
        </w:tc>
      </w:tr>
      <w:tr w:rsidR="00EF3A66" w:rsidRPr="008B7E33" w14:paraId="65C9D06A" w14:textId="77777777" w:rsidTr="001F6F84">
        <w:tc>
          <w:tcPr>
            <w:tcW w:w="4320" w:type="dxa"/>
            <w:vAlign w:val="bottom"/>
          </w:tcPr>
          <w:p w14:paraId="7B07A7B5" w14:textId="77777777" w:rsidR="00EF3A66" w:rsidRPr="008B7E33" w:rsidRDefault="00EF3A66" w:rsidP="00AA7CDB">
            <w:pPr>
              <w:contextualSpacing/>
            </w:pPr>
            <w:r w:rsidRPr="008B7E33">
              <w:t>Protein Length (in Amino Acids)</w:t>
            </w:r>
          </w:p>
        </w:tc>
        <w:tc>
          <w:tcPr>
            <w:tcW w:w="1440" w:type="dxa"/>
            <w:vAlign w:val="center"/>
          </w:tcPr>
          <w:p w14:paraId="6FB9BA18" w14:textId="77777777" w:rsidR="00EF3A66" w:rsidRPr="008B7E33" w:rsidRDefault="00EF3A66" w:rsidP="00AA7CDB">
            <w:pPr>
              <w:contextualSpacing/>
              <w:jc w:val="center"/>
            </w:pPr>
            <w:r w:rsidRPr="008B7E33">
              <w:t>52.5 (4)</w:t>
            </w:r>
          </w:p>
        </w:tc>
        <w:tc>
          <w:tcPr>
            <w:tcW w:w="1440" w:type="dxa"/>
            <w:vAlign w:val="center"/>
          </w:tcPr>
          <w:p w14:paraId="432527ED" w14:textId="77777777" w:rsidR="00EF3A66" w:rsidRPr="008B7E33" w:rsidRDefault="00EF3A66" w:rsidP="00AA7CDB">
            <w:pPr>
              <w:contextualSpacing/>
              <w:jc w:val="center"/>
            </w:pPr>
            <w:r w:rsidRPr="008B7E33">
              <w:t>14.2 (3)</w:t>
            </w:r>
          </w:p>
        </w:tc>
        <w:tc>
          <w:tcPr>
            <w:tcW w:w="1440" w:type="dxa"/>
            <w:vAlign w:val="center"/>
          </w:tcPr>
          <w:p w14:paraId="037976A8" w14:textId="77777777" w:rsidR="00EF3A66" w:rsidRPr="008B7E33" w:rsidRDefault="00EF3A66" w:rsidP="00AA7CDB">
            <w:pPr>
              <w:contextualSpacing/>
              <w:jc w:val="center"/>
            </w:pPr>
            <w:r w:rsidRPr="008B7E33">
              <w:t>10.5 (11)</w:t>
            </w:r>
          </w:p>
        </w:tc>
      </w:tr>
      <w:tr w:rsidR="00EF3A66" w:rsidRPr="008B7E33" w14:paraId="56DD41FF" w14:textId="77777777" w:rsidTr="001F6F84">
        <w:tc>
          <w:tcPr>
            <w:tcW w:w="4320" w:type="dxa"/>
            <w:vAlign w:val="bottom"/>
          </w:tcPr>
          <w:p w14:paraId="0A4D53FE" w14:textId="77777777" w:rsidR="00EF3A66" w:rsidRPr="008B7E33" w:rsidRDefault="00EF3A66" w:rsidP="00AA7CDB">
            <w:pPr>
              <w:contextualSpacing/>
            </w:pPr>
            <w:r w:rsidRPr="008B7E33">
              <w:t>Expression Breadth (</w:t>
            </w:r>
            <w:proofErr w:type="spellStart"/>
            <w:r w:rsidRPr="008B7E33">
              <w:t>AtGenExpression</w:t>
            </w:r>
            <w:proofErr w:type="spellEnd"/>
            <w:r w:rsidRPr="008B7E33">
              <w:t>)</w:t>
            </w:r>
          </w:p>
        </w:tc>
        <w:tc>
          <w:tcPr>
            <w:tcW w:w="1440" w:type="dxa"/>
            <w:vAlign w:val="center"/>
          </w:tcPr>
          <w:p w14:paraId="539BF6D0" w14:textId="77777777" w:rsidR="00EF3A66" w:rsidRPr="008B7E33" w:rsidRDefault="00EF3A66" w:rsidP="00AA7CDB">
            <w:pPr>
              <w:contextualSpacing/>
              <w:jc w:val="center"/>
            </w:pPr>
            <w:r w:rsidRPr="008B7E33">
              <w:t>46.2 (5)</w:t>
            </w:r>
          </w:p>
        </w:tc>
        <w:tc>
          <w:tcPr>
            <w:tcW w:w="1440" w:type="dxa"/>
            <w:vAlign w:val="center"/>
          </w:tcPr>
          <w:p w14:paraId="2158649A" w14:textId="77777777" w:rsidR="00EF3A66" w:rsidRPr="008B7E33" w:rsidRDefault="00EF3A66" w:rsidP="00AA7CDB">
            <w:pPr>
              <w:contextualSpacing/>
              <w:jc w:val="center"/>
            </w:pPr>
            <w:r w:rsidRPr="008B7E33">
              <w:t>9.4 (10)</w:t>
            </w:r>
          </w:p>
        </w:tc>
        <w:tc>
          <w:tcPr>
            <w:tcW w:w="1440" w:type="dxa"/>
            <w:vAlign w:val="center"/>
          </w:tcPr>
          <w:p w14:paraId="57183605" w14:textId="77777777" w:rsidR="00EF3A66" w:rsidRPr="008B7E33" w:rsidRDefault="00EF3A66" w:rsidP="00AA7CDB">
            <w:pPr>
              <w:contextualSpacing/>
              <w:jc w:val="center"/>
            </w:pPr>
            <w:r w:rsidRPr="008B7E33">
              <w:t>11.2 (8)</w:t>
            </w:r>
          </w:p>
        </w:tc>
      </w:tr>
      <w:tr w:rsidR="00EF3A66" w:rsidRPr="008B7E33" w14:paraId="421128D0" w14:textId="77777777" w:rsidTr="001F6F84">
        <w:tc>
          <w:tcPr>
            <w:tcW w:w="4320" w:type="dxa"/>
            <w:vAlign w:val="bottom"/>
          </w:tcPr>
          <w:p w14:paraId="0139A7DC" w14:textId="77777777" w:rsidR="00EF3A66" w:rsidRPr="008B7E33" w:rsidRDefault="00EF3A66" w:rsidP="00AA7CDB">
            <w:pPr>
              <w:contextualSpacing/>
            </w:pPr>
            <w:r w:rsidRPr="008B7E33">
              <w:t>Expression MAD/Median (AtGenExpress)</w:t>
            </w:r>
          </w:p>
        </w:tc>
        <w:tc>
          <w:tcPr>
            <w:tcW w:w="1440" w:type="dxa"/>
            <w:vAlign w:val="center"/>
          </w:tcPr>
          <w:p w14:paraId="1BE95CB2" w14:textId="77777777" w:rsidR="00EF3A66" w:rsidRPr="008B7E33" w:rsidRDefault="00EF3A66" w:rsidP="00AA7CDB">
            <w:pPr>
              <w:contextualSpacing/>
              <w:jc w:val="center"/>
            </w:pPr>
            <w:r w:rsidRPr="008B7E33">
              <w:t>41.0 (6)</w:t>
            </w:r>
          </w:p>
        </w:tc>
        <w:tc>
          <w:tcPr>
            <w:tcW w:w="1440" w:type="dxa"/>
            <w:vAlign w:val="center"/>
          </w:tcPr>
          <w:p w14:paraId="6295CDDD" w14:textId="77777777" w:rsidR="00EF3A66" w:rsidRPr="008B7E33" w:rsidRDefault="00EF3A66" w:rsidP="00AA7CDB">
            <w:pPr>
              <w:contextualSpacing/>
              <w:jc w:val="center"/>
            </w:pPr>
            <w:r w:rsidRPr="008B7E33">
              <w:t>5.4 (11)</w:t>
            </w:r>
          </w:p>
        </w:tc>
        <w:tc>
          <w:tcPr>
            <w:tcW w:w="1440" w:type="dxa"/>
            <w:vAlign w:val="center"/>
          </w:tcPr>
          <w:p w14:paraId="28077B47" w14:textId="77777777" w:rsidR="00EF3A66" w:rsidRPr="008B7E33" w:rsidRDefault="00EF3A66" w:rsidP="00AA7CDB">
            <w:pPr>
              <w:contextualSpacing/>
              <w:jc w:val="center"/>
            </w:pPr>
            <w:r w:rsidRPr="008B7E33">
              <w:t>11.8 (5)</w:t>
            </w:r>
          </w:p>
        </w:tc>
      </w:tr>
      <w:tr w:rsidR="00EF3A66" w:rsidRPr="008B7E33" w14:paraId="2FC5EAC1" w14:textId="77777777" w:rsidTr="001F6F84">
        <w:tc>
          <w:tcPr>
            <w:tcW w:w="4320" w:type="dxa"/>
            <w:vAlign w:val="bottom"/>
          </w:tcPr>
          <w:p w14:paraId="27577B1F" w14:textId="77777777" w:rsidR="00EF3A66" w:rsidRPr="008B7E33" w:rsidRDefault="00EF3A66" w:rsidP="00AA7CDB">
            <w:pPr>
              <w:contextualSpacing/>
            </w:pPr>
            <w:r w:rsidRPr="008B7E33">
              <w:t>Expression Mean (</w:t>
            </w:r>
            <w:proofErr w:type="spellStart"/>
            <w:r w:rsidRPr="008B7E33">
              <w:t>LightDev</w:t>
            </w:r>
            <w:proofErr w:type="spellEnd"/>
            <w:r w:rsidRPr="008B7E33">
              <w:t xml:space="preserve"> Data)</w:t>
            </w:r>
          </w:p>
        </w:tc>
        <w:tc>
          <w:tcPr>
            <w:tcW w:w="1440" w:type="dxa"/>
            <w:vAlign w:val="center"/>
          </w:tcPr>
          <w:p w14:paraId="621B19A5" w14:textId="77777777" w:rsidR="00EF3A66" w:rsidRPr="008B7E33" w:rsidRDefault="00EF3A66" w:rsidP="00AA7CDB">
            <w:pPr>
              <w:contextualSpacing/>
              <w:jc w:val="center"/>
            </w:pPr>
            <w:r w:rsidRPr="008B7E33">
              <w:t>40.8 (7)</w:t>
            </w:r>
          </w:p>
        </w:tc>
        <w:tc>
          <w:tcPr>
            <w:tcW w:w="1440" w:type="dxa"/>
            <w:vAlign w:val="center"/>
          </w:tcPr>
          <w:p w14:paraId="44B3B06C" w14:textId="77777777" w:rsidR="00EF3A66" w:rsidRPr="008B7E33" w:rsidRDefault="00EF3A66" w:rsidP="00AA7CDB">
            <w:pPr>
              <w:contextualSpacing/>
              <w:jc w:val="center"/>
            </w:pPr>
            <w:r w:rsidRPr="008B7E33">
              <w:t>10.4 (7)</w:t>
            </w:r>
          </w:p>
        </w:tc>
        <w:tc>
          <w:tcPr>
            <w:tcW w:w="1440" w:type="dxa"/>
            <w:vAlign w:val="center"/>
          </w:tcPr>
          <w:p w14:paraId="3C840523" w14:textId="77777777" w:rsidR="00EF3A66" w:rsidRPr="008B7E33" w:rsidRDefault="00EF3A66" w:rsidP="00AA7CDB">
            <w:pPr>
              <w:contextualSpacing/>
              <w:jc w:val="center"/>
            </w:pPr>
            <w:r w:rsidRPr="008B7E33">
              <w:t>10.7 (9)</w:t>
            </w:r>
          </w:p>
        </w:tc>
      </w:tr>
      <w:tr w:rsidR="00EF3A66" w:rsidRPr="008B7E33" w14:paraId="4201A3F8" w14:textId="77777777" w:rsidTr="001F6F84">
        <w:tc>
          <w:tcPr>
            <w:tcW w:w="4320" w:type="dxa"/>
            <w:vAlign w:val="bottom"/>
          </w:tcPr>
          <w:p w14:paraId="56CBBC30" w14:textId="77777777" w:rsidR="00EF3A66" w:rsidRPr="008B7E33" w:rsidRDefault="00EF3A66" w:rsidP="00AA7CDB">
            <w:pPr>
              <w:contextualSpacing/>
            </w:pPr>
            <w:r w:rsidRPr="008B7E33">
              <w:t>Expression Breadth (</w:t>
            </w:r>
            <w:proofErr w:type="spellStart"/>
            <w:r w:rsidRPr="008B7E33">
              <w:t>RNASeq</w:t>
            </w:r>
            <w:proofErr w:type="spellEnd"/>
            <w:r w:rsidRPr="008B7E33">
              <w:t>)</w:t>
            </w:r>
          </w:p>
        </w:tc>
        <w:tc>
          <w:tcPr>
            <w:tcW w:w="1440" w:type="dxa"/>
            <w:vAlign w:val="center"/>
          </w:tcPr>
          <w:p w14:paraId="60FF619D" w14:textId="77777777" w:rsidR="00EF3A66" w:rsidRPr="008B7E33" w:rsidRDefault="00EF3A66" w:rsidP="00AA7CDB">
            <w:pPr>
              <w:contextualSpacing/>
              <w:jc w:val="center"/>
            </w:pPr>
            <w:r w:rsidRPr="008B7E33">
              <w:t>40.0 (8)</w:t>
            </w:r>
          </w:p>
        </w:tc>
        <w:tc>
          <w:tcPr>
            <w:tcW w:w="1440" w:type="dxa"/>
            <w:vAlign w:val="center"/>
          </w:tcPr>
          <w:p w14:paraId="4050BE9E" w14:textId="77777777" w:rsidR="00EF3A66" w:rsidRPr="008B7E33" w:rsidRDefault="00EF3A66" w:rsidP="00AA7CDB">
            <w:pPr>
              <w:contextualSpacing/>
              <w:jc w:val="center"/>
            </w:pPr>
            <w:r w:rsidRPr="008B7E33">
              <w:t>3.3 (15)</w:t>
            </w:r>
          </w:p>
        </w:tc>
        <w:tc>
          <w:tcPr>
            <w:tcW w:w="1440" w:type="dxa"/>
            <w:vAlign w:val="center"/>
          </w:tcPr>
          <w:p w14:paraId="74AD9387" w14:textId="77777777" w:rsidR="00EF3A66" w:rsidRPr="008B7E33" w:rsidRDefault="00EF3A66" w:rsidP="00AA7CDB">
            <w:pPr>
              <w:contextualSpacing/>
              <w:jc w:val="center"/>
            </w:pPr>
            <w:r w:rsidRPr="008B7E33">
              <w:t>11.5 (6)</w:t>
            </w:r>
          </w:p>
        </w:tc>
      </w:tr>
      <w:tr w:rsidR="00EF3A66" w:rsidRPr="008B7E33" w14:paraId="00491EEB" w14:textId="77777777" w:rsidTr="001F6F84">
        <w:tc>
          <w:tcPr>
            <w:tcW w:w="4320" w:type="dxa"/>
            <w:vAlign w:val="bottom"/>
          </w:tcPr>
          <w:p w14:paraId="53FC39BC" w14:textId="77777777" w:rsidR="00EF3A66" w:rsidRPr="008B7E33" w:rsidRDefault="00EF3A66" w:rsidP="00AA7CDB">
            <w:pPr>
              <w:contextualSpacing/>
            </w:pPr>
            <w:r w:rsidRPr="008B7E33">
              <w:t>Expression Mean (Control Data)</w:t>
            </w:r>
          </w:p>
        </w:tc>
        <w:tc>
          <w:tcPr>
            <w:tcW w:w="1440" w:type="dxa"/>
            <w:vAlign w:val="center"/>
          </w:tcPr>
          <w:p w14:paraId="0E3FB692" w14:textId="77777777" w:rsidR="00EF3A66" w:rsidRPr="008B7E33" w:rsidRDefault="00EF3A66" w:rsidP="00AA7CDB">
            <w:pPr>
              <w:contextualSpacing/>
              <w:jc w:val="center"/>
            </w:pPr>
            <w:r w:rsidRPr="008B7E33">
              <w:t>39.2 (9)</w:t>
            </w:r>
          </w:p>
        </w:tc>
        <w:tc>
          <w:tcPr>
            <w:tcW w:w="1440" w:type="dxa"/>
            <w:vAlign w:val="center"/>
          </w:tcPr>
          <w:p w14:paraId="3D4BA747" w14:textId="77777777" w:rsidR="00EF3A66" w:rsidRPr="008B7E33" w:rsidRDefault="00EF3A66" w:rsidP="00AA7CDB">
            <w:pPr>
              <w:contextualSpacing/>
              <w:jc w:val="center"/>
            </w:pPr>
            <w:r w:rsidRPr="008B7E33">
              <w:t>10.7 (6)</w:t>
            </w:r>
          </w:p>
        </w:tc>
        <w:tc>
          <w:tcPr>
            <w:tcW w:w="1440" w:type="dxa"/>
            <w:vAlign w:val="center"/>
          </w:tcPr>
          <w:p w14:paraId="1A5D1707" w14:textId="77777777" w:rsidR="00EF3A66" w:rsidRPr="008B7E33" w:rsidRDefault="00EF3A66" w:rsidP="00AA7CDB">
            <w:pPr>
              <w:contextualSpacing/>
              <w:jc w:val="center"/>
            </w:pPr>
            <w:r w:rsidRPr="008B7E33">
              <w:t>10.7 (10)</w:t>
            </w:r>
          </w:p>
        </w:tc>
      </w:tr>
      <w:tr w:rsidR="00EF3A66" w:rsidRPr="008B7E33" w14:paraId="414BC445" w14:textId="77777777" w:rsidTr="001F6F84">
        <w:tc>
          <w:tcPr>
            <w:tcW w:w="4320" w:type="dxa"/>
            <w:vAlign w:val="bottom"/>
          </w:tcPr>
          <w:p w14:paraId="1033D9C4" w14:textId="77777777" w:rsidR="00EF3A66" w:rsidRPr="008B7E33" w:rsidRDefault="00EF3A66" w:rsidP="00AA7CDB">
            <w:pPr>
              <w:contextualSpacing/>
            </w:pPr>
            <w:r w:rsidRPr="008B7E33">
              <w:t>Expression Median (AtGenExpress)</w:t>
            </w:r>
          </w:p>
        </w:tc>
        <w:tc>
          <w:tcPr>
            <w:tcW w:w="1440" w:type="dxa"/>
            <w:vAlign w:val="center"/>
          </w:tcPr>
          <w:p w14:paraId="3035F71E" w14:textId="77777777" w:rsidR="00EF3A66" w:rsidRPr="008B7E33" w:rsidRDefault="00EF3A66" w:rsidP="00AA7CDB">
            <w:pPr>
              <w:contextualSpacing/>
              <w:jc w:val="center"/>
            </w:pPr>
            <w:r w:rsidRPr="008B7E33">
              <w:t>37.5 (10)</w:t>
            </w:r>
          </w:p>
        </w:tc>
        <w:tc>
          <w:tcPr>
            <w:tcW w:w="1440" w:type="dxa"/>
            <w:vAlign w:val="center"/>
          </w:tcPr>
          <w:p w14:paraId="2156039D" w14:textId="77777777" w:rsidR="00EF3A66" w:rsidRPr="008B7E33" w:rsidRDefault="00EF3A66" w:rsidP="00AA7CDB">
            <w:pPr>
              <w:contextualSpacing/>
              <w:jc w:val="center"/>
            </w:pPr>
            <w:r w:rsidRPr="008B7E33">
              <w:t>10.2 (8)</w:t>
            </w:r>
          </w:p>
        </w:tc>
        <w:tc>
          <w:tcPr>
            <w:tcW w:w="1440" w:type="dxa"/>
            <w:vAlign w:val="center"/>
          </w:tcPr>
          <w:p w14:paraId="7BD54F2F" w14:textId="77777777" w:rsidR="00EF3A66" w:rsidRPr="008B7E33" w:rsidRDefault="00EF3A66" w:rsidP="00AA7CDB">
            <w:pPr>
              <w:contextualSpacing/>
              <w:jc w:val="center"/>
            </w:pPr>
            <w:r w:rsidRPr="008B7E33">
              <w:t>10.2 (12)</w:t>
            </w:r>
          </w:p>
        </w:tc>
      </w:tr>
      <w:tr w:rsidR="00EF3A66" w:rsidRPr="008B7E33" w14:paraId="720F009E" w14:textId="77777777" w:rsidTr="001F6F84">
        <w:tc>
          <w:tcPr>
            <w:tcW w:w="4320" w:type="dxa"/>
            <w:vAlign w:val="bottom"/>
          </w:tcPr>
          <w:p w14:paraId="12B57132" w14:textId="77777777" w:rsidR="00EF3A66" w:rsidRPr="008B7E33" w:rsidRDefault="00EF3A66" w:rsidP="00AA7CDB">
            <w:pPr>
              <w:contextualSpacing/>
            </w:pPr>
            <w:r w:rsidRPr="008B7E33">
              <w:t>Expression Mean (Stress Data)</w:t>
            </w:r>
          </w:p>
        </w:tc>
        <w:tc>
          <w:tcPr>
            <w:tcW w:w="1440" w:type="dxa"/>
            <w:vAlign w:val="center"/>
          </w:tcPr>
          <w:p w14:paraId="55C454BE" w14:textId="77777777" w:rsidR="00EF3A66" w:rsidRPr="008B7E33" w:rsidRDefault="00EF3A66" w:rsidP="00AA7CDB">
            <w:pPr>
              <w:contextualSpacing/>
              <w:jc w:val="center"/>
            </w:pPr>
            <w:r w:rsidRPr="008B7E33">
              <w:t>37.0 (11)</w:t>
            </w:r>
          </w:p>
        </w:tc>
        <w:tc>
          <w:tcPr>
            <w:tcW w:w="1440" w:type="dxa"/>
            <w:vAlign w:val="center"/>
          </w:tcPr>
          <w:p w14:paraId="67F3E519" w14:textId="77777777" w:rsidR="00EF3A66" w:rsidRPr="008B7E33" w:rsidRDefault="00EF3A66" w:rsidP="00AA7CDB">
            <w:pPr>
              <w:contextualSpacing/>
              <w:jc w:val="center"/>
            </w:pPr>
            <w:r w:rsidRPr="008B7E33">
              <w:t>11.5 (4)</w:t>
            </w:r>
          </w:p>
        </w:tc>
        <w:tc>
          <w:tcPr>
            <w:tcW w:w="1440" w:type="dxa"/>
            <w:vAlign w:val="center"/>
          </w:tcPr>
          <w:p w14:paraId="12A8D563" w14:textId="77777777" w:rsidR="00EF3A66" w:rsidRPr="008B7E33" w:rsidRDefault="00EF3A66" w:rsidP="00AA7CDB">
            <w:pPr>
              <w:contextualSpacing/>
              <w:jc w:val="center"/>
            </w:pPr>
            <w:r w:rsidRPr="008B7E33">
              <w:t>12.0 (4)</w:t>
            </w:r>
          </w:p>
        </w:tc>
      </w:tr>
      <w:tr w:rsidR="00EF3A66" w:rsidRPr="008B7E33" w14:paraId="2FF9F855" w14:textId="77777777" w:rsidTr="001F6F84">
        <w:tc>
          <w:tcPr>
            <w:tcW w:w="4320" w:type="dxa"/>
            <w:vAlign w:val="bottom"/>
          </w:tcPr>
          <w:p w14:paraId="44979C71" w14:textId="77777777" w:rsidR="00EF3A66" w:rsidRPr="008B7E33" w:rsidRDefault="00EF3A66" w:rsidP="00AA7CDB">
            <w:pPr>
              <w:contextualSpacing/>
            </w:pPr>
            <w:r w:rsidRPr="008B7E33">
              <w:t>Expression Mean (AtGenExpress)</w:t>
            </w:r>
          </w:p>
        </w:tc>
        <w:tc>
          <w:tcPr>
            <w:tcW w:w="1440" w:type="dxa"/>
            <w:vAlign w:val="center"/>
          </w:tcPr>
          <w:p w14:paraId="07597C63" w14:textId="77777777" w:rsidR="00EF3A66" w:rsidRPr="008B7E33" w:rsidRDefault="00EF3A66" w:rsidP="00AA7CDB">
            <w:pPr>
              <w:contextualSpacing/>
              <w:jc w:val="center"/>
            </w:pPr>
            <w:r w:rsidRPr="008B7E33">
              <w:t>36.9 (12)</w:t>
            </w:r>
          </w:p>
        </w:tc>
        <w:tc>
          <w:tcPr>
            <w:tcW w:w="1440" w:type="dxa"/>
            <w:vAlign w:val="center"/>
          </w:tcPr>
          <w:p w14:paraId="0F059392" w14:textId="77777777" w:rsidR="00EF3A66" w:rsidRPr="008B7E33" w:rsidRDefault="00EF3A66" w:rsidP="00AA7CDB">
            <w:pPr>
              <w:contextualSpacing/>
              <w:jc w:val="center"/>
            </w:pPr>
            <w:r w:rsidRPr="008B7E33">
              <w:t>11.3 (5)</w:t>
            </w:r>
          </w:p>
        </w:tc>
        <w:tc>
          <w:tcPr>
            <w:tcW w:w="1440" w:type="dxa"/>
            <w:vAlign w:val="center"/>
          </w:tcPr>
          <w:p w14:paraId="63FB04F4" w14:textId="77777777" w:rsidR="00EF3A66" w:rsidRPr="008B7E33" w:rsidRDefault="00EF3A66" w:rsidP="00AA7CDB">
            <w:pPr>
              <w:contextualSpacing/>
              <w:jc w:val="center"/>
            </w:pPr>
            <w:r w:rsidRPr="008B7E33">
              <w:t>11.3 (7)</w:t>
            </w:r>
          </w:p>
        </w:tc>
      </w:tr>
      <w:tr w:rsidR="00EF3A66" w:rsidRPr="008B7E33" w14:paraId="4B7E4B78" w14:textId="77777777" w:rsidTr="001F6F84">
        <w:tc>
          <w:tcPr>
            <w:tcW w:w="4320" w:type="dxa"/>
            <w:vAlign w:val="bottom"/>
          </w:tcPr>
          <w:p w14:paraId="23B899BD" w14:textId="77777777" w:rsidR="00EF3A66" w:rsidRPr="008B7E33" w:rsidRDefault="00EF3A66" w:rsidP="00AA7CDB">
            <w:pPr>
              <w:contextualSpacing/>
            </w:pPr>
            <w:r w:rsidRPr="008B7E33">
              <w:t>Expression Median (</w:t>
            </w:r>
            <w:proofErr w:type="spellStart"/>
            <w:r w:rsidRPr="008B7E33">
              <w:t>RNASeq</w:t>
            </w:r>
            <w:proofErr w:type="spellEnd"/>
            <w:r w:rsidRPr="008B7E33">
              <w:t>)</w:t>
            </w:r>
          </w:p>
        </w:tc>
        <w:tc>
          <w:tcPr>
            <w:tcW w:w="1440" w:type="dxa"/>
            <w:vAlign w:val="center"/>
          </w:tcPr>
          <w:p w14:paraId="7BEEBEB9" w14:textId="77777777" w:rsidR="00EF3A66" w:rsidRPr="008B7E33" w:rsidRDefault="00EF3A66" w:rsidP="00AA7CDB">
            <w:pPr>
              <w:contextualSpacing/>
              <w:jc w:val="center"/>
            </w:pPr>
            <w:r w:rsidRPr="008B7E33">
              <w:t>34.8 (13)</w:t>
            </w:r>
          </w:p>
        </w:tc>
        <w:tc>
          <w:tcPr>
            <w:tcW w:w="1440" w:type="dxa"/>
            <w:vAlign w:val="center"/>
          </w:tcPr>
          <w:p w14:paraId="1117C1F6" w14:textId="77777777" w:rsidR="00EF3A66" w:rsidRPr="008B7E33" w:rsidRDefault="00EF3A66" w:rsidP="00AA7CDB">
            <w:pPr>
              <w:contextualSpacing/>
              <w:jc w:val="center"/>
            </w:pPr>
            <w:r w:rsidRPr="008B7E33">
              <w:t>4.7 (12)</w:t>
            </w:r>
          </w:p>
        </w:tc>
        <w:tc>
          <w:tcPr>
            <w:tcW w:w="1440" w:type="dxa"/>
            <w:vAlign w:val="center"/>
          </w:tcPr>
          <w:p w14:paraId="5778AC7E" w14:textId="77777777" w:rsidR="00EF3A66" w:rsidRPr="008B7E33" w:rsidRDefault="00EF3A66" w:rsidP="00AA7CDB">
            <w:pPr>
              <w:contextualSpacing/>
              <w:jc w:val="center"/>
            </w:pPr>
            <w:r w:rsidRPr="008B7E33">
              <w:t>4.9 (16)</w:t>
            </w:r>
          </w:p>
        </w:tc>
      </w:tr>
      <w:tr w:rsidR="00EF3A66" w:rsidRPr="008B7E33" w14:paraId="0D9E0B10" w14:textId="77777777" w:rsidTr="001F6F84">
        <w:tc>
          <w:tcPr>
            <w:tcW w:w="4320" w:type="dxa"/>
            <w:vAlign w:val="bottom"/>
          </w:tcPr>
          <w:p w14:paraId="4722116F" w14:textId="77777777" w:rsidR="00EF3A66" w:rsidRPr="008B7E33" w:rsidRDefault="00EF3A66" w:rsidP="00AA7CDB">
            <w:pPr>
              <w:contextualSpacing/>
            </w:pPr>
            <w:r w:rsidRPr="008B7E33">
              <w:t>Sequence Conservation (</w:t>
            </w:r>
            <w:proofErr w:type="spellStart"/>
            <w:r w:rsidRPr="008B7E33">
              <w:t>Metazoa</w:t>
            </w:r>
            <w:proofErr w:type="spellEnd"/>
            <w:r w:rsidRPr="008B7E33">
              <w:t>)</w:t>
            </w:r>
          </w:p>
        </w:tc>
        <w:tc>
          <w:tcPr>
            <w:tcW w:w="1440" w:type="dxa"/>
            <w:vAlign w:val="center"/>
          </w:tcPr>
          <w:p w14:paraId="0103BD2C" w14:textId="77777777" w:rsidR="00EF3A66" w:rsidRPr="008B7E33" w:rsidRDefault="00EF3A66" w:rsidP="00AA7CDB">
            <w:pPr>
              <w:contextualSpacing/>
              <w:jc w:val="center"/>
            </w:pPr>
            <w:r w:rsidRPr="008B7E33">
              <w:t>34.5 (14)</w:t>
            </w:r>
          </w:p>
        </w:tc>
        <w:tc>
          <w:tcPr>
            <w:tcW w:w="1440" w:type="dxa"/>
            <w:vAlign w:val="center"/>
          </w:tcPr>
          <w:p w14:paraId="077CFF67" w14:textId="77777777" w:rsidR="00EF3A66" w:rsidRPr="008B7E33" w:rsidRDefault="00EF3A66" w:rsidP="00AA7CDB">
            <w:pPr>
              <w:contextualSpacing/>
              <w:jc w:val="center"/>
            </w:pPr>
            <w:r w:rsidRPr="008B7E33">
              <w:t>3.6 (13)</w:t>
            </w:r>
          </w:p>
        </w:tc>
        <w:tc>
          <w:tcPr>
            <w:tcW w:w="1440" w:type="dxa"/>
            <w:vAlign w:val="center"/>
          </w:tcPr>
          <w:p w14:paraId="615ED1A8" w14:textId="77777777" w:rsidR="00EF3A66" w:rsidRPr="008B7E33" w:rsidRDefault="00EF3A66" w:rsidP="00AA7CDB">
            <w:pPr>
              <w:contextualSpacing/>
              <w:jc w:val="center"/>
            </w:pPr>
            <w:r w:rsidRPr="008B7E33">
              <w:t>4.4 (18)</w:t>
            </w:r>
          </w:p>
        </w:tc>
      </w:tr>
      <w:tr w:rsidR="00EF3A66" w:rsidRPr="008B7E33" w14:paraId="66A545FA" w14:textId="77777777" w:rsidTr="001F6F84">
        <w:tc>
          <w:tcPr>
            <w:tcW w:w="4320" w:type="dxa"/>
            <w:vAlign w:val="bottom"/>
          </w:tcPr>
          <w:p w14:paraId="031B2BB3" w14:textId="77777777" w:rsidR="00EF3A66" w:rsidRPr="008B7E33" w:rsidRDefault="00EF3A66" w:rsidP="00AA7CDB">
            <w:pPr>
              <w:contextualSpacing/>
            </w:pPr>
            <w:r w:rsidRPr="008B7E33">
              <w:t>Nucleotide Diversity (Pi)</w:t>
            </w:r>
          </w:p>
        </w:tc>
        <w:tc>
          <w:tcPr>
            <w:tcW w:w="1440" w:type="dxa"/>
            <w:vAlign w:val="center"/>
          </w:tcPr>
          <w:p w14:paraId="44681F0F" w14:textId="77777777" w:rsidR="00EF3A66" w:rsidRPr="008B7E33" w:rsidRDefault="00EF3A66" w:rsidP="00AA7CDB">
            <w:pPr>
              <w:contextualSpacing/>
              <w:jc w:val="center"/>
            </w:pPr>
            <w:r w:rsidRPr="008B7E33">
              <w:t>32.4 (15)</w:t>
            </w:r>
          </w:p>
        </w:tc>
        <w:tc>
          <w:tcPr>
            <w:tcW w:w="1440" w:type="dxa"/>
            <w:vAlign w:val="center"/>
          </w:tcPr>
          <w:p w14:paraId="697C62A8" w14:textId="77777777" w:rsidR="00EF3A66" w:rsidRPr="008B7E33" w:rsidRDefault="00EF3A66" w:rsidP="00AA7CDB">
            <w:pPr>
              <w:contextualSpacing/>
              <w:jc w:val="center"/>
            </w:pPr>
            <w:r w:rsidRPr="008B7E33">
              <w:t>9.7 (9)</w:t>
            </w:r>
          </w:p>
        </w:tc>
        <w:tc>
          <w:tcPr>
            <w:tcW w:w="1440" w:type="dxa"/>
            <w:vAlign w:val="center"/>
          </w:tcPr>
          <w:p w14:paraId="63E1C090" w14:textId="77777777" w:rsidR="00EF3A66" w:rsidRPr="008B7E33" w:rsidRDefault="00EF3A66" w:rsidP="00AA7CDB">
            <w:pPr>
              <w:contextualSpacing/>
              <w:jc w:val="center"/>
            </w:pPr>
            <w:r w:rsidRPr="008B7E33">
              <w:t>6.2 (14)</w:t>
            </w:r>
          </w:p>
        </w:tc>
      </w:tr>
      <w:tr w:rsidR="00EF3A66" w:rsidRPr="008B7E33" w14:paraId="54FBD93F" w14:textId="77777777" w:rsidTr="001F6F84">
        <w:tc>
          <w:tcPr>
            <w:tcW w:w="4320" w:type="dxa"/>
            <w:vAlign w:val="bottom"/>
          </w:tcPr>
          <w:p w14:paraId="6D7A76B6" w14:textId="77777777" w:rsidR="00EF3A66" w:rsidRPr="008B7E33" w:rsidRDefault="00EF3A66" w:rsidP="00AA7CDB">
            <w:pPr>
              <w:contextualSpacing/>
            </w:pPr>
            <w:r w:rsidRPr="008B7E33">
              <w:t>Expression Mean (Diff Data)</w:t>
            </w:r>
          </w:p>
        </w:tc>
        <w:tc>
          <w:tcPr>
            <w:tcW w:w="1440" w:type="dxa"/>
            <w:vAlign w:val="center"/>
          </w:tcPr>
          <w:p w14:paraId="0E291DBB" w14:textId="77777777" w:rsidR="00EF3A66" w:rsidRPr="008B7E33" w:rsidRDefault="00EF3A66" w:rsidP="00AA7CDB">
            <w:pPr>
              <w:contextualSpacing/>
              <w:jc w:val="center"/>
            </w:pPr>
            <w:r w:rsidRPr="008B7E33">
              <w:t>31.6 (16)</w:t>
            </w:r>
          </w:p>
        </w:tc>
        <w:tc>
          <w:tcPr>
            <w:tcW w:w="1440" w:type="dxa"/>
            <w:vAlign w:val="center"/>
          </w:tcPr>
          <w:p w14:paraId="5A663AEA" w14:textId="77777777" w:rsidR="00EF3A66" w:rsidRPr="008B7E33" w:rsidRDefault="00EF3A66" w:rsidP="00AA7CDB">
            <w:pPr>
              <w:contextualSpacing/>
              <w:jc w:val="center"/>
            </w:pPr>
            <w:r w:rsidRPr="008B7E33">
              <w:t>1.7 (2)</w:t>
            </w:r>
          </w:p>
        </w:tc>
        <w:tc>
          <w:tcPr>
            <w:tcW w:w="1440" w:type="dxa"/>
            <w:vAlign w:val="center"/>
          </w:tcPr>
          <w:p w14:paraId="1EEF14C0" w14:textId="77777777" w:rsidR="00EF3A66" w:rsidRPr="008B7E33" w:rsidRDefault="00EF3A66" w:rsidP="00AA7CDB">
            <w:pPr>
              <w:contextualSpacing/>
              <w:jc w:val="center"/>
            </w:pPr>
            <w:r w:rsidRPr="008B7E33">
              <w:t>7.9 (13)</w:t>
            </w:r>
          </w:p>
        </w:tc>
      </w:tr>
      <w:tr w:rsidR="00EF3A66" w:rsidRPr="008B7E33" w14:paraId="06327AB6" w14:textId="77777777" w:rsidTr="001F6F84">
        <w:tc>
          <w:tcPr>
            <w:tcW w:w="4320" w:type="dxa"/>
            <w:vAlign w:val="bottom"/>
          </w:tcPr>
          <w:p w14:paraId="5CCA3B5F" w14:textId="77777777" w:rsidR="00EF3A66" w:rsidRPr="008B7E33" w:rsidRDefault="00EF3A66" w:rsidP="00AA7CDB">
            <w:pPr>
              <w:contextualSpacing/>
            </w:pPr>
            <w:r w:rsidRPr="008B7E33">
              <w:t>Sequence Conservation (Fungi)</w:t>
            </w:r>
          </w:p>
        </w:tc>
        <w:tc>
          <w:tcPr>
            <w:tcW w:w="1440" w:type="dxa"/>
            <w:vAlign w:val="center"/>
          </w:tcPr>
          <w:p w14:paraId="5554A485" w14:textId="77777777" w:rsidR="00EF3A66" w:rsidRPr="008B7E33" w:rsidRDefault="00EF3A66" w:rsidP="00AA7CDB">
            <w:pPr>
              <w:contextualSpacing/>
              <w:jc w:val="center"/>
            </w:pPr>
            <w:r w:rsidRPr="008B7E33">
              <w:t>30.6 (17)</w:t>
            </w:r>
          </w:p>
        </w:tc>
        <w:tc>
          <w:tcPr>
            <w:tcW w:w="1440" w:type="dxa"/>
            <w:vAlign w:val="center"/>
          </w:tcPr>
          <w:p w14:paraId="2B386992" w14:textId="77777777" w:rsidR="00EF3A66" w:rsidRPr="008B7E33" w:rsidRDefault="00EF3A66" w:rsidP="00AA7CDB">
            <w:pPr>
              <w:contextualSpacing/>
              <w:jc w:val="center"/>
            </w:pPr>
            <w:r w:rsidRPr="008B7E33">
              <w:t>2.4 (17)</w:t>
            </w:r>
          </w:p>
        </w:tc>
        <w:tc>
          <w:tcPr>
            <w:tcW w:w="1440" w:type="dxa"/>
            <w:vAlign w:val="center"/>
          </w:tcPr>
          <w:p w14:paraId="2E36C50E" w14:textId="77777777" w:rsidR="00EF3A66" w:rsidRPr="008B7E33" w:rsidRDefault="00EF3A66" w:rsidP="00AA7CDB">
            <w:pPr>
              <w:contextualSpacing/>
              <w:jc w:val="center"/>
            </w:pPr>
            <w:r w:rsidRPr="008B7E33">
              <w:t>4.6 (17)</w:t>
            </w:r>
          </w:p>
        </w:tc>
      </w:tr>
      <w:tr w:rsidR="00EF3A66" w:rsidRPr="008B7E33" w14:paraId="41F5FDEC" w14:textId="77777777" w:rsidTr="001F6F84">
        <w:tc>
          <w:tcPr>
            <w:tcW w:w="4320" w:type="dxa"/>
            <w:vAlign w:val="bottom"/>
          </w:tcPr>
          <w:p w14:paraId="599A5CAD" w14:textId="77777777" w:rsidR="00EF3A66" w:rsidRPr="008B7E33" w:rsidRDefault="00EF3A66" w:rsidP="00AA7CDB">
            <w:pPr>
              <w:contextualSpacing/>
            </w:pPr>
            <w:r w:rsidRPr="008B7E33">
              <w:t>Number of Protein Domains</w:t>
            </w:r>
          </w:p>
        </w:tc>
        <w:tc>
          <w:tcPr>
            <w:tcW w:w="1440" w:type="dxa"/>
            <w:vAlign w:val="center"/>
          </w:tcPr>
          <w:p w14:paraId="11E23A68" w14:textId="77777777" w:rsidR="00EF3A66" w:rsidRPr="008B7E33" w:rsidRDefault="00EF3A66" w:rsidP="00AA7CDB">
            <w:pPr>
              <w:contextualSpacing/>
              <w:jc w:val="center"/>
            </w:pPr>
            <w:r w:rsidRPr="008B7E33">
              <w:t>28.4 (18)</w:t>
            </w:r>
          </w:p>
        </w:tc>
        <w:tc>
          <w:tcPr>
            <w:tcW w:w="1440" w:type="dxa"/>
            <w:vAlign w:val="center"/>
          </w:tcPr>
          <w:p w14:paraId="2EE76E4A" w14:textId="77777777" w:rsidR="00EF3A66" w:rsidRPr="008B7E33" w:rsidRDefault="00EF3A66" w:rsidP="00AA7CDB">
            <w:pPr>
              <w:contextualSpacing/>
              <w:jc w:val="center"/>
            </w:pPr>
            <w:r w:rsidRPr="008B7E33">
              <w:t>2.3 (18)</w:t>
            </w:r>
          </w:p>
        </w:tc>
        <w:tc>
          <w:tcPr>
            <w:tcW w:w="1440" w:type="dxa"/>
            <w:vAlign w:val="center"/>
          </w:tcPr>
          <w:p w14:paraId="7F7EE3CC" w14:textId="77777777" w:rsidR="00EF3A66" w:rsidRPr="008B7E33" w:rsidRDefault="00EF3A66" w:rsidP="00AA7CDB">
            <w:pPr>
              <w:contextualSpacing/>
              <w:jc w:val="center"/>
            </w:pPr>
            <w:r w:rsidRPr="008B7E33">
              <w:t>5.6 (15)</w:t>
            </w:r>
          </w:p>
        </w:tc>
      </w:tr>
      <w:tr w:rsidR="00EF3A66" w:rsidRPr="008B7E33" w14:paraId="4B4271A8" w14:textId="77777777" w:rsidTr="001F6F84">
        <w:tc>
          <w:tcPr>
            <w:tcW w:w="4320" w:type="dxa"/>
            <w:vAlign w:val="bottom"/>
          </w:tcPr>
          <w:p w14:paraId="151B2778" w14:textId="77777777" w:rsidR="00EF3A66" w:rsidRPr="008B7E33" w:rsidRDefault="00EF3A66" w:rsidP="00AA7CDB">
            <w:pPr>
              <w:contextualSpacing/>
            </w:pPr>
            <w:r w:rsidRPr="008B7E33">
              <w:t>Expression Mean (</w:t>
            </w:r>
            <w:proofErr w:type="spellStart"/>
            <w:r w:rsidRPr="008B7E33">
              <w:t>RNASeq</w:t>
            </w:r>
            <w:proofErr w:type="spellEnd"/>
            <w:r w:rsidRPr="008B7E33">
              <w:t>)</w:t>
            </w:r>
          </w:p>
        </w:tc>
        <w:tc>
          <w:tcPr>
            <w:tcW w:w="1440" w:type="dxa"/>
            <w:vAlign w:val="center"/>
          </w:tcPr>
          <w:p w14:paraId="4DC5ED2D" w14:textId="77777777" w:rsidR="00EF3A66" w:rsidRPr="008B7E33" w:rsidRDefault="00EF3A66" w:rsidP="00AA7CDB">
            <w:pPr>
              <w:contextualSpacing/>
              <w:jc w:val="center"/>
            </w:pPr>
            <w:r w:rsidRPr="008B7E33">
              <w:t>18.6 (19)</w:t>
            </w:r>
          </w:p>
        </w:tc>
        <w:tc>
          <w:tcPr>
            <w:tcW w:w="1440" w:type="dxa"/>
            <w:vAlign w:val="center"/>
          </w:tcPr>
          <w:p w14:paraId="3D28B53C" w14:textId="77777777" w:rsidR="00EF3A66" w:rsidRPr="008B7E33" w:rsidRDefault="00EF3A66" w:rsidP="00AA7CDB">
            <w:pPr>
              <w:contextualSpacing/>
              <w:jc w:val="center"/>
            </w:pPr>
            <w:r w:rsidRPr="008B7E33">
              <w:t>3.0 (16)</w:t>
            </w:r>
          </w:p>
        </w:tc>
        <w:tc>
          <w:tcPr>
            <w:tcW w:w="1440" w:type="dxa"/>
            <w:vAlign w:val="center"/>
          </w:tcPr>
          <w:p w14:paraId="5DBD8920" w14:textId="77777777" w:rsidR="00EF3A66" w:rsidRPr="008B7E33" w:rsidRDefault="00EF3A66" w:rsidP="00AA7CDB">
            <w:pPr>
              <w:contextualSpacing/>
              <w:jc w:val="center"/>
            </w:pPr>
            <w:r w:rsidRPr="008B7E33">
              <w:t>2.9 (19)</w:t>
            </w:r>
          </w:p>
        </w:tc>
      </w:tr>
      <w:tr w:rsidR="00EF3A66" w:rsidRPr="008B7E33" w14:paraId="0A430032" w14:textId="77777777" w:rsidTr="001F6F84">
        <w:tc>
          <w:tcPr>
            <w:tcW w:w="4320" w:type="dxa"/>
            <w:vAlign w:val="bottom"/>
          </w:tcPr>
          <w:p w14:paraId="4F0F1C7D" w14:textId="77777777" w:rsidR="00EF3A66" w:rsidRPr="008B7E33" w:rsidRDefault="00EF3A66" w:rsidP="00AA7CDB">
            <w:pPr>
              <w:contextualSpacing/>
            </w:pPr>
            <w:r w:rsidRPr="008B7E33">
              <w:t>Expression Maximum (</w:t>
            </w:r>
            <w:proofErr w:type="spellStart"/>
            <w:r w:rsidRPr="008B7E33">
              <w:t>RNASeq</w:t>
            </w:r>
            <w:proofErr w:type="spellEnd"/>
            <w:r w:rsidRPr="008B7E33">
              <w:t>)</w:t>
            </w:r>
          </w:p>
        </w:tc>
        <w:tc>
          <w:tcPr>
            <w:tcW w:w="1440" w:type="dxa"/>
            <w:vAlign w:val="center"/>
          </w:tcPr>
          <w:p w14:paraId="11C4B4D0" w14:textId="77777777" w:rsidR="00EF3A66" w:rsidRPr="008B7E33" w:rsidRDefault="00EF3A66" w:rsidP="00AA7CDB">
            <w:pPr>
              <w:contextualSpacing/>
              <w:jc w:val="center"/>
            </w:pPr>
            <w:r w:rsidRPr="008B7E33">
              <w:t>12.9 (20)</w:t>
            </w:r>
          </w:p>
        </w:tc>
        <w:tc>
          <w:tcPr>
            <w:tcW w:w="1440" w:type="dxa"/>
            <w:vAlign w:val="center"/>
          </w:tcPr>
          <w:p w14:paraId="42595B64" w14:textId="77777777" w:rsidR="00EF3A66" w:rsidRPr="008B7E33" w:rsidRDefault="00EF3A66" w:rsidP="00AA7CDB">
            <w:pPr>
              <w:contextualSpacing/>
              <w:jc w:val="center"/>
            </w:pPr>
            <w:r w:rsidRPr="008B7E33">
              <w:t>3.3 (14)</w:t>
            </w:r>
          </w:p>
        </w:tc>
        <w:tc>
          <w:tcPr>
            <w:tcW w:w="1440" w:type="dxa"/>
            <w:vAlign w:val="center"/>
          </w:tcPr>
          <w:p w14:paraId="7913DE45" w14:textId="77777777" w:rsidR="00EF3A66" w:rsidRPr="008B7E33" w:rsidRDefault="00EF3A66" w:rsidP="00AA7CDB">
            <w:pPr>
              <w:contextualSpacing/>
              <w:jc w:val="center"/>
            </w:pPr>
            <w:r w:rsidRPr="008B7E33">
              <w:t>0.4 (20)</w:t>
            </w:r>
          </w:p>
        </w:tc>
      </w:tr>
    </w:tbl>
    <w:p w14:paraId="476B2CD8" w14:textId="77777777" w:rsidR="00EF3A66" w:rsidRPr="008B7E33" w:rsidRDefault="00EF3A66" w:rsidP="00AA7CDB">
      <w:pPr>
        <w:spacing w:line="240" w:lineRule="auto"/>
        <w:contextualSpacing/>
        <w:rPr>
          <w:color w:val="auto"/>
        </w:rPr>
      </w:pPr>
      <w:r w:rsidRPr="008B7E33">
        <w:rPr>
          <w:color w:val="auto"/>
        </w:rPr>
        <w:t>1: The importance of the feature as defined by the mean decrease in accuracy of the classification when the feature is removed. Features are ordered according to the rank of their importance in the whole genome model and the rank of each value for each model is indicated by ().</w:t>
      </w:r>
    </w:p>
    <w:p w14:paraId="75A43A86" w14:textId="77777777" w:rsidR="00EF3A66" w:rsidRPr="008B7E33" w:rsidRDefault="00EF3A66" w:rsidP="00AA7CDB">
      <w:pPr>
        <w:spacing w:line="240" w:lineRule="auto"/>
        <w:contextualSpacing/>
        <w:rPr>
          <w:color w:val="auto"/>
        </w:rPr>
      </w:pPr>
    </w:p>
    <w:p w14:paraId="386621A3" w14:textId="77777777" w:rsidR="00EF3A66" w:rsidRPr="008B7E33" w:rsidRDefault="00EF3A66" w:rsidP="00AA7CDB">
      <w:pPr>
        <w:spacing w:line="240" w:lineRule="auto"/>
        <w:contextualSpacing/>
        <w:rPr>
          <w:b/>
          <w:color w:val="auto"/>
        </w:rPr>
      </w:pPr>
    </w:p>
    <w:p w14:paraId="412546E7" w14:textId="77777777" w:rsidR="00EF3A66" w:rsidRPr="008B7E33" w:rsidRDefault="00EF3A66" w:rsidP="00AA7CDB">
      <w:pPr>
        <w:spacing w:line="240" w:lineRule="auto"/>
        <w:contextualSpacing/>
        <w:rPr>
          <w:b/>
          <w:color w:val="auto"/>
        </w:rPr>
      </w:pPr>
    </w:p>
    <w:p w14:paraId="4E1DD9D8" w14:textId="77777777" w:rsidR="00EF3A66" w:rsidRPr="008B7E33" w:rsidRDefault="00EF3A66" w:rsidP="00AA7CDB">
      <w:pPr>
        <w:spacing w:line="240" w:lineRule="auto"/>
        <w:contextualSpacing/>
        <w:rPr>
          <w:b/>
          <w:color w:val="auto"/>
        </w:rPr>
      </w:pPr>
    </w:p>
    <w:p w14:paraId="6A3B09B5" w14:textId="77777777" w:rsidR="00EF3A66" w:rsidRPr="008B7E33" w:rsidRDefault="00EF3A66" w:rsidP="00AA7CDB">
      <w:pPr>
        <w:spacing w:line="240" w:lineRule="auto"/>
        <w:contextualSpacing/>
        <w:rPr>
          <w:b/>
          <w:color w:val="auto"/>
        </w:rPr>
      </w:pPr>
    </w:p>
    <w:p w14:paraId="75F06793" w14:textId="77777777" w:rsidR="00EF3A66" w:rsidRPr="008B7E33" w:rsidRDefault="00EF3A66" w:rsidP="00AA7CDB">
      <w:pPr>
        <w:spacing w:line="240" w:lineRule="auto"/>
        <w:contextualSpacing/>
        <w:rPr>
          <w:b/>
          <w:color w:val="auto"/>
        </w:rPr>
      </w:pPr>
    </w:p>
    <w:p w14:paraId="22C27827" w14:textId="77777777" w:rsidR="00EF3A66" w:rsidRPr="008B7E33" w:rsidRDefault="00EF3A66" w:rsidP="00AA7CDB">
      <w:pPr>
        <w:spacing w:line="240" w:lineRule="auto"/>
        <w:contextualSpacing/>
        <w:rPr>
          <w:b/>
          <w:color w:val="auto"/>
        </w:rPr>
      </w:pPr>
    </w:p>
    <w:p w14:paraId="19882C7D" w14:textId="77777777" w:rsidR="00EF3A66" w:rsidRPr="008B7E33" w:rsidRDefault="00EF3A66" w:rsidP="00AA7CDB">
      <w:pPr>
        <w:spacing w:line="240" w:lineRule="auto"/>
        <w:contextualSpacing/>
        <w:rPr>
          <w:b/>
          <w:color w:val="auto"/>
        </w:rPr>
      </w:pPr>
    </w:p>
    <w:p w14:paraId="181F735B" w14:textId="77777777" w:rsidR="00EF3A66" w:rsidRPr="008B7E33" w:rsidRDefault="00EF3A66" w:rsidP="00AA7CDB">
      <w:pPr>
        <w:spacing w:line="240" w:lineRule="auto"/>
        <w:contextualSpacing/>
        <w:rPr>
          <w:color w:val="auto"/>
        </w:rPr>
      </w:pPr>
      <w:r w:rsidRPr="008B7E33">
        <w:rPr>
          <w:b/>
          <w:color w:val="auto"/>
        </w:rPr>
        <w:t>References</w:t>
      </w:r>
    </w:p>
    <w:p w14:paraId="09992987" w14:textId="77777777" w:rsidR="00EF3A66" w:rsidRPr="008B7E33" w:rsidRDefault="00124A57" w:rsidP="00AA7CDB">
      <w:pPr>
        <w:widowControl w:val="0"/>
        <w:spacing w:line="240" w:lineRule="auto"/>
        <w:ind w:left="480" w:hanging="480"/>
        <w:contextualSpacing/>
        <w:rPr>
          <w:color w:val="auto"/>
        </w:rPr>
      </w:pPr>
      <w:hyperlink r:id="rId7">
        <w:r w:rsidR="00EF3A66" w:rsidRPr="008B7E33">
          <w:rPr>
            <w:color w:val="auto"/>
          </w:rPr>
          <w:t xml:space="preserve">Lloyd JP, Seddon AE, </w:t>
        </w:r>
        <w:proofErr w:type="spellStart"/>
        <w:r w:rsidR="00EF3A66" w:rsidRPr="008B7E33">
          <w:rPr>
            <w:color w:val="auto"/>
          </w:rPr>
          <w:t>Moghe</w:t>
        </w:r>
        <w:proofErr w:type="spellEnd"/>
        <w:r w:rsidR="00EF3A66" w:rsidRPr="008B7E33">
          <w:rPr>
            <w:color w:val="auto"/>
          </w:rPr>
          <w:t xml:space="preserve"> GD, </w:t>
        </w:r>
        <w:proofErr w:type="spellStart"/>
        <w:r w:rsidR="00EF3A66" w:rsidRPr="008B7E33">
          <w:rPr>
            <w:color w:val="auto"/>
          </w:rPr>
          <w:t>Simenc</w:t>
        </w:r>
        <w:proofErr w:type="spellEnd"/>
        <w:r w:rsidR="00EF3A66" w:rsidRPr="008B7E33">
          <w:rPr>
            <w:color w:val="auto"/>
          </w:rPr>
          <w:t xml:space="preserve"> MC, </w:t>
        </w:r>
        <w:proofErr w:type="spellStart"/>
        <w:r w:rsidR="00EF3A66" w:rsidRPr="008B7E33">
          <w:rPr>
            <w:color w:val="auto"/>
          </w:rPr>
          <w:t>Shiu</w:t>
        </w:r>
        <w:proofErr w:type="spellEnd"/>
        <w:r w:rsidR="00EF3A66" w:rsidRPr="008B7E33">
          <w:rPr>
            <w:color w:val="auto"/>
          </w:rPr>
          <w:t xml:space="preserve"> SH. 2015. Characteristics of Plant Essential Genes Allow for within- and between-Species Prediction of Lethal Mutant Phenotypes. </w:t>
        </w:r>
      </w:hyperlink>
      <w:hyperlink r:id="rId8">
        <w:r w:rsidR="00EF3A66" w:rsidRPr="008B7E33">
          <w:rPr>
            <w:i/>
            <w:color w:val="auto"/>
          </w:rPr>
          <w:t>The Plant Cell</w:t>
        </w:r>
      </w:hyperlink>
      <w:hyperlink r:id="rId9">
        <w:r w:rsidR="00EF3A66" w:rsidRPr="008B7E33">
          <w:rPr>
            <w:color w:val="auto"/>
          </w:rPr>
          <w:t xml:space="preserve"> 27:2133–47.</w:t>
        </w:r>
      </w:hyperlink>
    </w:p>
    <w:p w14:paraId="53DACDC0" w14:textId="77777777" w:rsidR="00EF3A66" w:rsidRPr="008B7E33" w:rsidRDefault="00EF3A66" w:rsidP="00AA7CDB">
      <w:pPr>
        <w:spacing w:line="240" w:lineRule="auto"/>
        <w:contextualSpacing/>
      </w:pPr>
    </w:p>
    <w:p w14:paraId="0C1410F3" w14:textId="77777777" w:rsidR="00575327" w:rsidRPr="008B7E33" w:rsidRDefault="00575327" w:rsidP="00AA7CDB">
      <w:pPr>
        <w:spacing w:line="240" w:lineRule="auto"/>
      </w:pPr>
    </w:p>
    <w:sectPr w:rsidR="00575327" w:rsidRPr="008B7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84"/>
    <w:rsid w:val="00124A57"/>
    <w:rsid w:val="00575327"/>
    <w:rsid w:val="00581384"/>
    <w:rsid w:val="0075368E"/>
    <w:rsid w:val="008B7E33"/>
    <w:rsid w:val="00AA7CDB"/>
    <w:rsid w:val="00B171AB"/>
    <w:rsid w:val="00EF3A66"/>
    <w:rsid w:val="00FD4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A66"/>
    <w:pPr>
      <w:spacing w:after="0"/>
    </w:pPr>
    <w:rPr>
      <w:rFonts w:ascii="Arial" w:eastAsia="Arial" w:hAnsi="Arial" w:cs="Arial"/>
      <w:color w:val="000000"/>
    </w:rPr>
  </w:style>
  <w:style w:type="paragraph" w:styleId="Heading3">
    <w:name w:val="heading 3"/>
    <w:basedOn w:val="Normal"/>
    <w:next w:val="Normal"/>
    <w:link w:val="Heading3Char"/>
    <w:rsid w:val="00EF3A66"/>
    <w:pPr>
      <w:keepNext/>
      <w:keepLines/>
      <w:spacing w:before="120" w:after="120" w:line="240" w:lineRule="auto"/>
      <w:contextualSpacing/>
      <w:outlineLvl w:val="2"/>
    </w:pPr>
    <w:rPr>
      <w:rFonts w:ascii="Times" w:hAnsi="Times"/>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3A66"/>
    <w:rPr>
      <w:rFonts w:ascii="Times" w:eastAsia="Arial" w:hAnsi="Times" w:cs="Arial"/>
      <w:b/>
      <w:i/>
    </w:rPr>
  </w:style>
  <w:style w:type="table" w:styleId="TableGrid">
    <w:name w:val="Table Grid"/>
    <w:basedOn w:val="TableNormal"/>
    <w:uiPriority w:val="59"/>
    <w:unhideWhenUsed/>
    <w:rsid w:val="00EF3A66"/>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33"/>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3A66"/>
    <w:pPr>
      <w:spacing w:after="0"/>
    </w:pPr>
    <w:rPr>
      <w:rFonts w:ascii="Arial" w:eastAsia="Arial" w:hAnsi="Arial" w:cs="Arial"/>
      <w:color w:val="000000"/>
    </w:rPr>
  </w:style>
  <w:style w:type="paragraph" w:styleId="Heading3">
    <w:name w:val="heading 3"/>
    <w:basedOn w:val="Normal"/>
    <w:next w:val="Normal"/>
    <w:link w:val="Heading3Char"/>
    <w:rsid w:val="00EF3A66"/>
    <w:pPr>
      <w:keepNext/>
      <w:keepLines/>
      <w:spacing w:before="120" w:after="120" w:line="240" w:lineRule="auto"/>
      <w:contextualSpacing/>
      <w:outlineLvl w:val="2"/>
    </w:pPr>
    <w:rPr>
      <w:rFonts w:ascii="Times" w:hAnsi="Times"/>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3A66"/>
    <w:rPr>
      <w:rFonts w:ascii="Times" w:eastAsia="Arial" w:hAnsi="Times" w:cs="Arial"/>
      <w:b/>
      <w:i/>
    </w:rPr>
  </w:style>
  <w:style w:type="table" w:styleId="TableGrid">
    <w:name w:val="Table Grid"/>
    <w:basedOn w:val="TableNormal"/>
    <w:uiPriority w:val="59"/>
    <w:unhideWhenUsed/>
    <w:rsid w:val="00EF3A66"/>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E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33"/>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pile.com/b/WskiiM/Ms3r" TargetMode="External"/><Relationship Id="rId3" Type="http://schemas.openxmlformats.org/officeDocument/2006/relationships/settings" Target="settings.xml"/><Relationship Id="rId7" Type="http://schemas.openxmlformats.org/officeDocument/2006/relationships/hyperlink" Target="http://paperpile.com/b/WskiiM/Ms3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paperpile.com/c/WskiiM/Ms3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perpile.com/b/WskiiM/Ms3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Nicholas</cp:lastModifiedBy>
  <cp:revision>5</cp:revision>
  <cp:lastPrinted>2017-07-31T20:53:00Z</cp:lastPrinted>
  <dcterms:created xsi:type="dcterms:W3CDTF">2018-06-02T14:03:00Z</dcterms:created>
  <dcterms:modified xsi:type="dcterms:W3CDTF">2019-01-16T16:21:00Z</dcterms:modified>
</cp:coreProperties>
</file>