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5" w:rsidRPr="00A6506C" w:rsidRDefault="00A77FA5" w:rsidP="00A77FA5">
      <w:pPr>
        <w:spacing w:line="48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 w:cs="Arial"/>
          <w:b/>
          <w:lang w:val="en-US"/>
        </w:rPr>
        <w:t>GAP</w:t>
      </w:r>
      <w:r w:rsidR="00B634B3">
        <w:rPr>
          <w:rFonts w:ascii="Arial Narrow" w:hAnsi="Arial Narrow" w:cs="Arial"/>
          <w:b/>
          <w:lang w:val="en-US"/>
        </w:rPr>
        <w:t xml:space="preserve"> </w:t>
      </w:r>
      <w:proofErr w:type="gramStart"/>
      <w:r>
        <w:rPr>
          <w:rFonts w:ascii="Arial Narrow" w:hAnsi="Arial Narrow" w:cs="Arial"/>
          <w:b/>
          <w:lang w:val="en-US"/>
        </w:rPr>
        <w:t>trial, a</w:t>
      </w:r>
      <w:r w:rsidRPr="00A6506C">
        <w:rPr>
          <w:rFonts w:ascii="Arial Narrow" w:hAnsi="Arial Narrow" w:cs="Arial"/>
          <w:b/>
          <w:lang w:val="en-US"/>
        </w:rPr>
        <w:t>dditional file</w:t>
      </w:r>
      <w:proofErr w:type="gramEnd"/>
      <w:r w:rsidRPr="00A6506C">
        <w:rPr>
          <w:rFonts w:ascii="Arial Narrow" w:hAnsi="Arial Narrow" w:cs="Arial"/>
          <w:b/>
          <w:lang w:val="en-US"/>
        </w:rPr>
        <w:t xml:space="preserve"> </w:t>
      </w:r>
      <w:r>
        <w:rPr>
          <w:rFonts w:ascii="Arial Narrow" w:hAnsi="Arial Narrow" w:cs="Arial"/>
          <w:b/>
          <w:lang w:val="en-US"/>
        </w:rPr>
        <w:t>3</w:t>
      </w:r>
      <w:r w:rsidRPr="00A6506C">
        <w:rPr>
          <w:rFonts w:ascii="Arial Narrow" w:hAnsi="Arial Narrow" w:cs="Arial"/>
          <w:b/>
          <w:lang w:val="en-US"/>
        </w:rPr>
        <w:t xml:space="preserve">: </w:t>
      </w:r>
      <w:r w:rsidR="00B650EC">
        <w:rPr>
          <w:rFonts w:ascii="Arial Narrow" w:hAnsi="Arial Narrow" w:cs="Arial"/>
          <w:b/>
          <w:lang w:val="en-US"/>
        </w:rPr>
        <w:t>C</w:t>
      </w:r>
      <w:r w:rsidRPr="00A6506C">
        <w:rPr>
          <w:rFonts w:ascii="Arial Narrow" w:hAnsi="Arial Narrow" w:cs="Arial"/>
          <w:b/>
          <w:lang w:val="en-US"/>
        </w:rPr>
        <w:t>haracteristics of survey instruments</w:t>
      </w:r>
    </w:p>
    <w:tbl>
      <w:tblPr>
        <w:tblStyle w:val="Tabellenraster"/>
        <w:tblW w:w="143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126"/>
        <w:gridCol w:w="850"/>
        <w:gridCol w:w="1134"/>
        <w:gridCol w:w="1418"/>
        <w:gridCol w:w="6095"/>
      </w:tblGrid>
      <w:tr w:rsidR="005234C9" w:rsidRPr="007876D9" w:rsidTr="004E143F">
        <w:tc>
          <w:tcPr>
            <w:tcW w:w="2722" w:type="dxa"/>
          </w:tcPr>
          <w:p w:rsidR="005234C9" w:rsidRPr="007876D9" w:rsidRDefault="005234C9" w:rsidP="004E143F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  <w:p w:rsidR="005234C9" w:rsidRPr="007876D9" w:rsidRDefault="005234C9" w:rsidP="004E143F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Used Scales</w:t>
            </w:r>
          </w:p>
        </w:tc>
        <w:tc>
          <w:tcPr>
            <w:tcW w:w="850" w:type="dxa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Number of used items</w:t>
            </w:r>
          </w:p>
        </w:tc>
        <w:tc>
          <w:tcPr>
            <w:tcW w:w="1134" w:type="dxa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Response scale</w:t>
            </w:r>
          </w:p>
        </w:tc>
        <w:tc>
          <w:tcPr>
            <w:tcW w:w="1418" w:type="dxa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Calculation of score</w:t>
            </w:r>
          </w:p>
        </w:tc>
        <w:tc>
          <w:tcPr>
            <w:tcW w:w="6095" w:type="dxa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Psychometric properties</w:t>
            </w:r>
          </w:p>
        </w:tc>
      </w:tr>
      <w:tr w:rsidR="005234C9" w:rsidRPr="007876D9" w:rsidTr="004E143F">
        <w:tc>
          <w:tcPr>
            <w:tcW w:w="14345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8"/>
                <w:szCs w:val="16"/>
                <w:lang w:val="en-GB"/>
              </w:rPr>
              <w:t>Primary outcomes (Survey data)</w:t>
            </w:r>
          </w:p>
        </w:tc>
      </w:tr>
      <w:tr w:rsidR="005234C9" w:rsidRPr="00B634B3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Quality of the patient-physician communication (patient)</w:t>
            </w:r>
          </w:p>
        </w:tc>
      </w:tr>
      <w:tr w:rsidR="005234C9" w:rsidRPr="00D10A69" w:rsidTr="004E143F">
        <w:trPr>
          <w:trHeight w:val="22"/>
        </w:trPr>
        <w:tc>
          <w:tcPr>
            <w:tcW w:w="2722" w:type="dxa"/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Shared Decision-Making Questionnaire (SDM-Q-9)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30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 (only one scale)</w:t>
            </w:r>
          </w:p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6-point Likert Scale</w:t>
            </w:r>
          </w:p>
        </w:tc>
        <w:tc>
          <w:tcPr>
            <w:tcW w:w="1418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score can be lineally transformed to a scale from 0 to 100</w:t>
            </w:r>
          </w:p>
        </w:tc>
        <w:tc>
          <w:tcPr>
            <w:tcW w:w="6095" w:type="dxa"/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good reliability (high internal consistency with a Cronbach’s α = 0.938; high item discrimination indices from 0.685 to 0.826) 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good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construct validity (one-dimensional structure; 62.4 % variance explained). </w:t>
            </w:r>
          </w:p>
          <w:p w:rsidR="005234C9" w:rsidRPr="007876D9" w:rsidRDefault="005234C9" w:rsidP="00D10A6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medium-sized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correlations of a previous version of the SDM-Q-9 with the sub-scales of the Perceived Involvement in Care Scale (PICS)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30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], but no convergent validity of the recent version could be established by using the OPTION Scale.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54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</w:tc>
      </w:tr>
      <w:tr w:rsidR="005234C9" w:rsidRPr="00B634B3" w:rsidTr="004E143F">
        <w:tc>
          <w:tcPr>
            <w:tcW w:w="2722" w:type="dxa"/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Questionnaire on the communication behaviour of physicians (KOVA)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31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]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Patient participation and patient orientation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effective and open communication;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emotionally supportive communication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communication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about personal circumstances.</w:t>
            </w:r>
          </w:p>
        </w:tc>
        <w:tc>
          <w:tcPr>
            <w:tcW w:w="850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32</w:t>
            </w:r>
          </w:p>
        </w:tc>
        <w:tc>
          <w:tcPr>
            <w:tcW w:w="1134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6-point Likert Scale</w:t>
            </w:r>
          </w:p>
        </w:tc>
        <w:tc>
          <w:tcPr>
            <w:tcW w:w="1418" w:type="dxa"/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Scale means are transformed to a scale from 0 to 100</w:t>
            </w:r>
          </w:p>
        </w:tc>
        <w:tc>
          <w:tcPr>
            <w:tcW w:w="6095" w:type="dxa"/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the scales are reliable (Cronbach’s α between 0.88 and 0.93) 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the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unidimensionality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is satisfactory to very good.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P.A.INT-questionnaire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32, 33, 34, 35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]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Satisfaction </w:t>
            </w:r>
          </w:p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5-point Likert Scale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or average of scale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good reliability of the long version of the scales (Cronbach’s α between 0.71 and 0.92) in a rehabilitation setting (with exception of the scales decision making and disturbing factors)</w:t>
            </w:r>
          </w:p>
        </w:tc>
      </w:tr>
      <w:tr w:rsidR="005234C9" w:rsidRPr="00B634B3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Quality of the patient-physician communication (physician)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Shared Decision-Making Questionnaire (SDM-Q-Doc)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37, 38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a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 (only one scale)</w:t>
            </w:r>
          </w:p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6-point Likert Scale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score can be lineally transformed to a scale from 0 to 100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good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reliability (α = 0.88) in a test sample of GPs and medical specialists.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Item difficulties range from 3.52 to 4.34 on a scale from 0 to 5.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Apart from one item, the item discrimination for all indices was higher than 0.4.</w:t>
            </w:r>
          </w:p>
        </w:tc>
      </w:tr>
      <w:tr w:rsidR="005234C9" w:rsidRPr="007876D9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Questionnaire on the communication behaviour of physicians (KOVA)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31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a,b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Effective and open communication </w:t>
            </w:r>
          </w:p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6-point Likert Scale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Scale means are transformed to a scale from 0 to 100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--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P.A.INT-questionnaire </w:t>
            </w:r>
            <w:r w:rsidR="00C0462E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32, 33, 34, 35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42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Empathy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42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Openness and coherence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42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Positive regard and appreciation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42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Contact barriers</w:t>
            </w:r>
          </w:p>
          <w:p w:rsidR="005234C9" w:rsidRPr="007876D9" w:rsidRDefault="005234C9" w:rsidP="005234C9">
            <w:pPr>
              <w:pStyle w:val="Listenabsatz"/>
              <w:numPr>
                <w:ilvl w:val="0"/>
                <w:numId w:val="2"/>
              </w:numPr>
              <w:ind w:left="113" w:hanging="142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Satisfaction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12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5-point Likert Scale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or average of scale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5234C9">
            <w:pPr>
              <w:pStyle w:val="Listenabsatz"/>
              <w:numPr>
                <w:ilvl w:val="0"/>
                <w:numId w:val="5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good reliability of the long version of the scales (Cronbach’s α between 0.71 and 0.92) in a rehabilitation setting (with exception of the scales decision making and disturbing factors)</w:t>
            </w:r>
          </w:p>
        </w:tc>
      </w:tr>
      <w:tr w:rsidR="005234C9" w:rsidRPr="007876D9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Man-Son-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Hing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scale.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36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a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 point scale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--</w:t>
            </w:r>
          </w:p>
        </w:tc>
      </w:tr>
      <w:tr w:rsidR="005234C9" w:rsidRPr="007876D9" w:rsidTr="004E143F">
        <w:tc>
          <w:tcPr>
            <w:tcW w:w="1434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34C9" w:rsidRPr="007876D9" w:rsidRDefault="005234C9" w:rsidP="004E143F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proofErr w:type="spellStart"/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Informedness</w:t>
            </w:r>
            <w:proofErr w:type="spellEnd"/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 xml:space="preserve"> (patient)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Self-reported knowledge questionnaire</w:t>
            </w:r>
          </w:p>
        </w:tc>
        <w:tc>
          <w:tcPr>
            <w:tcW w:w="11623" w:type="dxa"/>
            <w:gridSpan w:val="5"/>
            <w:tcBorders>
              <w:bottom w:val="single" w:sz="4" w:space="0" w:color="auto"/>
            </w:tcBorders>
            <w:vAlign w:val="center"/>
          </w:tcPr>
          <w:p w:rsidR="005234C9" w:rsidRPr="007876D9" w:rsidRDefault="005234C9" w:rsidP="00153A1C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 and</w:t>
            </w:r>
            <w:r w:rsidRPr="007876D9">
              <w:rPr>
                <w:rFonts w:ascii="Arial Narrow" w:hAnsi="Arial Narrow"/>
                <w:lang w:val="en-US"/>
              </w:rPr>
              <w:t xml:space="preserve"> 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checked for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understandability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and acceptance in a cognitive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pretest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using one-</w:t>
            </w:r>
            <w:r w:rsidR="00153A1C">
              <w:rPr>
                <w:rFonts w:ascii="Arial Narrow" w:hAnsi="Arial Narrow"/>
                <w:bCs/>
                <w:sz w:val="16"/>
                <w:szCs w:val="16"/>
                <w:lang w:val="en-GB"/>
              </w:rPr>
              <w:t>on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-one interviews with eight patients having experience with back pain [39]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Self-reported knowledge global question</w:t>
            </w:r>
          </w:p>
        </w:tc>
        <w:tc>
          <w:tcPr>
            <w:tcW w:w="11623" w:type="dxa"/>
            <w:gridSpan w:val="5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lang w:val="en-US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Perceived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informedness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questionnaire</w:t>
            </w:r>
          </w:p>
        </w:tc>
        <w:tc>
          <w:tcPr>
            <w:tcW w:w="11623" w:type="dxa"/>
            <w:gridSpan w:val="5"/>
            <w:tcBorders>
              <w:bottom w:val="single" w:sz="4" w:space="0" w:color="auto"/>
            </w:tcBorders>
          </w:tcPr>
          <w:p w:rsidR="005234C9" w:rsidRPr="007876D9" w:rsidRDefault="005234C9" w:rsidP="00153A1C">
            <w:pPr>
              <w:jc w:val="center"/>
              <w:rPr>
                <w:rFonts w:ascii="Arial Narrow" w:hAnsi="Arial Narrow"/>
                <w:lang w:val="en-US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Will be developed for the project and checked for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understandability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and acceptance in a cognitive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pretest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using one-</w:t>
            </w:r>
            <w:r w:rsidR="00153A1C">
              <w:rPr>
                <w:rFonts w:ascii="Arial Narrow" w:hAnsi="Arial Narrow"/>
                <w:bCs/>
                <w:sz w:val="16"/>
                <w:szCs w:val="16"/>
                <w:lang w:val="en-GB"/>
              </w:rPr>
              <w:t>on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-one interviews with eight patients having experience with back pain [39]</w:t>
            </w:r>
          </w:p>
        </w:tc>
      </w:tr>
      <w:tr w:rsidR="005234C9" w:rsidRPr="00B634B3" w:rsidTr="004E143F">
        <w:tc>
          <w:tcPr>
            <w:tcW w:w="2722" w:type="dxa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Perceived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informedness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global question</w:t>
            </w:r>
          </w:p>
        </w:tc>
        <w:tc>
          <w:tcPr>
            <w:tcW w:w="11623" w:type="dxa"/>
            <w:gridSpan w:val="5"/>
            <w:tcBorders>
              <w:bottom w:val="single" w:sz="4" w:space="0" w:color="auto"/>
            </w:tcBorders>
          </w:tcPr>
          <w:p w:rsidR="005234C9" w:rsidRPr="007876D9" w:rsidRDefault="005234C9" w:rsidP="004E143F">
            <w:pPr>
              <w:jc w:val="center"/>
              <w:rPr>
                <w:rFonts w:ascii="Arial Narrow" w:hAnsi="Arial Narrow"/>
                <w:lang w:val="en-US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  <w:tr w:rsidR="00A77FA5" w:rsidRPr="007876D9" w:rsidTr="00BD3375">
        <w:tc>
          <w:tcPr>
            <w:tcW w:w="2722" w:type="dxa"/>
          </w:tcPr>
          <w:p w:rsidR="00A77FA5" w:rsidRPr="007876D9" w:rsidRDefault="00A77FA5" w:rsidP="00BD3375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  <w:p w:rsidR="00A77FA5" w:rsidRPr="007876D9" w:rsidRDefault="00A77FA5" w:rsidP="00BD3375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Used Scales</w:t>
            </w:r>
          </w:p>
        </w:tc>
        <w:tc>
          <w:tcPr>
            <w:tcW w:w="850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Number of used items</w:t>
            </w:r>
          </w:p>
        </w:tc>
        <w:tc>
          <w:tcPr>
            <w:tcW w:w="1134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Response scale</w:t>
            </w:r>
          </w:p>
        </w:tc>
        <w:tc>
          <w:tcPr>
            <w:tcW w:w="1418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Calculation of score</w:t>
            </w:r>
          </w:p>
        </w:tc>
        <w:tc>
          <w:tcPr>
            <w:tcW w:w="6095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Psychometric properties</w:t>
            </w:r>
          </w:p>
        </w:tc>
      </w:tr>
      <w:tr w:rsidR="001B2F69" w:rsidRPr="007876D9" w:rsidTr="004E143F">
        <w:tc>
          <w:tcPr>
            <w:tcW w:w="14345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8"/>
                <w:szCs w:val="16"/>
                <w:lang w:val="en-GB"/>
              </w:rPr>
              <w:t xml:space="preserve">Secondary outcomes </w:t>
            </w:r>
          </w:p>
        </w:tc>
      </w:tr>
      <w:tr w:rsidR="001B2F69" w:rsidRPr="00B634B3" w:rsidTr="004E143F">
        <w:tc>
          <w:tcPr>
            <w:tcW w:w="1434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Self-reported self-efficacy (patient)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Perceived Efficacy in Patient-Physician Interactions (PEPPI)-Questionnaire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40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] </w:t>
            </w:r>
          </w:p>
        </w:tc>
        <w:tc>
          <w:tcPr>
            <w:tcW w:w="2126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 (only one scale)</w:t>
            </w:r>
          </w:p>
        </w:tc>
        <w:tc>
          <w:tcPr>
            <w:tcW w:w="850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11-point-Likert scale</w:t>
            </w:r>
          </w:p>
        </w:tc>
        <w:tc>
          <w:tcPr>
            <w:tcW w:w="1418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score</w:t>
            </w:r>
          </w:p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(50 indicating the highest perceived self-efficacy)</w:t>
            </w:r>
          </w:p>
        </w:tc>
        <w:tc>
          <w:tcPr>
            <w:tcW w:w="6095" w:type="dxa"/>
          </w:tcPr>
          <w:p w:rsidR="001B2F69" w:rsidRPr="007876D9" w:rsidRDefault="001B2F69" w:rsidP="001B2F6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Two studies reported a good reliability for the English version (Cronbach’s α = 0.82 and 0.83)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40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  <w:p w:rsidR="001B2F69" w:rsidRPr="007876D9" w:rsidRDefault="001B2F69" w:rsidP="00D10A6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Analyses confirmed most hypotheses regarding its construct validity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r w:rsidR="00D10A69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40</w:t>
            </w:r>
            <w:r w:rsidR="00D10A69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. </w:t>
            </w:r>
          </w:p>
        </w:tc>
      </w:tr>
      <w:tr w:rsidR="001B2F69" w:rsidRPr="007876D9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One Item of Perceived Efficacy in Patient-Physician Interactions (PEPPI)-Questionnaire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40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</w:tc>
        <w:tc>
          <w:tcPr>
            <w:tcW w:w="2126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850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11-point-Likert scale</w:t>
            </w:r>
          </w:p>
        </w:tc>
        <w:tc>
          <w:tcPr>
            <w:tcW w:w="1418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6095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--</w:t>
            </w:r>
          </w:p>
        </w:tc>
      </w:tr>
      <w:tr w:rsidR="001B2F69" w:rsidRPr="007876D9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highlight w:val="green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Health Literacy (patient)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Healt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h Literacy Questionnaire (HLQ) 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41, 42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] </w:t>
            </w:r>
          </w:p>
        </w:tc>
        <w:tc>
          <w:tcPr>
            <w:tcW w:w="2126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Feeling understood and supported by healthcare providers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Having sufficient information to manage my health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Actively managing my health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Social support for health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Appraisal of health information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Ability to actively engage with healthcare providers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Navigating the healthcare system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Ability to find good health information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Understanding health information well enough to know what to do</w:t>
            </w:r>
          </w:p>
        </w:tc>
        <w:tc>
          <w:tcPr>
            <w:tcW w:w="850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44</w:t>
            </w:r>
          </w:p>
        </w:tc>
        <w:tc>
          <w:tcPr>
            <w:tcW w:w="1134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4-point Likert- scale (five scales) and 5-point Likert-scale (four scales)</w:t>
            </w:r>
          </w:p>
        </w:tc>
        <w:tc>
          <w:tcPr>
            <w:tcW w:w="1418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average score for each scale</w:t>
            </w:r>
          </w:p>
        </w:tc>
        <w:tc>
          <w:tcPr>
            <w:tcW w:w="6095" w:type="dxa"/>
          </w:tcPr>
          <w:p w:rsidR="001B2F69" w:rsidRPr="007876D9" w:rsidRDefault="001B2F69" w:rsidP="001B2F6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nine-factor model of the original version was confirmed for the German version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42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  <w:p w:rsidR="001B2F69" w:rsidRPr="007876D9" w:rsidRDefault="001B2F69" w:rsidP="00D10A69">
            <w:pPr>
              <w:pStyle w:val="Listenabsatz"/>
              <w:numPr>
                <w:ilvl w:val="0"/>
                <w:numId w:val="1"/>
              </w:numPr>
              <w:ind w:left="256" w:hanging="15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good reliability of the scales (Cronbach’s α between 0.77 to 0.91)</w:t>
            </w:r>
            <w:r w:rsidR="00D10A69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42</w:t>
            </w:r>
            <w:r w:rsidR="00D10A69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Health literacy global questions </w:t>
            </w:r>
          </w:p>
        </w:tc>
        <w:tc>
          <w:tcPr>
            <w:tcW w:w="11623" w:type="dxa"/>
            <w:gridSpan w:val="5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  <w:tr w:rsidR="001B2F69" w:rsidRPr="007876D9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Pain intensity (patient)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Visual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analog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scale (VAS)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43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] </w:t>
            </w:r>
          </w:p>
        </w:tc>
        <w:tc>
          <w:tcPr>
            <w:tcW w:w="2126" w:type="dxa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850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Visual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analog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scale with a range from 0 to 100</w:t>
            </w:r>
          </w:p>
        </w:tc>
        <w:tc>
          <w:tcPr>
            <w:tcW w:w="1418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Score between 0 and 100</w:t>
            </w:r>
          </w:p>
        </w:tc>
        <w:tc>
          <w:tcPr>
            <w:tcW w:w="6095" w:type="dxa"/>
            <w:vAlign w:val="center"/>
          </w:tcPr>
          <w:p w:rsidR="001B2F69" w:rsidRPr="007876D9" w:rsidRDefault="001B2F69" w:rsidP="00D10A69">
            <w:pPr>
              <w:pStyle w:val="Listenabsatz"/>
              <w:numPr>
                <w:ilvl w:val="0"/>
                <w:numId w:val="1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The reliability of the VAS in assessing acute pain is sufficiently high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43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</w:tc>
      </w:tr>
      <w:tr w:rsidR="001B2F69" w:rsidRPr="00B634B3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Accordance of provided and needed information (physician)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it-IT"/>
              </w:rPr>
            </w:pP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it-IT"/>
              </w:rPr>
              <w:t>Decision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it-IT"/>
              </w:rPr>
              <w:t>Attitude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it-IT"/>
              </w:rPr>
              <w:t xml:space="preserve"> Scale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it-IT"/>
              </w:rPr>
              <w:t>44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it-IT"/>
              </w:rPr>
              <w:t xml:space="preserve">]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it-IT"/>
              </w:rPr>
              <w:t>c</w:t>
            </w:r>
            <w:proofErr w:type="gramStart"/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it-IT"/>
              </w:rPr>
              <w:t>,</w:t>
            </w:r>
            <w:proofErr w:type="gramEnd"/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it-IT"/>
              </w:rPr>
              <w:t>d</w:t>
            </w:r>
            <w:proofErr w:type="spellEnd"/>
          </w:p>
        </w:tc>
        <w:tc>
          <w:tcPr>
            <w:tcW w:w="2126" w:type="dxa"/>
          </w:tcPr>
          <w:p w:rsidR="001B2F69" w:rsidRPr="007876D9" w:rsidRDefault="001B2F69" w:rsidP="001B2F69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Adequacy of information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Usability of information</w:t>
            </w:r>
          </w:p>
        </w:tc>
        <w:tc>
          <w:tcPr>
            <w:tcW w:w="850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5-point Likert-scale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or average of 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2F69" w:rsidRPr="007876D9" w:rsidRDefault="001B2F69" w:rsidP="00D10A69">
            <w:pPr>
              <w:pStyle w:val="Listenabsatz"/>
              <w:numPr>
                <w:ilvl w:val="0"/>
                <w:numId w:val="1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Moderate to good reliability of the scales (r = 0.49 and 0.64)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44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Self-developed item whether content fits expectations</w:t>
            </w:r>
          </w:p>
        </w:tc>
        <w:tc>
          <w:tcPr>
            <w:tcW w:w="11623" w:type="dxa"/>
            <w:gridSpan w:val="5"/>
          </w:tcPr>
          <w:p w:rsidR="001B2F69" w:rsidRPr="007876D9" w:rsidRDefault="001B2F69" w:rsidP="004E143F">
            <w:pPr>
              <w:ind w:left="103"/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  <w:tr w:rsidR="001B2F69" w:rsidRPr="007876D9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Usability (physician)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System Usability Scale (SUS) [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>45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c,d</w:t>
            </w:r>
            <w:proofErr w:type="spellEnd"/>
          </w:p>
        </w:tc>
        <w:tc>
          <w:tcPr>
            <w:tcW w:w="2126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5-point Likert-scale</w:t>
            </w:r>
          </w:p>
        </w:tc>
        <w:tc>
          <w:tcPr>
            <w:tcW w:w="1418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score is transformed to a scale from 0 to 100</w:t>
            </w:r>
          </w:p>
        </w:tc>
        <w:tc>
          <w:tcPr>
            <w:tcW w:w="6095" w:type="dxa"/>
            <w:vAlign w:val="center"/>
          </w:tcPr>
          <w:p w:rsidR="001B2F69" w:rsidRPr="007876D9" w:rsidRDefault="001B2F69" w:rsidP="001B2F69">
            <w:pPr>
              <w:pStyle w:val="Listenabsatz"/>
              <w:numPr>
                <w:ilvl w:val="0"/>
                <w:numId w:val="3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Repeated very good reliability of 0.9 and more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55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  <w:p w:rsidR="001B2F69" w:rsidRPr="007876D9" w:rsidRDefault="001B2F69" w:rsidP="001B2F69">
            <w:pPr>
              <w:pStyle w:val="Listenabsatz"/>
              <w:numPr>
                <w:ilvl w:val="0"/>
                <w:numId w:val="3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acceptable levels of concurrent validity [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55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</w:p>
          <w:p w:rsidR="001B2F69" w:rsidRPr="007876D9" w:rsidRDefault="001B2F69" w:rsidP="00D10A69">
            <w:pPr>
              <w:pStyle w:val="Listenabsatz"/>
              <w:numPr>
                <w:ilvl w:val="0"/>
                <w:numId w:val="3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Although studies showed that the SUS is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bidimensional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, these dimensions are of little practical or theoretical interest. Therefore, it is recommended to use the SUS as a unidimensional measure of 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lastRenderedPageBreak/>
              <w:t>perceived usability</w:t>
            </w:r>
            <w:r w:rsidR="00D10A6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[55</w:t>
            </w:r>
            <w:r w:rsidR="00D10A69"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4E143F">
            <w:pPr>
              <w:tabs>
                <w:tab w:val="left" w:pos="2450"/>
              </w:tabs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lastRenderedPageBreak/>
              <w:t xml:space="preserve">Self-developed items on </w:t>
            </w:r>
            <w:proofErr w:type="spellStart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usability</w:t>
            </w:r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1623" w:type="dxa"/>
            <w:gridSpan w:val="5"/>
          </w:tcPr>
          <w:p w:rsidR="001B2F69" w:rsidRPr="007876D9" w:rsidRDefault="001B2F69" w:rsidP="004E143F">
            <w:pPr>
              <w:ind w:left="103"/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  <w:tr w:rsidR="001B2F69" w:rsidRPr="007876D9" w:rsidTr="004E143F">
        <w:tc>
          <w:tcPr>
            <w:tcW w:w="14345" w:type="dxa"/>
            <w:gridSpan w:val="6"/>
            <w:shd w:val="clear" w:color="auto" w:fill="DBE5F1" w:themeFill="accent1" w:themeFillTint="33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Use of portal (physician)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Self-developed items on actual use of portal </w:t>
            </w:r>
            <w:r w:rsidRPr="007876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GB"/>
              </w:rPr>
              <w:t>d</w:t>
            </w:r>
          </w:p>
        </w:tc>
        <w:tc>
          <w:tcPr>
            <w:tcW w:w="11623" w:type="dxa"/>
            <w:gridSpan w:val="5"/>
          </w:tcPr>
          <w:p w:rsidR="001B2F69" w:rsidRPr="007876D9" w:rsidRDefault="001B2F69" w:rsidP="004E143F">
            <w:pPr>
              <w:ind w:left="103"/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</w:tbl>
    <w:p w:rsidR="00A77FA5" w:rsidRPr="00B650EC" w:rsidRDefault="00A77FA5">
      <w:pPr>
        <w:rPr>
          <w:lang w:val="en-US"/>
        </w:rPr>
      </w:pPr>
    </w:p>
    <w:p w:rsidR="00A77FA5" w:rsidRPr="00B650EC" w:rsidRDefault="00A77FA5">
      <w:pPr>
        <w:rPr>
          <w:lang w:val="en-US"/>
        </w:rPr>
      </w:pPr>
    </w:p>
    <w:p w:rsidR="00A77FA5" w:rsidRPr="00B650EC" w:rsidRDefault="00A77FA5">
      <w:pPr>
        <w:rPr>
          <w:lang w:val="en-US"/>
        </w:rPr>
      </w:pPr>
    </w:p>
    <w:tbl>
      <w:tblPr>
        <w:tblStyle w:val="Tabellenraster"/>
        <w:tblW w:w="143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126"/>
        <w:gridCol w:w="850"/>
        <w:gridCol w:w="1134"/>
        <w:gridCol w:w="1418"/>
        <w:gridCol w:w="6095"/>
      </w:tblGrid>
      <w:tr w:rsidR="00A77FA5" w:rsidRPr="007876D9" w:rsidTr="00BD3375">
        <w:tc>
          <w:tcPr>
            <w:tcW w:w="2722" w:type="dxa"/>
          </w:tcPr>
          <w:p w:rsidR="00A77FA5" w:rsidRPr="007876D9" w:rsidRDefault="00A77FA5" w:rsidP="00BD3375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  <w:p w:rsidR="00A77FA5" w:rsidRPr="007876D9" w:rsidRDefault="00A77FA5" w:rsidP="00BD3375">
            <w:pPr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Used Scales</w:t>
            </w:r>
          </w:p>
        </w:tc>
        <w:tc>
          <w:tcPr>
            <w:tcW w:w="850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Number of used items</w:t>
            </w:r>
          </w:p>
        </w:tc>
        <w:tc>
          <w:tcPr>
            <w:tcW w:w="1134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Response scale</w:t>
            </w:r>
          </w:p>
        </w:tc>
        <w:tc>
          <w:tcPr>
            <w:tcW w:w="1418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Calculation of score</w:t>
            </w:r>
          </w:p>
        </w:tc>
        <w:tc>
          <w:tcPr>
            <w:tcW w:w="6095" w:type="dxa"/>
          </w:tcPr>
          <w:p w:rsidR="00A77FA5" w:rsidRPr="007876D9" w:rsidRDefault="00A77FA5" w:rsidP="00BD33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Psychometric properties</w:t>
            </w:r>
          </w:p>
        </w:tc>
      </w:tr>
      <w:tr w:rsidR="001B2F69" w:rsidRPr="00B634B3" w:rsidTr="004E143F">
        <w:tc>
          <w:tcPr>
            <w:tcW w:w="14345" w:type="dxa"/>
            <w:gridSpan w:val="6"/>
            <w:shd w:val="clear" w:color="auto" w:fill="B8CCE4" w:themeFill="accent1" w:themeFillTint="66"/>
          </w:tcPr>
          <w:p w:rsidR="001B2F69" w:rsidRPr="007876D9" w:rsidRDefault="001B2F69" w:rsidP="004E143F">
            <w:pPr>
              <w:ind w:left="103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/>
                <w:bCs/>
                <w:sz w:val="18"/>
                <w:szCs w:val="16"/>
                <w:lang w:val="en-GB"/>
              </w:rPr>
              <w:t>Additional assessed variables (Survey data)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C0462E">
            <w:pPr>
              <w:tabs>
                <w:tab w:val="right" w:pos="3800"/>
              </w:tabs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Back Belief Questionnaire</w:t>
            </w:r>
            <w:r w:rsidR="00C0462E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[46]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Complete questionnaire (only one scale)</w:t>
            </w:r>
          </w:p>
        </w:tc>
        <w:tc>
          <w:tcPr>
            <w:tcW w:w="850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14 (9 content and 5 distractor items)</w:t>
            </w:r>
          </w:p>
        </w:tc>
        <w:tc>
          <w:tcPr>
            <w:tcW w:w="1134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5-point scale</w:t>
            </w:r>
          </w:p>
        </w:tc>
        <w:tc>
          <w:tcPr>
            <w:tcW w:w="1418" w:type="dxa"/>
            <w:vAlign w:val="center"/>
          </w:tcPr>
          <w:p w:rsidR="001B2F69" w:rsidRPr="007876D9" w:rsidRDefault="001B2F69" w:rsidP="004E143F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sum score, is transformed to a scale from 0 to 100</w:t>
            </w:r>
          </w:p>
        </w:tc>
        <w:tc>
          <w:tcPr>
            <w:tcW w:w="6095" w:type="dxa"/>
            <w:vAlign w:val="center"/>
          </w:tcPr>
          <w:p w:rsidR="001B2F69" w:rsidRPr="007876D9" w:rsidRDefault="001B2F69" w:rsidP="001B2F69">
            <w:pPr>
              <w:pStyle w:val="Listenabsatz"/>
              <w:numPr>
                <w:ilvl w:val="0"/>
                <w:numId w:val="4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Repeated</w:t>
            </w:r>
            <w:r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adequate internal consistency (Cronbach’s α was 0.82</w:t>
            </w:r>
            <w:r w:rsidR="00D66A77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[46]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and 0.80</w:t>
            </w:r>
            <w:r w:rsidR="001858C1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[56]</w:t>
            </w: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)</w:t>
            </w:r>
          </w:p>
          <w:p w:rsidR="001B2F69" w:rsidRPr="007876D9" w:rsidRDefault="001B2F69" w:rsidP="001858C1">
            <w:pPr>
              <w:pStyle w:val="Listenabsatz"/>
              <w:numPr>
                <w:ilvl w:val="0"/>
                <w:numId w:val="4"/>
              </w:numPr>
              <w:ind w:left="255" w:hanging="141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Acceptable item-total correlation coefficients (&gt;.48) at baseline and follow-up</w:t>
            </w:r>
            <w:r w:rsidR="001858C1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[56]</w:t>
            </w:r>
          </w:p>
        </w:tc>
      </w:tr>
      <w:tr w:rsidR="001B2F69" w:rsidRPr="00B634B3" w:rsidTr="004E143F">
        <w:tc>
          <w:tcPr>
            <w:tcW w:w="2722" w:type="dxa"/>
          </w:tcPr>
          <w:p w:rsidR="001B2F69" w:rsidRPr="007876D9" w:rsidRDefault="001B2F69" w:rsidP="004E143F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Items regarding sociodemographic data of patients and physicians, internet use and medical data of patients, structural features of the practice</w:t>
            </w:r>
          </w:p>
        </w:tc>
        <w:tc>
          <w:tcPr>
            <w:tcW w:w="11623" w:type="dxa"/>
            <w:gridSpan w:val="5"/>
          </w:tcPr>
          <w:p w:rsidR="001B2F69" w:rsidRPr="007876D9" w:rsidRDefault="001B2F69" w:rsidP="004E143F">
            <w:pPr>
              <w:ind w:left="103"/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876D9">
              <w:rPr>
                <w:rFonts w:ascii="Arial Narrow" w:hAnsi="Arial Narrow"/>
                <w:bCs/>
                <w:sz w:val="16"/>
                <w:szCs w:val="16"/>
                <w:lang w:val="en-GB"/>
              </w:rPr>
              <w:t>Will be developed for the project.</w:t>
            </w:r>
          </w:p>
        </w:tc>
      </w:tr>
    </w:tbl>
    <w:p w:rsidR="001B2F69" w:rsidRPr="001B2F69" w:rsidRDefault="001B2F69" w:rsidP="005234C9">
      <w:pPr>
        <w:ind w:left="284" w:hanging="284"/>
        <w:rPr>
          <w:rFonts w:ascii="Arial Narrow" w:hAnsi="Arial Narrow" w:cs="Arial"/>
          <w:sz w:val="18"/>
          <w:lang w:val="en-US"/>
        </w:rPr>
      </w:pPr>
    </w:p>
    <w:p w:rsidR="005234C9" w:rsidRPr="007876D9" w:rsidRDefault="005234C9" w:rsidP="005234C9">
      <w:pPr>
        <w:ind w:left="284" w:hanging="284"/>
        <w:rPr>
          <w:rFonts w:ascii="Arial Narrow" w:hAnsi="Arial Narrow" w:cs="Arial"/>
          <w:sz w:val="18"/>
          <w:lang w:val="en-GB"/>
        </w:rPr>
      </w:pPr>
      <w:proofErr w:type="gramStart"/>
      <w:r w:rsidRPr="007876D9">
        <w:rPr>
          <w:rFonts w:ascii="Arial Narrow" w:hAnsi="Arial Narrow" w:cs="Arial"/>
          <w:sz w:val="18"/>
          <w:lang w:val="en-GB"/>
        </w:rPr>
        <w:t>a</w:t>
      </w:r>
      <w:proofErr w:type="gramEnd"/>
      <w:r w:rsidRPr="007876D9">
        <w:rPr>
          <w:rFonts w:ascii="Arial Narrow" w:hAnsi="Arial Narrow" w:cs="Arial"/>
          <w:sz w:val="18"/>
          <w:lang w:val="en-GB"/>
        </w:rPr>
        <w:t xml:space="preserve"> Instruments will be adapted so that physicians assess their communication behaviour across consultations.</w:t>
      </w:r>
    </w:p>
    <w:p w:rsidR="005234C9" w:rsidRPr="007876D9" w:rsidRDefault="005234C9" w:rsidP="005234C9">
      <w:pPr>
        <w:ind w:left="284" w:hanging="284"/>
        <w:rPr>
          <w:rFonts w:ascii="Arial Narrow" w:hAnsi="Arial Narrow" w:cs="Arial"/>
          <w:sz w:val="18"/>
          <w:lang w:val="en-GB"/>
        </w:rPr>
      </w:pPr>
      <w:proofErr w:type="gramStart"/>
      <w:r w:rsidRPr="007876D9">
        <w:rPr>
          <w:rFonts w:ascii="Arial Narrow" w:hAnsi="Arial Narrow" w:cs="Arial"/>
          <w:sz w:val="18"/>
          <w:lang w:val="en-GB"/>
        </w:rPr>
        <w:t>b</w:t>
      </w:r>
      <w:proofErr w:type="gramEnd"/>
      <w:r w:rsidRPr="007876D9">
        <w:rPr>
          <w:rFonts w:ascii="Arial Narrow" w:hAnsi="Arial Narrow" w:cs="Arial"/>
          <w:sz w:val="18"/>
          <w:lang w:val="en-GB"/>
        </w:rPr>
        <w:t xml:space="preserve"> Instrument will be adapted for assessing the communication from physician’s perspective</w:t>
      </w:r>
    </w:p>
    <w:p w:rsidR="005234C9" w:rsidRPr="007876D9" w:rsidRDefault="005234C9" w:rsidP="005234C9">
      <w:pPr>
        <w:ind w:left="284" w:hanging="284"/>
        <w:rPr>
          <w:rFonts w:ascii="Arial Narrow" w:hAnsi="Arial Narrow" w:cs="Arial"/>
          <w:sz w:val="18"/>
          <w:lang w:val="en-GB"/>
        </w:rPr>
      </w:pPr>
      <w:proofErr w:type="gramStart"/>
      <w:r w:rsidRPr="007876D9">
        <w:rPr>
          <w:rFonts w:ascii="Arial Narrow" w:hAnsi="Arial Narrow" w:cs="Arial"/>
          <w:sz w:val="18"/>
          <w:lang w:val="en-GB"/>
        </w:rPr>
        <w:t>c</w:t>
      </w:r>
      <w:proofErr w:type="gramEnd"/>
      <w:r w:rsidRPr="007876D9">
        <w:rPr>
          <w:rFonts w:ascii="Arial Narrow" w:hAnsi="Arial Narrow" w:cs="Arial"/>
          <w:sz w:val="18"/>
          <w:lang w:val="en-GB"/>
        </w:rPr>
        <w:t xml:space="preserve"> Instrument will be adapted so that the physicians assess the portal</w:t>
      </w:r>
    </w:p>
    <w:p w:rsidR="005234C9" w:rsidRPr="007876D9" w:rsidRDefault="005234C9" w:rsidP="005234C9">
      <w:pPr>
        <w:ind w:left="284" w:hanging="284"/>
        <w:rPr>
          <w:rFonts w:ascii="Arial Narrow" w:hAnsi="Arial Narrow" w:cs="Arial"/>
          <w:sz w:val="18"/>
          <w:lang w:val="en-GB"/>
        </w:rPr>
      </w:pPr>
      <w:proofErr w:type="gramStart"/>
      <w:r w:rsidRPr="007876D9">
        <w:rPr>
          <w:rFonts w:ascii="Arial Narrow" w:hAnsi="Arial Narrow" w:cs="Arial"/>
          <w:sz w:val="18"/>
          <w:lang w:val="en-GB"/>
        </w:rPr>
        <w:t>d</w:t>
      </w:r>
      <w:proofErr w:type="gramEnd"/>
      <w:r w:rsidRPr="007876D9">
        <w:rPr>
          <w:rFonts w:ascii="Arial Narrow" w:hAnsi="Arial Narrow" w:cs="Arial"/>
          <w:sz w:val="18"/>
          <w:lang w:val="en-GB"/>
        </w:rPr>
        <w:t xml:space="preserve"> only intervention group</w:t>
      </w:r>
    </w:p>
    <w:p w:rsidR="00FC08C0" w:rsidRPr="004B4920" w:rsidRDefault="00FC08C0">
      <w:pPr>
        <w:rPr>
          <w:sz w:val="18"/>
          <w:szCs w:val="18"/>
          <w:lang w:val="en-US"/>
        </w:rPr>
      </w:pPr>
    </w:p>
    <w:p w:rsidR="001B2F69" w:rsidRPr="004B4920" w:rsidRDefault="001B2F69" w:rsidP="00A77FA5">
      <w:pPr>
        <w:spacing w:line="480" w:lineRule="auto"/>
        <w:rPr>
          <w:rFonts w:ascii="Arial Narrow" w:hAnsi="Arial Narrow"/>
          <w:sz w:val="18"/>
          <w:szCs w:val="18"/>
          <w:lang w:val="en-US"/>
        </w:rPr>
      </w:pPr>
    </w:p>
    <w:p w:rsidR="001B2F69" w:rsidRPr="004B4920" w:rsidRDefault="001B2F69" w:rsidP="00A77FA5">
      <w:pPr>
        <w:spacing w:line="480" w:lineRule="auto"/>
        <w:rPr>
          <w:rFonts w:ascii="Arial Narrow" w:hAnsi="Arial Narrow"/>
          <w:sz w:val="18"/>
          <w:szCs w:val="18"/>
          <w:lang w:val="en-US"/>
        </w:rPr>
      </w:pPr>
      <w:r w:rsidRPr="004B4920">
        <w:rPr>
          <w:rFonts w:ascii="Arial Narrow" w:hAnsi="Arial Narrow"/>
          <w:sz w:val="18"/>
          <w:szCs w:val="18"/>
          <w:lang w:val="en-US"/>
        </w:rPr>
        <w:t>References: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</w:rPr>
        <w:t xml:space="preserve">[30] Scholl I,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Kriston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L, Härter M. PEF-FB-9 - Fragebogen zur Partizipativen Entscheidungsfindung (revidierte 9-Item Fassung). </w:t>
      </w:r>
      <w:proofErr w:type="spellStart"/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Klinische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Diagnostik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und Evaluation.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2009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;4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(1):46-49.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[31]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Farin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E, Gramm L, Schmidt E. Taking into account patients’ communication preferences: Development of an instrument and descriptive results in patients with chronic back pain. </w:t>
      </w:r>
      <w:r w:rsidRPr="004B4920">
        <w:rPr>
          <w:rFonts w:ascii="Arial Narrow" w:hAnsi="Arial Narrow" w:cstheme="minorBidi"/>
          <w:sz w:val="18"/>
          <w:szCs w:val="18"/>
        </w:rPr>
        <w:t xml:space="preserve">Patient Education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and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Counseling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>. 2012;86(1):41-48.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</w:rPr>
      </w:pPr>
      <w:r w:rsidRPr="004B4920">
        <w:rPr>
          <w:rFonts w:ascii="Arial Narrow" w:hAnsi="Arial Narrow" w:cstheme="minorBidi"/>
          <w:sz w:val="18"/>
          <w:szCs w:val="18"/>
        </w:rPr>
        <w:t xml:space="preserve">[32] Dibbelt S, Fleischer C,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Schaidhammer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M,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Greitemann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B. Der P.A.INT- Fragebogen zur Kontaktbewertung (P.A.INT-GBB): Ein Instrument zur Erfassung der Qualität der Patienten-Arzt- Interaktion aus zwei Perspektiven. 16. Rehabilitations-wissenschaftliches Kolloquium in Berlin DRV-Schriften. 2007;72.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</w:rPr>
        <w:lastRenderedPageBreak/>
        <w:t>[33] Fleischer C. Arzt-Patienten-Interaktion als Beitrag zur Qualitätssicherung in Reha-Kliniken [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Doctor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>–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patient-interaction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as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a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contribution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to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quality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assurance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in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rehabilitation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clinics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>]. Diplomarbeit im Fachbereich Humanwissenschaften, Fach Psychologie der Universität Osnabrück [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Diplomathesis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in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the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Department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of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Human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sciences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Psychology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, University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of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Osnabrueck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]. </w:t>
      </w:r>
      <w:r w:rsidRPr="004B4920">
        <w:rPr>
          <w:rFonts w:ascii="Arial Narrow" w:hAnsi="Arial Narrow" w:cstheme="minorBidi"/>
          <w:sz w:val="18"/>
          <w:szCs w:val="18"/>
          <w:lang w:val="en-US"/>
        </w:rPr>
        <w:t>2006.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[34]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Dibbelt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S,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Schaidhammer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, M, Fleischer C,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Greitemann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B. Patient-doctor interaction in rehabilitation: The relationship between perceived interaction quality and long-term treatment results. </w:t>
      </w:r>
      <w:r w:rsidRPr="004B4920">
        <w:rPr>
          <w:rFonts w:ascii="Arial Narrow" w:hAnsi="Arial Narrow" w:cstheme="minorBidi"/>
          <w:sz w:val="18"/>
          <w:szCs w:val="18"/>
        </w:rPr>
        <w:t xml:space="preserve">Patient Education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and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Counseling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>. 2009;76:328-335.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</w:rPr>
        <w:t xml:space="preserve">[35] Dibbelt S,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Schaidhammer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M, Fleischer C,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Greitemann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B. Patient-Arzt-Interaktion in der Rehabilitation: Gibt es einen Zusammenhang zwischen wahrgenommener Interaktionsqualität und langfristigen Behandlungsergebnissen? </w:t>
      </w:r>
      <w:r w:rsidRPr="004B4920">
        <w:rPr>
          <w:rFonts w:ascii="Arial Narrow" w:hAnsi="Arial Narrow" w:cstheme="minorBidi"/>
          <w:sz w:val="18"/>
          <w:szCs w:val="18"/>
          <w:lang w:val="en-US"/>
        </w:rPr>
        <w:t>Rehabilitation 2010; 49: 315–325.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>[36] Man-Son-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Hing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M,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Laupacis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A, O’Connor AM, Biggs J, Drake E,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Yetisir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E, Hart RG. A Patient Decision Aid Regarding Antithrombotic Therapy for Stroke Prevention in Atrial Fibrillation: A Randomized Controlled Trial.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Journal of the American Medical Association.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1999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;282:737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-742.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[37] Scholl I,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Kriston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L,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Dirmaier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J, Buchholz A,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Härter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M. Development and psychometric properties of the Shared Decision-making Questionnaire – physician version (shared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decisionmaking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- Q-Doc). </w:t>
      </w:r>
      <w:r w:rsidRPr="004B4920">
        <w:rPr>
          <w:rFonts w:ascii="Arial Narrow" w:hAnsi="Arial Narrow" w:cstheme="minorBidi"/>
          <w:sz w:val="18"/>
          <w:szCs w:val="18"/>
        </w:rPr>
        <w:t xml:space="preserve">Patient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Educ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Couns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>. 2012;88(2):284-90.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</w:rPr>
        <w:t xml:space="preserve">[38] Scholl I,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Kriston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L, </w:t>
      </w:r>
      <w:proofErr w:type="spellStart"/>
      <w:r w:rsidRPr="004B4920">
        <w:rPr>
          <w:rFonts w:ascii="Arial Narrow" w:hAnsi="Arial Narrow" w:cstheme="minorBidi"/>
          <w:sz w:val="18"/>
          <w:szCs w:val="18"/>
        </w:rPr>
        <w:t>Dirmaier</w:t>
      </w:r>
      <w:proofErr w:type="spellEnd"/>
      <w:r w:rsidRPr="004B4920">
        <w:rPr>
          <w:rFonts w:ascii="Arial Narrow" w:hAnsi="Arial Narrow" w:cstheme="minorBidi"/>
          <w:sz w:val="18"/>
          <w:szCs w:val="18"/>
        </w:rPr>
        <w:t xml:space="preserve"> J, Buchholz A, Härter M. PEF-FB-Doc. Fragebogen zur Partizipativen Entscheidungsfindung (Arztversion). Hamburg: Universitätsklinikum Hamburg-Eppendorf, Institut und Poliklinik für Medizinische Psychologie. </w:t>
      </w:r>
      <w:r w:rsidRPr="004B4920">
        <w:rPr>
          <w:rFonts w:ascii="Arial Narrow" w:hAnsi="Arial Narrow" w:cstheme="minorBidi"/>
          <w:sz w:val="18"/>
          <w:szCs w:val="18"/>
          <w:lang w:val="en-US"/>
        </w:rPr>
        <w:t>2010</w:t>
      </w:r>
      <w:r w:rsidR="009F2C63">
        <w:rPr>
          <w:rFonts w:ascii="Arial Narrow" w:hAnsi="Arial Narrow" w:cstheme="minorBidi"/>
          <w:sz w:val="18"/>
          <w:szCs w:val="18"/>
          <w:lang w:val="en-US"/>
        </w:rPr>
        <w:t>.</w:t>
      </w:r>
      <w:bookmarkStart w:id="0" w:name="_GoBack"/>
      <w:bookmarkEnd w:id="0"/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[40]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Maly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RC, Frank JC, Marshall GN,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DiMatteo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MR, Reuben DB. Perceived efficacy in patient-physician interactions (PEPPI): validation of an instrument in older persons.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Journal of the American Geriatrics Society.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1998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;46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(7): 889-894.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[41] Osborne RH,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Batterham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R,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Elsworth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GR, Hawkins M,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Buchbinder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R.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The grounded theory, psychometric development and initial validation of the Health Literacy Questionnaire (HLQ).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BMC Public Health.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2013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;13:658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[42] Nolte S, Osborne RH,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Dwinger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S,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Elsworth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GR, Conrad ML, Rose M,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Härter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M,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Dirmaier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J,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Zill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JM.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German translation, cultural adaptation, and validation of the Health Literacy Questionnaire (HLQ).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PLOS ONE.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2017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;12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(2):e0172340.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lastRenderedPageBreak/>
        <w:t xml:space="preserve">[43]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Bijur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PE, Silver W, Gallagher EJ.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Reliability of the Visual Analog Scale for Measurement of Acute Pain.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Academic Emergency Medicine.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2001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;8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(12):1153-1157.</w:t>
      </w:r>
    </w:p>
    <w:p w:rsidR="00C0462E" w:rsidRPr="004B4920" w:rsidRDefault="00C0462E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[44]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Sainfort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F,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Booske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BC.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Measuring Post-decision Satisfaction.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Medical Decision-making.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2000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;20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(1): 51-61.</w:t>
      </w:r>
    </w:p>
    <w:p w:rsidR="00C0462E" w:rsidRPr="004B4920" w:rsidRDefault="00D10A69" w:rsidP="00A77FA5">
      <w:pPr>
        <w:pStyle w:val="Kommentartext"/>
        <w:spacing w:line="480" w:lineRule="auto"/>
        <w:rPr>
          <w:rFonts w:ascii="Arial Narrow" w:hAnsi="Arial Narrow"/>
          <w:bCs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>[</w:t>
      </w:r>
      <w:r w:rsidR="00C0462E" w:rsidRPr="004B4920">
        <w:rPr>
          <w:rFonts w:ascii="Arial Narrow" w:hAnsi="Arial Narrow" w:cstheme="minorBidi"/>
          <w:sz w:val="18"/>
          <w:szCs w:val="18"/>
          <w:lang w:val="en-US"/>
        </w:rPr>
        <w:t>46</w:t>
      </w:r>
      <w:r w:rsidRPr="004B4920">
        <w:rPr>
          <w:rFonts w:ascii="Arial Narrow" w:hAnsi="Arial Narrow" w:cstheme="minorBidi"/>
          <w:sz w:val="18"/>
          <w:szCs w:val="18"/>
          <w:lang w:val="en-US"/>
        </w:rPr>
        <w:t>]</w:t>
      </w:r>
      <w:r w:rsidR="00C0462E"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proofErr w:type="spell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Elfering</w:t>
      </w:r>
      <w:proofErr w:type="spell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A, </w:t>
      </w:r>
      <w:proofErr w:type="spell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Mannion</w:t>
      </w:r>
      <w:proofErr w:type="spell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AF, </w:t>
      </w:r>
      <w:proofErr w:type="spell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Jacobshagen</w:t>
      </w:r>
      <w:proofErr w:type="spell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N, </w:t>
      </w:r>
      <w:proofErr w:type="spell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Tamcan</w:t>
      </w:r>
      <w:proofErr w:type="spell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O, Müller U. Beliefs about back pain </w:t>
      </w:r>
      <w:proofErr w:type="gram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predict</w:t>
      </w:r>
      <w:proofErr w:type="gram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the recovery rate over 52 consecutive weeks. </w:t>
      </w:r>
      <w:proofErr w:type="spell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Scand</w:t>
      </w:r>
      <w:proofErr w:type="spell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 xml:space="preserve"> J Work Environ Health. 2009</w:t>
      </w:r>
      <w:proofErr w:type="gramStart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;35</w:t>
      </w:r>
      <w:proofErr w:type="gramEnd"/>
      <w:r w:rsidR="00C0462E" w:rsidRPr="004B4920">
        <w:rPr>
          <w:rFonts w:ascii="Arial Narrow" w:hAnsi="Arial Narrow"/>
          <w:bCs/>
          <w:sz w:val="18"/>
          <w:szCs w:val="18"/>
          <w:lang w:val="en-US"/>
        </w:rPr>
        <w:t>(6):437–445.</w:t>
      </w:r>
    </w:p>
    <w:p w:rsidR="00A77FA5" w:rsidRPr="004B4920" w:rsidRDefault="00A77FA5" w:rsidP="00A77FA5">
      <w:pPr>
        <w:pStyle w:val="Kommentartext"/>
        <w:spacing w:line="480" w:lineRule="auto"/>
        <w:rPr>
          <w:rFonts w:ascii="Arial Narrow" w:hAnsi="Arial Narrow"/>
          <w:bCs/>
          <w:sz w:val="18"/>
          <w:szCs w:val="18"/>
          <w:lang w:val="en-US"/>
        </w:rPr>
      </w:pPr>
    </w:p>
    <w:p w:rsidR="00D10A69" w:rsidRPr="004B4920" w:rsidRDefault="00A77FA5" w:rsidP="00A77FA5">
      <w:pPr>
        <w:pStyle w:val="Kommentartext"/>
        <w:spacing w:line="480" w:lineRule="auto"/>
        <w:rPr>
          <w:rFonts w:ascii="Arial Narrow" w:hAnsi="Arial Narrow"/>
          <w:b/>
          <w:bCs/>
          <w:i/>
          <w:sz w:val="18"/>
          <w:szCs w:val="18"/>
          <w:lang w:val="en-US"/>
        </w:rPr>
      </w:pPr>
      <w:r w:rsidRPr="004B4920">
        <w:rPr>
          <w:rFonts w:ascii="Arial Narrow" w:hAnsi="Arial Narrow"/>
          <w:b/>
          <w:bCs/>
          <w:i/>
          <w:sz w:val="18"/>
          <w:szCs w:val="18"/>
          <w:lang w:val="en-US"/>
        </w:rPr>
        <w:t>Additional references not cited in the main manuscript</w:t>
      </w:r>
    </w:p>
    <w:p w:rsidR="00A77FA5" w:rsidRPr="004B4920" w:rsidRDefault="00A77FA5" w:rsidP="00A77FA5">
      <w:pPr>
        <w:pStyle w:val="Kommentartext"/>
        <w:spacing w:line="480" w:lineRule="auto"/>
        <w:rPr>
          <w:rFonts w:ascii="Arial Narrow" w:hAnsi="Arial Narrow"/>
          <w:bCs/>
          <w:sz w:val="18"/>
          <w:szCs w:val="18"/>
          <w:lang w:val="en-US"/>
        </w:rPr>
      </w:pPr>
    </w:p>
    <w:p w:rsidR="00D10A69" w:rsidRPr="004B4920" w:rsidRDefault="00D10A69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[54] Scholl I,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Kriston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L,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Dirmaier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J,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Härter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M. Comparing the nine-item Shared Decision-Making Questionnaire to the OPTION Scale - an attempt to establish convergent validity.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Health Expectations.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2015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;18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(1):137–150. </w:t>
      </w:r>
    </w:p>
    <w:p w:rsidR="00D10A69" w:rsidRPr="004B4920" w:rsidRDefault="00D10A69" w:rsidP="00A77FA5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[55] Lewis JR, </w:t>
      </w:r>
      <w:proofErr w:type="spellStart"/>
      <w:r w:rsidRPr="004B4920">
        <w:rPr>
          <w:rFonts w:ascii="Arial Narrow" w:hAnsi="Arial Narrow" w:cstheme="minorBidi"/>
          <w:sz w:val="18"/>
          <w:szCs w:val="18"/>
          <w:lang w:val="en-US"/>
        </w:rPr>
        <w:t>Sauro</w:t>
      </w:r>
      <w:proofErr w:type="spell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J. Revisiting the factor structure of the System Usability Scale. 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Journal of Usability Studies.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 xml:space="preserve"> 2017</w:t>
      </w:r>
      <w:proofErr w:type="gramStart"/>
      <w:r w:rsidRPr="004B4920">
        <w:rPr>
          <w:rFonts w:ascii="Arial Narrow" w:hAnsi="Arial Narrow" w:cstheme="minorBidi"/>
          <w:sz w:val="18"/>
          <w:szCs w:val="18"/>
          <w:lang w:val="en-US"/>
        </w:rPr>
        <w:t>;12</w:t>
      </w:r>
      <w:proofErr w:type="gramEnd"/>
      <w:r w:rsidRPr="004B4920">
        <w:rPr>
          <w:rFonts w:ascii="Arial Narrow" w:hAnsi="Arial Narrow" w:cstheme="minorBidi"/>
          <w:sz w:val="18"/>
          <w:szCs w:val="18"/>
          <w:lang w:val="en-US"/>
        </w:rPr>
        <w:t>(4):183-192.</w:t>
      </w:r>
    </w:p>
    <w:p w:rsidR="001B2F69" w:rsidRPr="004B4920" w:rsidRDefault="00B650EC" w:rsidP="004B4920">
      <w:pPr>
        <w:spacing w:after="200" w:line="480" w:lineRule="auto"/>
        <w:rPr>
          <w:rFonts w:ascii="Arial Narrow" w:hAnsi="Arial Narrow" w:cstheme="minorBidi"/>
          <w:sz w:val="18"/>
          <w:szCs w:val="18"/>
          <w:lang w:val="en-US"/>
        </w:rPr>
      </w:pPr>
      <w:r>
        <w:rPr>
          <w:rFonts w:ascii="Arial Narrow" w:hAnsi="Arial Narrow" w:cstheme="minorBidi"/>
          <w:sz w:val="18"/>
          <w:szCs w:val="18"/>
          <w:lang w:val="en-US"/>
        </w:rPr>
        <w:t xml:space="preserve">[56] </w:t>
      </w:r>
      <w:proofErr w:type="spellStart"/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Elfering</w:t>
      </w:r>
      <w:proofErr w:type="spellEnd"/>
      <w:r>
        <w:rPr>
          <w:rFonts w:ascii="Arial Narrow" w:hAnsi="Arial Narrow" w:cstheme="minorBidi"/>
          <w:sz w:val="18"/>
          <w:szCs w:val="18"/>
          <w:lang w:val="en-US"/>
        </w:rPr>
        <w:t xml:space="preserve"> A, 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Müller</w:t>
      </w:r>
      <w:r>
        <w:rPr>
          <w:rFonts w:ascii="Arial Narrow" w:hAnsi="Arial Narrow" w:cstheme="minorBidi"/>
          <w:sz w:val="18"/>
          <w:szCs w:val="18"/>
          <w:lang w:val="en-US"/>
        </w:rPr>
        <w:t xml:space="preserve"> U, </w:t>
      </w:r>
      <w:proofErr w:type="spellStart"/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Salathé</w:t>
      </w:r>
      <w:proofErr w:type="spellEnd"/>
      <w:r>
        <w:rPr>
          <w:rFonts w:ascii="Arial Narrow" w:hAnsi="Arial Narrow" w:cstheme="minorBidi"/>
          <w:sz w:val="18"/>
          <w:szCs w:val="18"/>
          <w:lang w:val="en-US"/>
        </w:rPr>
        <w:t xml:space="preserve"> C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 xml:space="preserve">, </w:t>
      </w:r>
      <w:proofErr w:type="spellStart"/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Tamcan</w:t>
      </w:r>
      <w:proofErr w:type="spellEnd"/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r>
        <w:rPr>
          <w:rFonts w:ascii="Arial Narrow" w:hAnsi="Arial Narrow" w:cstheme="minorBidi"/>
          <w:sz w:val="18"/>
          <w:szCs w:val="18"/>
          <w:lang w:val="en-US"/>
        </w:rPr>
        <w:t xml:space="preserve">Ö, </w:t>
      </w:r>
      <w:proofErr w:type="spellStart"/>
      <w:r>
        <w:rPr>
          <w:rFonts w:ascii="Arial Narrow" w:hAnsi="Arial Narrow" w:cstheme="minorBidi"/>
          <w:sz w:val="18"/>
          <w:szCs w:val="18"/>
          <w:lang w:val="en-US"/>
        </w:rPr>
        <w:t>M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annion</w:t>
      </w:r>
      <w:proofErr w:type="spellEnd"/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 xml:space="preserve"> </w:t>
      </w:r>
      <w:r>
        <w:rPr>
          <w:rFonts w:ascii="Arial Narrow" w:hAnsi="Arial Narrow" w:cstheme="minorBidi"/>
          <w:sz w:val="18"/>
          <w:szCs w:val="18"/>
          <w:lang w:val="en-US"/>
        </w:rPr>
        <w:t xml:space="preserve">A. 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Pessimistic back beliefs and lack of exercise: a longitudinal risk study in relation to shoulder, neck, and back pain, Psychology, Health &amp; Medicine</w:t>
      </w:r>
      <w:r>
        <w:rPr>
          <w:rFonts w:ascii="Arial Narrow" w:hAnsi="Arial Narrow" w:cstheme="minorBidi"/>
          <w:sz w:val="18"/>
          <w:szCs w:val="18"/>
          <w:lang w:val="en-US"/>
        </w:rPr>
        <w:t xml:space="preserve"> 2015</w:t>
      </w:r>
      <w:proofErr w:type="gramStart"/>
      <w:r>
        <w:rPr>
          <w:rFonts w:ascii="Arial Narrow" w:hAnsi="Arial Narrow" w:cstheme="minorBidi"/>
          <w:sz w:val="18"/>
          <w:szCs w:val="18"/>
          <w:lang w:val="en-US"/>
        </w:rPr>
        <w:t>,20</w:t>
      </w:r>
      <w:proofErr w:type="gramEnd"/>
      <w:r>
        <w:rPr>
          <w:rFonts w:ascii="Arial Narrow" w:hAnsi="Arial Narrow" w:cstheme="minorBidi"/>
          <w:sz w:val="18"/>
          <w:szCs w:val="18"/>
          <w:lang w:val="en-US"/>
        </w:rPr>
        <w:t>(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7</w:t>
      </w:r>
      <w:r>
        <w:rPr>
          <w:rFonts w:ascii="Arial Narrow" w:hAnsi="Arial Narrow" w:cstheme="minorBidi"/>
          <w:sz w:val="18"/>
          <w:szCs w:val="18"/>
          <w:lang w:val="en-US"/>
        </w:rPr>
        <w:t>)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 xml:space="preserve">, 767-780, </w:t>
      </w:r>
      <w:r>
        <w:rPr>
          <w:rFonts w:ascii="Arial Narrow" w:hAnsi="Arial Narrow" w:cstheme="minorBidi"/>
          <w:sz w:val="18"/>
          <w:szCs w:val="18"/>
          <w:lang w:val="en-US"/>
        </w:rPr>
        <w:t>doi</w:t>
      </w:r>
      <w:r w:rsidR="00D66A77" w:rsidRPr="004B4920">
        <w:rPr>
          <w:rFonts w:ascii="Arial Narrow" w:hAnsi="Arial Narrow" w:cstheme="minorBidi"/>
          <w:sz w:val="18"/>
          <w:szCs w:val="18"/>
          <w:lang w:val="en-US"/>
        </w:rPr>
        <w:t>:10.1080/13548506.2015.1017824</w:t>
      </w:r>
      <w:r>
        <w:rPr>
          <w:rFonts w:ascii="Arial Narrow" w:hAnsi="Arial Narrow" w:cstheme="minorBidi"/>
          <w:sz w:val="18"/>
          <w:szCs w:val="18"/>
          <w:lang w:val="en-US"/>
        </w:rPr>
        <w:t>.</w:t>
      </w:r>
    </w:p>
    <w:sectPr w:rsidR="001B2F69" w:rsidRPr="004B4920" w:rsidSect="004B4920">
      <w:pgSz w:w="16838" w:h="11906" w:orient="landscape"/>
      <w:pgMar w:top="1417" w:right="1417" w:bottom="1417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9" w:rsidRDefault="005234C9" w:rsidP="005234C9">
      <w:r>
        <w:separator/>
      </w:r>
    </w:p>
  </w:endnote>
  <w:endnote w:type="continuationSeparator" w:id="0">
    <w:p w:rsidR="005234C9" w:rsidRDefault="005234C9" w:rsidP="005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9" w:rsidRDefault="005234C9" w:rsidP="005234C9">
      <w:r>
        <w:separator/>
      </w:r>
    </w:p>
  </w:footnote>
  <w:footnote w:type="continuationSeparator" w:id="0">
    <w:p w:rsidR="005234C9" w:rsidRDefault="005234C9" w:rsidP="0052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8C"/>
    <w:multiLevelType w:val="hybridMultilevel"/>
    <w:tmpl w:val="A47EFD58"/>
    <w:lvl w:ilvl="0" w:tplc="0407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16294F0F"/>
    <w:multiLevelType w:val="hybridMultilevel"/>
    <w:tmpl w:val="C9508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4A87"/>
    <w:multiLevelType w:val="hybridMultilevel"/>
    <w:tmpl w:val="A2C02A9A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5C6F619F"/>
    <w:multiLevelType w:val="hybridMultilevel"/>
    <w:tmpl w:val="9FA4ED6E"/>
    <w:lvl w:ilvl="0" w:tplc="0407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78F80962"/>
    <w:multiLevelType w:val="hybridMultilevel"/>
    <w:tmpl w:val="B8DEB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9"/>
    <w:rsid w:val="00153A1C"/>
    <w:rsid w:val="001858C1"/>
    <w:rsid w:val="001B2F69"/>
    <w:rsid w:val="004B4920"/>
    <w:rsid w:val="0051295B"/>
    <w:rsid w:val="005234C9"/>
    <w:rsid w:val="009F2C63"/>
    <w:rsid w:val="00A77FA5"/>
    <w:rsid w:val="00B634B3"/>
    <w:rsid w:val="00B650EC"/>
    <w:rsid w:val="00C0462E"/>
    <w:rsid w:val="00D10A69"/>
    <w:rsid w:val="00D66A77"/>
    <w:rsid w:val="00EB7C04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234C9"/>
    <w:pPr>
      <w:spacing w:after="0" w:line="240" w:lineRule="auto"/>
    </w:pPr>
    <w:rPr>
      <w:rFonts w:ascii="Source Sans Pro" w:hAnsi="Source Sans Pro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4C9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5234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34C9"/>
    <w:rPr>
      <w:rFonts w:ascii="Source Sans Pro" w:hAnsi="Source Sans Pro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234C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5234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34C9"/>
    <w:rPr>
      <w:rFonts w:ascii="Source Sans Pro" w:hAnsi="Source Sans Pro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234C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0A6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A69"/>
    <w:rPr>
      <w:rFonts w:ascii="Source Sans Pro" w:hAnsi="Source Sans Pro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A69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4B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234C9"/>
    <w:pPr>
      <w:spacing w:after="0" w:line="240" w:lineRule="auto"/>
    </w:pPr>
    <w:rPr>
      <w:rFonts w:ascii="Source Sans Pro" w:hAnsi="Source Sans Pro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4C9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5234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34C9"/>
    <w:rPr>
      <w:rFonts w:ascii="Source Sans Pro" w:hAnsi="Source Sans Pro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234C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5234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34C9"/>
    <w:rPr>
      <w:rFonts w:ascii="Source Sans Pro" w:hAnsi="Source Sans Pro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234C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0A6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A69"/>
    <w:rPr>
      <w:rFonts w:ascii="Source Sans Pro" w:hAnsi="Source Sans Pro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A69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4B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Kunzweiler</dc:creator>
  <cp:lastModifiedBy>Katharina Kunzweiler</cp:lastModifiedBy>
  <cp:revision>4</cp:revision>
  <dcterms:created xsi:type="dcterms:W3CDTF">2018-05-15T09:45:00Z</dcterms:created>
  <dcterms:modified xsi:type="dcterms:W3CDTF">2018-05-15T13:18:00Z</dcterms:modified>
</cp:coreProperties>
</file>