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D" w:rsidRDefault="00E73580">
      <w:pPr>
        <w:spacing w:afterLines="100" w:after="312"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r>
        <w:rPr>
          <w:rFonts w:ascii="Times New Roman" w:hAnsi="Times New Roman" w:cs="Times New Roman" w:hint="eastAsia"/>
          <w:b/>
          <w:sz w:val="28"/>
          <w:szCs w:val="28"/>
        </w:rPr>
        <w:t>Long noncoding RNA</w:t>
      </w:r>
      <w:r>
        <w:rPr>
          <w:rFonts w:ascii="Times New Roman" w:hAnsi="Times New Roman" w:cs="Times New Roman"/>
          <w:b/>
          <w:sz w:val="28"/>
          <w:szCs w:val="28"/>
        </w:rPr>
        <w:t xml:space="preserve"> LINC00707 </w:t>
      </w:r>
      <w:r>
        <w:rPr>
          <w:rFonts w:ascii="Times New Roman" w:hAnsi="Times New Roman" w:cs="Times New Roman" w:hint="eastAsia"/>
          <w:b/>
          <w:sz w:val="28"/>
          <w:szCs w:val="28"/>
        </w:rPr>
        <w:t>promotes</w:t>
      </w:r>
      <w:r>
        <w:rPr>
          <w:rFonts w:ascii="Times New Roman" w:hAnsi="Times New Roman" w:cs="Times New Roman"/>
          <w:b/>
          <w:sz w:val="28"/>
          <w:szCs w:val="28"/>
        </w:rPr>
        <w:t xml:space="preserve"> osteogenesis of </w:t>
      </w:r>
      <w:bookmarkStart w:id="1" w:name="OLE_LINK5"/>
      <w:r>
        <w:rPr>
          <w:rFonts w:ascii="Times New Roman" w:hAnsi="Times New Roman" w:cs="Times New Roman"/>
          <w:b/>
          <w:sz w:val="28"/>
          <w:szCs w:val="28"/>
        </w:rPr>
        <w:t xml:space="preserve">human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bone </w:t>
      </w:r>
      <w:r>
        <w:rPr>
          <w:rFonts w:ascii="Times New Roman" w:hAnsi="Times New Roman" w:cs="Times New Roman"/>
          <w:b/>
          <w:sz w:val="28"/>
          <w:szCs w:val="28"/>
        </w:rPr>
        <w:t>marrow-derived mesenchymal stem cells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via the miR-370-3p/WNT2B axis.</w:t>
      </w:r>
      <w:bookmarkEnd w:id="0"/>
    </w:p>
    <w:p w:rsidR="00BF360D" w:rsidRDefault="00E7358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B</w:t>
      </w:r>
      <w:r>
        <w:rPr>
          <w:rFonts w:ascii="Times New Roman" w:hAnsi="Times New Roman" w:cs="Times New Roman" w:hint="eastAsia"/>
          <w:bCs/>
          <w:sz w:val="24"/>
          <w:szCs w:val="24"/>
        </w:rPr>
        <w:t>o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J</w:t>
      </w:r>
      <w:r>
        <w:rPr>
          <w:rFonts w:ascii="Times New Roman" w:hAnsi="Times New Roman" w:cs="Times New Roman" w:hint="eastAsia"/>
          <w:bCs/>
          <w:sz w:val="24"/>
          <w:szCs w:val="24"/>
        </w:rPr>
        <w:t>ia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Z</w:t>
      </w:r>
      <w:r>
        <w:rPr>
          <w:rFonts w:ascii="Times New Roman" w:hAnsi="Times New Roman" w:cs="Times New Roman" w:hint="eastAsia"/>
          <w:bCs/>
          <w:sz w:val="24"/>
          <w:szCs w:val="24"/>
        </w:rPr>
        <w:t>hiping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W</w:t>
      </w:r>
      <w:r>
        <w:rPr>
          <w:rFonts w:ascii="Times New Roman" w:hAnsi="Times New Roman" w:cs="Times New Roman" w:hint="eastAsia"/>
          <w:bCs/>
          <w:sz w:val="24"/>
          <w:szCs w:val="24"/>
        </w:rPr>
        <w:t>ang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>, X</w:t>
      </w:r>
      <w:r>
        <w:rPr>
          <w:rFonts w:ascii="Times New Roman" w:hAnsi="Times New Roman" w:cs="Times New Roman" w:hint="eastAsia"/>
          <w:bCs/>
          <w:sz w:val="24"/>
          <w:szCs w:val="24"/>
        </w:rPr>
        <w:t>iang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Cs/>
          <w:sz w:val="24"/>
          <w:szCs w:val="24"/>
        </w:rPr>
        <w:t>un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>, J</w:t>
      </w:r>
      <w:r>
        <w:rPr>
          <w:rFonts w:ascii="Times New Roman" w:hAnsi="Times New Roman" w:cs="Times New Roman" w:hint="eastAsia"/>
          <w:bCs/>
          <w:sz w:val="24"/>
          <w:szCs w:val="24"/>
        </w:rPr>
        <w:t>un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C</w:t>
      </w:r>
      <w:r>
        <w:rPr>
          <w:rFonts w:ascii="Times New Roman" w:hAnsi="Times New Roman" w:cs="Times New Roman" w:hint="eastAsia"/>
          <w:bCs/>
          <w:sz w:val="24"/>
          <w:szCs w:val="24"/>
        </w:rPr>
        <w:t>hen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J</w:t>
      </w:r>
      <w:r>
        <w:rPr>
          <w:rFonts w:ascii="Times New Roman" w:hAnsi="Times New Roman" w:cs="Times New Roman" w:hint="eastAsia"/>
          <w:bCs/>
          <w:sz w:val="24"/>
          <w:szCs w:val="24"/>
        </w:rPr>
        <w:t>ianjiang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Z</w:t>
      </w:r>
      <w:r>
        <w:rPr>
          <w:rFonts w:ascii="Times New Roman" w:hAnsi="Times New Roman" w:cs="Times New Roman" w:hint="eastAsia"/>
          <w:bCs/>
          <w:sz w:val="24"/>
          <w:szCs w:val="24"/>
        </w:rPr>
        <w:t>hao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X</w:t>
      </w:r>
      <w:r>
        <w:rPr>
          <w:rFonts w:ascii="Times New Roman" w:hAnsi="Times New Roman" w:cs="Times New Roman" w:hint="eastAsia"/>
          <w:bCs/>
          <w:sz w:val="24"/>
          <w:szCs w:val="24"/>
        </w:rPr>
        <w:t>iaoling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Q</w:t>
      </w:r>
      <w:r>
        <w:rPr>
          <w:rFonts w:ascii="Times New Roman" w:hAnsi="Times New Roman" w:cs="Times New Roman" w:hint="eastAsia"/>
          <w:bCs/>
          <w:sz w:val="24"/>
          <w:szCs w:val="24"/>
        </w:rPr>
        <w:t>iu</w:t>
      </w:r>
      <w:r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2</w:t>
      </w:r>
    </w:p>
    <w:p w:rsidR="00BF360D" w:rsidRDefault="00E7358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OLE_LINK54"/>
      <w:bookmarkStart w:id="3" w:name="OLE_LINK55"/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1</w:t>
      </w:r>
      <w:bookmarkStart w:id="4" w:name="OLE_LINK75"/>
      <w:bookmarkStart w:id="5" w:name="OLE_LINK74"/>
      <w:r>
        <w:rPr>
          <w:rFonts w:ascii="Times New Roman" w:hAnsi="Times New Roman" w:cs="Times New Roman" w:hint="eastAsia"/>
          <w:bCs/>
          <w:sz w:val="24"/>
          <w:szCs w:val="24"/>
        </w:rPr>
        <w:t xml:space="preserve">Department of Oral Surgery,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Stomatological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Hospital, Southern Medical University,</w:t>
      </w:r>
      <w:bookmarkStart w:id="6" w:name="OLE_LINK57"/>
      <w:bookmarkStart w:id="7" w:name="OLE_LINK56"/>
      <w:r>
        <w:rPr>
          <w:rFonts w:ascii="Times New Roman" w:hAnsi="Times New Roman" w:cs="Times New Roman" w:hint="eastAsia"/>
          <w:bCs/>
          <w:sz w:val="24"/>
          <w:szCs w:val="24"/>
        </w:rPr>
        <w:t xml:space="preserve"> 510280 </w:t>
      </w:r>
      <w:bookmarkEnd w:id="2"/>
      <w:bookmarkEnd w:id="3"/>
      <w:bookmarkEnd w:id="6"/>
      <w:bookmarkEnd w:id="7"/>
      <w:r>
        <w:rPr>
          <w:rFonts w:ascii="Times New Roman" w:hAnsi="Times New Roman" w:cs="Times New Roman" w:hint="eastAsia"/>
          <w:bCs/>
          <w:sz w:val="24"/>
          <w:szCs w:val="24"/>
        </w:rPr>
        <w:t>Guangzhou, China</w:t>
      </w:r>
      <w:bookmarkEnd w:id="4"/>
      <w:bookmarkEnd w:id="5"/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proofErr w:type="gramEnd"/>
    </w:p>
    <w:p w:rsidR="00BF360D" w:rsidRDefault="00E7358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2 Department of 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General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consulting and Emergency,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Stomatological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Hospital, Southern Medical University, 510280, Guangzhou, China.</w:t>
      </w:r>
    </w:p>
    <w:p w:rsidR="00BF360D" w:rsidRDefault="00E7358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Correspondence to: Professor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Xiaoling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Qiu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>, Department of Gene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ral consulting and Emergency,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Stomatological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Hospital, Southern Medical University, 366 South Jiang Nan Road,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haizhu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guangzhou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guangdong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510280, P.R. China. E-mail: </w:t>
      </w:r>
      <w:hyperlink r:id="rId6" w:history="1">
        <w:r>
          <w:rPr>
            <w:rStyle w:val="Hyperlink"/>
            <w:rFonts w:ascii="Times New Roman" w:hAnsi="Times New Roman" w:cs="Times New Roman" w:hint="eastAsia"/>
            <w:bCs/>
            <w:sz w:val="24"/>
            <w:szCs w:val="24"/>
          </w:rPr>
          <w:t>linglingjojo@163.com</w:t>
        </w:r>
      </w:hyperlink>
    </w:p>
    <w:p w:rsidR="00BF360D" w:rsidRDefault="00BF36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60D" w:rsidRDefault="00BF3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60D" w:rsidRDefault="00BF3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60D" w:rsidRDefault="00BF3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60D" w:rsidRDefault="00BF3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60D" w:rsidRDefault="00BF3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60D" w:rsidRDefault="00BF360D">
      <w:pPr>
        <w:ind w:firstLineChars="490" w:firstLine="1079"/>
        <w:rPr>
          <w:rFonts w:ascii="Times New Roman" w:hAnsi="Times New Roman" w:cs="Times New Roman"/>
          <w:b/>
          <w:sz w:val="22"/>
        </w:rPr>
      </w:pPr>
    </w:p>
    <w:p w:rsidR="00BF360D" w:rsidRDefault="00BF360D">
      <w:pPr>
        <w:ind w:firstLineChars="490" w:firstLine="1079"/>
        <w:rPr>
          <w:rFonts w:ascii="Times New Roman" w:hAnsi="Times New Roman" w:cs="Times New Roman"/>
          <w:b/>
          <w:sz w:val="22"/>
        </w:rPr>
      </w:pPr>
    </w:p>
    <w:p w:rsidR="00BF360D" w:rsidRDefault="00E73580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noProof/>
          <w:sz w:val="22"/>
          <w:lang w:eastAsia="en-US"/>
        </w:rPr>
        <w:lastRenderedPageBreak/>
        <w:drawing>
          <wp:inline distT="0" distB="0" distL="114300" distR="114300">
            <wp:extent cx="5268595" cy="1757045"/>
            <wp:effectExtent l="0" t="0" r="1905" b="8255"/>
            <wp:docPr id="7" name="图片 7" descr="supplementary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upplementary Fig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0D" w:rsidRDefault="00E73580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Figure </w:t>
      </w:r>
      <w:r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 w:hint="eastAsia"/>
          <w:b/>
          <w:sz w:val="22"/>
        </w:rPr>
        <w:t xml:space="preserve">1 </w:t>
      </w:r>
      <w:r>
        <w:rPr>
          <w:rFonts w:ascii="Times New Roman" w:hAnsi="Times New Roman" w:cs="Times New Roman" w:hint="eastAsia"/>
          <w:bCs/>
          <w:sz w:val="22"/>
        </w:rPr>
        <w:t>F</w:t>
      </w:r>
      <w:r>
        <w:rPr>
          <w:rFonts w:ascii="Times New Roman" w:hAnsi="Times New Roman" w:cs="Times New Roman" w:hint="eastAsia"/>
          <w:bCs/>
          <w:sz w:val="22"/>
        </w:rPr>
        <w:t>low cytometry analysis of</w:t>
      </w:r>
      <w:r>
        <w:rPr>
          <w:rFonts w:ascii="Times New Roman" w:hAnsi="Times New Roman" w:cs="Times New Roman" w:hint="eastAsia"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Cs/>
          <w:sz w:val="22"/>
        </w:rPr>
        <w:t>H</w:t>
      </w:r>
      <w:r>
        <w:rPr>
          <w:rFonts w:ascii="Times New Roman" w:hAnsi="Times New Roman" w:cs="Times New Roman" w:hint="eastAsia"/>
          <w:bCs/>
          <w:sz w:val="22"/>
        </w:rPr>
        <w:t xml:space="preserve">BMSCs. </w:t>
      </w:r>
      <w:r>
        <w:rPr>
          <w:rFonts w:ascii="Times New Roman" w:hAnsi="Times New Roman" w:cs="Times New Roman" w:hint="eastAsia"/>
          <w:bCs/>
          <w:sz w:val="22"/>
        </w:rPr>
        <w:t>CD marker analysis</w:t>
      </w:r>
      <w:r>
        <w:rPr>
          <w:rFonts w:ascii="Times New Roman" w:hAnsi="Times New Roman" w:cs="Times New Roman" w:hint="eastAsia"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Cs/>
          <w:sz w:val="22"/>
        </w:rPr>
        <w:t xml:space="preserve">by flow cytometry revealed that </w:t>
      </w:r>
      <w:r>
        <w:rPr>
          <w:rFonts w:ascii="Times New Roman" w:hAnsi="Times New Roman" w:cs="Times New Roman" w:hint="eastAsia"/>
          <w:bCs/>
          <w:sz w:val="22"/>
        </w:rPr>
        <w:t>9</w:t>
      </w:r>
      <w:r>
        <w:rPr>
          <w:rFonts w:ascii="Times New Roman" w:hAnsi="Times New Roman" w:cs="Times New Roman" w:hint="eastAsia"/>
          <w:bCs/>
          <w:sz w:val="22"/>
        </w:rPr>
        <w:t>8.9%, 98.1%</w:t>
      </w:r>
      <w:r>
        <w:rPr>
          <w:rFonts w:ascii="Times New Roman" w:hAnsi="Times New Roman" w:cs="Times New Roman" w:hint="eastAsia"/>
          <w:bCs/>
          <w:sz w:val="22"/>
        </w:rPr>
        <w:t xml:space="preserve"> and </w:t>
      </w:r>
      <w:r>
        <w:rPr>
          <w:rFonts w:ascii="Times New Roman" w:hAnsi="Times New Roman" w:cs="Times New Roman" w:hint="eastAsia"/>
          <w:bCs/>
          <w:sz w:val="22"/>
        </w:rPr>
        <w:t>9</w:t>
      </w:r>
      <w:r>
        <w:rPr>
          <w:rFonts w:ascii="Times New Roman" w:hAnsi="Times New Roman" w:cs="Times New Roman" w:hint="eastAsia"/>
          <w:bCs/>
          <w:sz w:val="22"/>
        </w:rPr>
        <w:t>7.6%</w:t>
      </w:r>
      <w:r>
        <w:rPr>
          <w:rFonts w:ascii="Times New Roman" w:hAnsi="Times New Roman" w:cs="Times New Roman" w:hint="eastAsia"/>
          <w:bCs/>
          <w:sz w:val="22"/>
        </w:rPr>
        <w:t xml:space="preserve"> of cells were</w:t>
      </w:r>
      <w:r>
        <w:rPr>
          <w:rFonts w:ascii="Times New Roman" w:hAnsi="Times New Roman" w:cs="Times New Roman" w:hint="eastAsia"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Cs/>
          <w:sz w:val="22"/>
        </w:rPr>
        <w:t>positive for BMSC markers CD29</w:t>
      </w:r>
      <w:r>
        <w:rPr>
          <w:rFonts w:ascii="Times New Roman" w:hAnsi="Times New Roman" w:cs="Times New Roman" w:hint="eastAsia"/>
          <w:bCs/>
          <w:sz w:val="22"/>
        </w:rPr>
        <w:t xml:space="preserve">, CD44 </w:t>
      </w:r>
      <w:r>
        <w:rPr>
          <w:rFonts w:ascii="Times New Roman" w:hAnsi="Times New Roman" w:cs="Times New Roman" w:hint="eastAsia"/>
          <w:bCs/>
          <w:sz w:val="22"/>
        </w:rPr>
        <w:t>and CD90, respectively</w:t>
      </w:r>
      <w:r>
        <w:rPr>
          <w:rFonts w:ascii="Times New Roman" w:hAnsi="Times New Roman" w:cs="Times New Roman" w:hint="eastAsia"/>
          <w:bCs/>
          <w:sz w:val="22"/>
        </w:rPr>
        <w:t>.</w:t>
      </w:r>
    </w:p>
    <w:p w:rsidR="00BF360D" w:rsidRDefault="00BF360D">
      <w:pPr>
        <w:rPr>
          <w:rFonts w:ascii="Times New Roman" w:hAnsi="Times New Roman" w:cs="Times New Roman"/>
          <w:bCs/>
          <w:sz w:val="22"/>
        </w:rPr>
      </w:pPr>
    </w:p>
    <w:p w:rsidR="00BF360D" w:rsidRDefault="00E73580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noProof/>
          <w:sz w:val="22"/>
          <w:lang w:eastAsia="en-US"/>
        </w:rPr>
        <w:drawing>
          <wp:inline distT="0" distB="0" distL="114300" distR="114300">
            <wp:extent cx="5044440" cy="2317750"/>
            <wp:effectExtent l="0" t="0" r="10160" b="6350"/>
            <wp:docPr id="4" name="图片 4" descr="supplementary 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pplementary Figur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0D" w:rsidRDefault="00E7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2"/>
        </w:rPr>
        <w:t xml:space="preserve">Figure </w:t>
      </w:r>
      <w:r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 w:hint="eastAsia"/>
          <w:b/>
          <w:sz w:val="22"/>
        </w:rPr>
        <w:t xml:space="preserve">2 </w:t>
      </w:r>
      <w:r>
        <w:rPr>
          <w:rFonts w:ascii="Times New Roman" w:hAnsi="Times New Roman" w:cs="Times New Roman"/>
          <w:color w:val="333333"/>
          <w:sz w:val="22"/>
        </w:rPr>
        <w:t xml:space="preserve">Quantitative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>
        <w:rPr>
          <w:rFonts w:ascii="Times New Roman" w:hAnsi="Times New Roman" w:cs="Times New Roman"/>
          <w:color w:val="333333"/>
          <w:sz w:val="22"/>
        </w:rPr>
        <w:t>nalysis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ALP staining and ARS staining after interference or overexpression of LINC00707 </w:t>
      </w:r>
      <w:r>
        <w:rPr>
          <w:rFonts w:ascii="Times New Roman" w:hAnsi="Times New Roman" w:hint="eastAsia"/>
          <w:sz w:val="24"/>
          <w:szCs w:val="24"/>
        </w:rPr>
        <w:t xml:space="preserve">in transfected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MSCs </w:t>
      </w:r>
      <w:r>
        <w:rPr>
          <w:rFonts w:ascii="Times New Roman" w:hAnsi="Times New Roman" w:hint="eastAsia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7 days osteogenic inducti</w:t>
      </w:r>
      <w:r>
        <w:rPr>
          <w:rFonts w:ascii="Times New Roman" w:hAnsi="Times New Roman" w:hint="eastAsi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0D" w:rsidRDefault="00E73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3900805" cy="4147185"/>
            <wp:effectExtent l="0" t="0" r="10795" b="5715"/>
            <wp:docPr id="5" name="图片 5" descr="supplementary 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upplementary Figure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0D" w:rsidRDefault="00E7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2"/>
        </w:rPr>
        <w:t xml:space="preserve">Figure </w:t>
      </w:r>
      <w:r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 w:hint="eastAsia"/>
          <w:b/>
          <w:sz w:val="22"/>
        </w:rPr>
        <w:t xml:space="preserve">3 </w:t>
      </w:r>
      <w:r>
        <w:rPr>
          <w:rFonts w:ascii="Times New Roman" w:hAnsi="Times New Roman" w:cs="Times New Roman" w:hint="eastAsia"/>
          <w:bCs/>
          <w:sz w:val="22"/>
        </w:rPr>
        <w:t>(A and B)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Quantitative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>
        <w:rPr>
          <w:rFonts w:ascii="Times New Roman" w:hAnsi="Times New Roman" w:cs="Times New Roman"/>
          <w:color w:val="000000" w:themeColor="text1"/>
          <w:sz w:val="22"/>
        </w:rPr>
        <w:t>nalysis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 xml:space="preserve">ARS </w:t>
      </w:r>
      <w:r>
        <w:rPr>
          <w:rFonts w:ascii="Times New Roman" w:hAnsi="Times New Roman" w:cs="Times New Roman"/>
          <w:sz w:val="24"/>
          <w:szCs w:val="24"/>
        </w:rPr>
        <w:t xml:space="preserve">staining and </w:t>
      </w:r>
      <w:r>
        <w:rPr>
          <w:rFonts w:ascii="Times New Roman" w:hAnsi="Times New Roman" w:cs="Times New Roman" w:hint="eastAsia"/>
          <w:sz w:val="24"/>
          <w:szCs w:val="24"/>
        </w:rPr>
        <w:t>ALP</w:t>
      </w:r>
      <w:r>
        <w:rPr>
          <w:rFonts w:ascii="Times New Roman" w:hAnsi="Times New Roman" w:cs="Times New Roman"/>
          <w:sz w:val="24"/>
          <w:szCs w:val="24"/>
        </w:rPr>
        <w:t xml:space="preserve"> staining in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MSCs</w:t>
      </w:r>
      <w:r>
        <w:rPr>
          <w:rFonts w:ascii="Times New Roman" w:hAnsi="Times New Roman" w:hint="eastAsia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 xml:space="preserve">transfected </w:t>
      </w:r>
      <w:r>
        <w:rPr>
          <w:rFonts w:ascii="Times New Roman" w:hAnsi="Times New Roman" w:hint="eastAsia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LINC00707</w:t>
      </w:r>
      <w:r>
        <w:rPr>
          <w:rFonts w:ascii="Times New Roman" w:hAnsi="Times New Roman" w:hint="eastAsia"/>
          <w:sz w:val="24"/>
          <w:szCs w:val="24"/>
        </w:rPr>
        <w:t xml:space="preserve">/NC and </w:t>
      </w:r>
      <w:r>
        <w:rPr>
          <w:rFonts w:ascii="Times New Roman" w:hAnsi="Times New Roman" w:cs="Times New Roman"/>
          <w:sz w:val="24"/>
          <w:szCs w:val="24"/>
        </w:rPr>
        <w:t>miR-370-3p mimics</w:t>
      </w:r>
      <w:r>
        <w:rPr>
          <w:rFonts w:ascii="Times New Roman" w:hAnsi="Times New Roman" w:hint="eastAsia"/>
          <w:sz w:val="24"/>
          <w:szCs w:val="24"/>
        </w:rPr>
        <w:t>/mimics NC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steogenic induction </w:t>
      </w:r>
      <w:r>
        <w:rPr>
          <w:rFonts w:ascii="Times New Roman" w:hAnsi="Times New Roman" w:hint="eastAsia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7 days.</w:t>
      </w:r>
      <w:r>
        <w:rPr>
          <w:rFonts w:ascii="Times New Roman" w:hAnsi="Times New Roman" w:cs="Times New Roman" w:hint="eastAsia"/>
          <w:sz w:val="24"/>
          <w:szCs w:val="24"/>
        </w:rPr>
        <w:t xml:space="preserve"> (C and D)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 xml:space="preserve"> staining and </w:t>
      </w:r>
      <w:r>
        <w:rPr>
          <w:rFonts w:ascii="Times New Roman" w:hAnsi="Times New Roman" w:cs="Times New Roman" w:hint="eastAsia"/>
          <w:sz w:val="24"/>
          <w:szCs w:val="24"/>
        </w:rPr>
        <w:t>ALP</w:t>
      </w:r>
      <w:r>
        <w:rPr>
          <w:rFonts w:ascii="Times New Roman" w:hAnsi="Times New Roman" w:cs="Times New Roman"/>
          <w:sz w:val="24"/>
          <w:szCs w:val="24"/>
        </w:rPr>
        <w:t xml:space="preserve"> staining in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MSCs</w:t>
      </w:r>
      <w:r>
        <w:rPr>
          <w:rFonts w:ascii="Times New Roman" w:hAnsi="Times New Roman" w:hint="eastAsia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transfected with</w:t>
      </w:r>
      <w:r>
        <w:rPr>
          <w:rFonts w:ascii="Times New Roman" w:hAnsi="Times New Roman" w:cs="Times New Roman"/>
          <w:sz w:val="24"/>
          <w:szCs w:val="24"/>
        </w:rPr>
        <w:t xml:space="preserve"> LINC00707</w:t>
      </w:r>
      <w:r>
        <w:rPr>
          <w:rFonts w:ascii="Times New Roman" w:hAnsi="Times New Roman" w:hint="eastAsia"/>
          <w:sz w:val="24"/>
          <w:szCs w:val="24"/>
        </w:rPr>
        <w:t xml:space="preserve">/NC and </w:t>
      </w:r>
      <w:r>
        <w:rPr>
          <w:rFonts w:ascii="Times New Roman" w:hAnsi="Times New Roman" w:cs="Times New Roman"/>
          <w:sz w:val="24"/>
          <w:szCs w:val="24"/>
        </w:rPr>
        <w:t>miR-370-3p mimics</w:t>
      </w:r>
      <w:r>
        <w:rPr>
          <w:rFonts w:ascii="Times New Roman" w:hAnsi="Times New Roman" w:hint="eastAsia"/>
          <w:sz w:val="24"/>
          <w:szCs w:val="24"/>
        </w:rPr>
        <w:t>/mimics NC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steogenic induction </w:t>
      </w:r>
      <w:r>
        <w:rPr>
          <w:rFonts w:ascii="Times New Roman" w:hAnsi="Times New Roman" w:hint="eastAsia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7 days.</w:t>
      </w:r>
      <w:proofErr w:type="gramEnd"/>
    </w:p>
    <w:p w:rsidR="00BF360D" w:rsidRDefault="00BF360D">
      <w:pPr>
        <w:rPr>
          <w:rFonts w:ascii="Times New Roman" w:hAnsi="Times New Roman" w:cs="Times New Roman"/>
          <w:sz w:val="24"/>
          <w:szCs w:val="24"/>
        </w:rPr>
      </w:pPr>
    </w:p>
    <w:p w:rsidR="00BF360D" w:rsidRDefault="00E73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en-US"/>
        </w:rPr>
        <w:drawing>
          <wp:inline distT="0" distB="0" distL="114300" distR="114300">
            <wp:extent cx="4222750" cy="2232025"/>
            <wp:effectExtent l="0" t="0" r="6350" b="3175"/>
            <wp:docPr id="6" name="图片 6" descr="supplementary Fig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upplementary Figure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0D" w:rsidRDefault="00E7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 ARS</w:t>
      </w:r>
      <w:r>
        <w:rPr>
          <w:rFonts w:ascii="Times New Roman" w:hAnsi="Times New Roman" w:cs="Times New Roman"/>
          <w:sz w:val="24"/>
          <w:szCs w:val="24"/>
        </w:rPr>
        <w:t xml:space="preserve"> staining and </w:t>
      </w:r>
      <w:r>
        <w:rPr>
          <w:rFonts w:ascii="Times New Roman" w:hAnsi="Times New Roman" w:cs="Times New Roman" w:hint="eastAsia"/>
          <w:sz w:val="24"/>
          <w:szCs w:val="24"/>
        </w:rPr>
        <w:t>ALP</w:t>
      </w:r>
      <w:r>
        <w:rPr>
          <w:rFonts w:ascii="Times New Roman" w:hAnsi="Times New Roman" w:cs="Times New Roman"/>
          <w:sz w:val="24"/>
          <w:szCs w:val="24"/>
        </w:rPr>
        <w:t xml:space="preserve"> staining in H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MSCs transfected with si-WNT2B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oncogenic induction</w:t>
      </w:r>
      <w:r>
        <w:rPr>
          <w:rFonts w:ascii="Times New Roman" w:hAnsi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7 days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F360D" w:rsidRPr="00E73580" w:rsidRDefault="00E73580" w:rsidP="00E73580">
      <w:pPr>
        <w:rPr>
          <w:rFonts w:ascii="Times New Roman" w:hAnsi="Times New Roman" w:cs="Times New Roman"/>
          <w:sz w:val="22"/>
        </w:rPr>
      </w:pPr>
      <w:bookmarkStart w:id="8" w:name="_GoBack"/>
      <w:bookmarkEnd w:id="8"/>
      <w:r>
        <w:rPr>
          <w:rFonts w:ascii="Times New Roman" w:hAnsi="Times New Roman" w:cs="Times New Roman"/>
          <w:b/>
          <w:sz w:val="22"/>
        </w:rPr>
        <w:lastRenderedPageBreak/>
        <w:t>Table S1</w:t>
      </w:r>
      <w:r w:rsidRPr="00E73580">
        <w:rPr>
          <w:rFonts w:ascii="Times New Roman" w:hAnsi="Times New Roman" w:cs="Times New Roman"/>
          <w:sz w:val="22"/>
        </w:rPr>
        <w:t xml:space="preserve"> Sequences of PCR primers used in this study.</w:t>
      </w:r>
    </w:p>
    <w:tbl>
      <w:tblPr>
        <w:tblStyle w:val="TableGrid"/>
        <w:tblW w:w="85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1654"/>
        <w:gridCol w:w="4366"/>
      </w:tblGrid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LINC00707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TGGAAAGTAAGCCTATTACATATAC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GGTATCACCAACAACCCTGA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RP11-348J24.2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CACCGTCCAGCCACAAACC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AATCCCTACTGCTGTATGGCATC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lnc_1369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ACCAGTTACTTTGTGCCATACC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TTTCAAGAAAGGATCCAATGG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lnc_554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TCTTCAGATGCCTCCTGTGGT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AACCTGGTTAGACCTTGAGTG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lnc_1269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ATGAAGGGCACGGCATAGGT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TGACGCTCGGAAGACAACG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lnc_1307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AGATTCCAGTGAGATTGAGGGTC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TTATCAGAAGGCATAGCACCC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β-actin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AATCGTGCGTGACATTAAGGAG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ACGTGTTGGCGTAACAGGTCTT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RUNX2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GGCGGGTAACGATGAAAAT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TCTGTAATCTGACTCTGTCCTTGTG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ALP 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GACGCTGGGAAATCTGTGG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ATGAAGTGGGAGTGCTTGTATCT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OCN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CCTCACACTCCTCGCCCTAT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CTCCTGAAAGCCGATGTGGT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WNT2B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GCTGGACCAAACCTGAAC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CAAGAAGTATCGGGAAGC</w:t>
            </w:r>
          </w:p>
        </w:tc>
      </w:tr>
      <w:tr w:rsidR="00BF360D">
        <w:tc>
          <w:tcPr>
            <w:tcW w:w="2502" w:type="dxa"/>
            <w:vMerge w:val="restart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MiR-370-3p</w:t>
            </w: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Forward(5’-3’)</w:t>
            </w:r>
          </w:p>
        </w:tc>
        <w:tc>
          <w:tcPr>
            <w:tcW w:w="4366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CTGCTGGGGTGGAAC</w:t>
            </w:r>
          </w:p>
        </w:tc>
      </w:tr>
      <w:tr w:rsidR="00BF360D">
        <w:tc>
          <w:tcPr>
            <w:tcW w:w="2502" w:type="dxa"/>
            <w:vMerge/>
            <w:vAlign w:val="center"/>
          </w:tcPr>
          <w:p w:rsidR="00BF360D" w:rsidRDefault="00BF36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Reverse(5’-3’)</w:t>
            </w:r>
          </w:p>
        </w:tc>
        <w:tc>
          <w:tcPr>
            <w:tcW w:w="4366" w:type="dxa"/>
            <w:vAlign w:val="center"/>
          </w:tcPr>
          <w:p w:rsidR="00BF360D" w:rsidRDefault="00E73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GGTCCAGTTTTTTTTTTTTTTTACCA</w:t>
            </w:r>
          </w:p>
        </w:tc>
      </w:tr>
    </w:tbl>
    <w:p w:rsidR="00BF360D" w:rsidRDefault="00BF3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F3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6611E"/>
    <w:rsid w:val="00051C4C"/>
    <w:rsid w:val="00071BF6"/>
    <w:rsid w:val="000C2BA8"/>
    <w:rsid w:val="000D5DCB"/>
    <w:rsid w:val="0012301C"/>
    <w:rsid w:val="001657B7"/>
    <w:rsid w:val="002634EA"/>
    <w:rsid w:val="00270310"/>
    <w:rsid w:val="00282BC1"/>
    <w:rsid w:val="003107B2"/>
    <w:rsid w:val="00381C7C"/>
    <w:rsid w:val="004E05F7"/>
    <w:rsid w:val="005C36A9"/>
    <w:rsid w:val="005E024E"/>
    <w:rsid w:val="0061625D"/>
    <w:rsid w:val="006755BF"/>
    <w:rsid w:val="006B0B78"/>
    <w:rsid w:val="006B3B66"/>
    <w:rsid w:val="007042DD"/>
    <w:rsid w:val="007129C9"/>
    <w:rsid w:val="00784544"/>
    <w:rsid w:val="00801669"/>
    <w:rsid w:val="008120BC"/>
    <w:rsid w:val="008A779B"/>
    <w:rsid w:val="008D553D"/>
    <w:rsid w:val="00901218"/>
    <w:rsid w:val="009B142A"/>
    <w:rsid w:val="00A557D0"/>
    <w:rsid w:val="00A72BA3"/>
    <w:rsid w:val="00B3211B"/>
    <w:rsid w:val="00B6380F"/>
    <w:rsid w:val="00B6611E"/>
    <w:rsid w:val="00BF360D"/>
    <w:rsid w:val="00C14749"/>
    <w:rsid w:val="00C619B2"/>
    <w:rsid w:val="00C931E3"/>
    <w:rsid w:val="00C97A24"/>
    <w:rsid w:val="00CD4783"/>
    <w:rsid w:val="00D14D53"/>
    <w:rsid w:val="00D1781E"/>
    <w:rsid w:val="00DB12AB"/>
    <w:rsid w:val="00DC3FE1"/>
    <w:rsid w:val="00DE027A"/>
    <w:rsid w:val="00DF3219"/>
    <w:rsid w:val="00E038E4"/>
    <w:rsid w:val="00E73580"/>
    <w:rsid w:val="00E767BD"/>
    <w:rsid w:val="085E2D9A"/>
    <w:rsid w:val="08BF2A0F"/>
    <w:rsid w:val="0BF160D3"/>
    <w:rsid w:val="0D146D72"/>
    <w:rsid w:val="34B624E0"/>
    <w:rsid w:val="3868662D"/>
    <w:rsid w:val="3948104A"/>
    <w:rsid w:val="3BA72988"/>
    <w:rsid w:val="41016A2B"/>
    <w:rsid w:val="47E26923"/>
    <w:rsid w:val="501651A4"/>
    <w:rsid w:val="527D3B4F"/>
    <w:rsid w:val="739F271B"/>
    <w:rsid w:val="74A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glingjojo@163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286</Words>
  <Characters>2374</Characters>
  <Application>Microsoft Office Word</Application>
  <DocSecurity>0</DocSecurity>
  <Lines>124</Lines>
  <Paragraphs>78</Paragraphs>
  <ScaleCrop>false</ScaleCrop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LCAPITAN</cp:lastModifiedBy>
  <cp:revision>12</cp:revision>
  <dcterms:created xsi:type="dcterms:W3CDTF">2018-05-02T03:46:00Z</dcterms:created>
  <dcterms:modified xsi:type="dcterms:W3CDTF">2019-02-06T08:48:00Z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