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CE" w:rsidRDefault="008925CE" w:rsidP="008925CE">
      <w:pPr>
        <w:pStyle w:val="PlainText"/>
      </w:pPr>
      <w:r w:rsidRPr="00805781">
        <w:rPr>
          <w:b/>
        </w:rPr>
        <w:t xml:space="preserve">Table </w:t>
      </w:r>
      <w:r w:rsidR="00805781">
        <w:rPr>
          <w:b/>
        </w:rPr>
        <w:t>S</w:t>
      </w:r>
      <w:bookmarkStart w:id="0" w:name="_GoBack"/>
      <w:bookmarkEnd w:id="0"/>
      <w:r w:rsidR="008E4A59" w:rsidRPr="00805781">
        <w:rPr>
          <w:b/>
        </w:rPr>
        <w:t>3</w:t>
      </w:r>
      <w:r>
        <w:t xml:space="preserve"> Univariate regression models for comorbidities using diastolic grade of 0 – 3.</w:t>
      </w:r>
    </w:p>
    <w:p w:rsidR="008925CE" w:rsidRDefault="008925CE" w:rsidP="008925CE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25"/>
        <w:gridCol w:w="2375"/>
        <w:gridCol w:w="900"/>
      </w:tblGrid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Comorbidity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</w:pPr>
            <w:r>
              <w:t>Odds Ratio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</w:pPr>
            <w:r>
              <w:t>95% confidence interval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</w:pPr>
            <w:r>
              <w:t>P value</w:t>
            </w:r>
          </w:p>
        </w:tc>
      </w:tr>
      <w:tr w:rsidR="008925CE" w:rsidTr="00687D23">
        <w:tc>
          <w:tcPr>
            <w:tcW w:w="7015" w:type="dxa"/>
            <w:gridSpan w:val="4"/>
          </w:tcPr>
          <w:p w:rsidR="008925CE" w:rsidRPr="00181CA3" w:rsidRDefault="008925CE" w:rsidP="00687D23">
            <w:pPr>
              <w:pStyle w:val="PlainText"/>
              <w:jc w:val="center"/>
              <w:rPr>
                <w:b/>
              </w:rPr>
            </w:pPr>
            <w:r w:rsidRPr="00181CA3">
              <w:rPr>
                <w:b/>
              </w:rPr>
              <w:t>ASE 2009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Hypertension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1.66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1.09-2.75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0.03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Myocardial Infarction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2.07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1.38-3.16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&lt;0.001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Diabetes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1.17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0.79-1.73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0.42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</w:p>
        </w:tc>
      </w:tr>
      <w:tr w:rsidR="008925CE" w:rsidTr="00687D23">
        <w:tc>
          <w:tcPr>
            <w:tcW w:w="7015" w:type="dxa"/>
            <w:gridSpan w:val="4"/>
          </w:tcPr>
          <w:p w:rsidR="008925CE" w:rsidRPr="00181CA3" w:rsidRDefault="008925CE" w:rsidP="00687D23">
            <w:pPr>
              <w:pStyle w:val="PlainText"/>
              <w:jc w:val="center"/>
              <w:rPr>
                <w:b/>
              </w:rPr>
            </w:pPr>
            <w:r w:rsidRPr="00181CA3">
              <w:rPr>
                <w:b/>
              </w:rPr>
              <w:t>ASE 2016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Hypertension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1.30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1.00-1.72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0.06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Myocardial Infarction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1.81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1.37-2.41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&lt;0.001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Diabetes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1.21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0.95-1.57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0.13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</w:p>
        </w:tc>
      </w:tr>
      <w:tr w:rsidR="008925CE" w:rsidTr="00687D23">
        <w:tc>
          <w:tcPr>
            <w:tcW w:w="7015" w:type="dxa"/>
            <w:gridSpan w:val="4"/>
          </w:tcPr>
          <w:p w:rsidR="008925CE" w:rsidRPr="00181CA3" w:rsidRDefault="008925CE" w:rsidP="00687D23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>Simplified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Hypertension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1.34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1.13-1.61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0.001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Myocardial Infarction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1.75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1.37-2.31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&lt;0.001</w:t>
            </w:r>
          </w:p>
        </w:tc>
      </w:tr>
      <w:tr w:rsidR="008925CE" w:rsidTr="00687D23">
        <w:tc>
          <w:tcPr>
            <w:tcW w:w="2515" w:type="dxa"/>
          </w:tcPr>
          <w:p w:rsidR="008925CE" w:rsidRDefault="008925CE" w:rsidP="00687D23">
            <w:pPr>
              <w:pStyle w:val="PlainText"/>
            </w:pPr>
            <w:r>
              <w:t>Diabetes</w:t>
            </w:r>
          </w:p>
        </w:tc>
        <w:tc>
          <w:tcPr>
            <w:tcW w:w="1225" w:type="dxa"/>
          </w:tcPr>
          <w:p w:rsidR="008925CE" w:rsidRDefault="008925CE" w:rsidP="00687D23">
            <w:pPr>
              <w:pStyle w:val="PlainText"/>
              <w:jc w:val="center"/>
            </w:pPr>
            <w:r>
              <w:t>1.25</w:t>
            </w:r>
          </w:p>
        </w:tc>
        <w:tc>
          <w:tcPr>
            <w:tcW w:w="2375" w:type="dxa"/>
          </w:tcPr>
          <w:p w:rsidR="008925CE" w:rsidRDefault="008925CE" w:rsidP="00687D23">
            <w:pPr>
              <w:pStyle w:val="PlainText"/>
              <w:jc w:val="center"/>
            </w:pPr>
            <w:r>
              <w:t>1.05-1.51</w:t>
            </w:r>
          </w:p>
        </w:tc>
        <w:tc>
          <w:tcPr>
            <w:tcW w:w="900" w:type="dxa"/>
          </w:tcPr>
          <w:p w:rsidR="008925CE" w:rsidRDefault="008925CE" w:rsidP="00687D23">
            <w:pPr>
              <w:pStyle w:val="PlainText"/>
              <w:jc w:val="center"/>
            </w:pPr>
            <w:r>
              <w:t>0.02</w:t>
            </w:r>
          </w:p>
        </w:tc>
      </w:tr>
    </w:tbl>
    <w:p w:rsidR="008925CE" w:rsidRDefault="008925CE" w:rsidP="008925CE">
      <w:pPr>
        <w:pStyle w:val="PlainText"/>
      </w:pPr>
    </w:p>
    <w:p w:rsidR="005C2CBA" w:rsidRDefault="005C2CBA"/>
    <w:sectPr w:rsidR="005C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C1" w:rsidRDefault="00AA03C1" w:rsidP="008925CE">
      <w:r>
        <w:separator/>
      </w:r>
    </w:p>
  </w:endnote>
  <w:endnote w:type="continuationSeparator" w:id="0">
    <w:p w:rsidR="00AA03C1" w:rsidRDefault="00AA03C1" w:rsidP="0089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C1" w:rsidRDefault="00AA03C1" w:rsidP="008925CE">
      <w:r>
        <w:separator/>
      </w:r>
    </w:p>
  </w:footnote>
  <w:footnote w:type="continuationSeparator" w:id="0">
    <w:p w:rsidR="00AA03C1" w:rsidRDefault="00AA03C1" w:rsidP="0089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8925CE"/>
    <w:rsid w:val="005C2CBA"/>
    <w:rsid w:val="00805781"/>
    <w:rsid w:val="008925CE"/>
    <w:rsid w:val="008E4A59"/>
    <w:rsid w:val="00AA03C1"/>
    <w:rsid w:val="00B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25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5C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9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25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5C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9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450</Characters>
  <Application>Microsoft Office Word</Application>
  <DocSecurity>0</DocSecurity>
  <Lines>56</Lines>
  <Paragraphs>51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Lanspa</dc:creator>
  <cp:keywords/>
  <dc:description/>
  <cp:lastModifiedBy>LCAPITAN</cp:lastModifiedBy>
  <cp:revision>3</cp:revision>
  <dcterms:created xsi:type="dcterms:W3CDTF">2018-12-02T18:10:00Z</dcterms:created>
  <dcterms:modified xsi:type="dcterms:W3CDTF">2019-01-26T15:45:00Z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Michael.Lanspa@imail.org</vt:lpwstr>
  </property>
  <property fmtid="{D5CDD505-2E9C-101B-9397-08002B2CF9AE}" pid="5" name="MSIP_Label_ba1a4512-8026-4a73-bfb7-8d52c1779a3a_SetDate">
    <vt:lpwstr>2018-12-02T18:12:06.3967457Z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