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94" w:rsidRPr="00E10994" w:rsidRDefault="00E10994" w:rsidP="00E109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34"/>
      <w:bookmarkStart w:id="1" w:name="OLE_LINK35"/>
      <w:r w:rsidRPr="00E10994">
        <w:rPr>
          <w:rFonts w:ascii="Times New Roman" w:hAnsi="Times New Roman" w:cs="Times New Roman"/>
          <w:b/>
          <w:sz w:val="24"/>
          <w:szCs w:val="24"/>
        </w:rPr>
        <w:t>Appendix 1.</w:t>
      </w:r>
      <w:bookmarkEnd w:id="0"/>
      <w:bookmarkEnd w:id="1"/>
      <w:r w:rsidRPr="00E10994">
        <w:rPr>
          <w:rFonts w:ascii="Times New Roman" w:hAnsi="Times New Roman" w:cs="Times New Roman"/>
          <w:b/>
          <w:sz w:val="24"/>
          <w:szCs w:val="24"/>
        </w:rPr>
        <w:t xml:space="preserve"> Additional information on data source</w:t>
      </w:r>
      <w:r w:rsidRPr="00E10994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E10994">
        <w:rPr>
          <w:rFonts w:ascii="Times New Roman" w:hAnsi="Times New Roman" w:cs="Times New Roman"/>
          <w:b/>
          <w:sz w:val="24"/>
          <w:szCs w:val="24"/>
        </w:rPr>
        <w:t xml:space="preserve"> and statistical analysis.</w:t>
      </w:r>
    </w:p>
    <w:p w:rsidR="00E10994" w:rsidRPr="00076D4D" w:rsidRDefault="00E10994" w:rsidP="00E10994">
      <w:pPr>
        <w:spacing w:after="120"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We obtained weekly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figures on the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number of specimens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that had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tested positive for influenza A and B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as well as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on the</w:t>
      </w:r>
      <w:r w:rsidRPr="00076D4D">
        <w:rPr>
          <w:rFonts w:ascii="Times New Roman" w:hAnsi="Times New Roman" w:cs="Times New Roman"/>
          <w:sz w:val="24"/>
          <w:szCs w:val="20"/>
        </w:rPr>
        <w:t xml:space="preserve"> total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number of </w:t>
      </w:r>
      <w:r w:rsidRPr="00076D4D">
        <w:rPr>
          <w:rFonts w:ascii="Times New Roman" w:hAnsi="Times New Roman" w:cs="Times New Roman"/>
          <w:sz w:val="24"/>
          <w:szCs w:val="20"/>
        </w:rPr>
        <w:t xml:space="preserve">specimens collected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in Hong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Kong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from the microbiology laboratory of Queen Mary Hospital (QMH).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These data have been shown representative of the entire territory in the previous study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fldChar w:fldCharType="begin"/>
      </w:r>
      <w:r>
        <w:rPr>
          <w:rFonts w:ascii="Times New Roman" w:hAnsi="Times New Roman" w:cs="Times New Roman"/>
          <w:sz w:val="24"/>
          <w:szCs w:val="20"/>
          <w:lang w:eastAsia="zh-CN"/>
        </w:rPr>
        <w:instrText xml:space="preserve"> ADDIN EN.CITE &lt;EndNote&gt;&lt;Cite&gt;&lt;Author&gt;Yang&lt;/Author&gt;&lt;Year&gt;2009&lt;/Year&gt;&lt;RecNum&gt;33&lt;/RecNum&gt;&lt;DisplayText&gt;[1]&lt;/DisplayText&gt;&lt;record&gt;&lt;rec-number&gt;33&lt;/rec-number&gt;&lt;foreign-keys&gt;&lt;key app="EN" db-id="eefs0rds7sftapewpfvp5w58fvz502rrfadf" timestamp="1494821183"&gt;33&lt;/key&gt;&lt;/foreign-keys&gt;&lt;ref-type name="Journal Article"&gt;17&lt;/ref-type&gt;&lt;contributors&gt;&lt;authors&gt;&lt;author&gt;Yang, L.&lt;/author&gt;&lt;author&gt;Wong, C. M.&lt;/author&gt;&lt;author&gt;Chan, K. P.&lt;/author&gt;&lt;author&gt;Chau, P. Y.&lt;/author&gt;&lt;author&gt;Ou, C. Q.&lt;/author&gt;&lt;author&gt;Chan, K. H.&lt;/author&gt;&lt;author&gt;Peiris, J. S.&lt;/author&gt;&lt;/authors&gt;&lt;/contributors&gt;&lt;auth-address&gt;Department of Community Medicine and School of Public Health, The University of Hong Kong, 21 Sassoon Road, Hong Kong. linyang@hku.hk&lt;/auth-address&gt;&lt;titles&gt;&lt;title&gt;Seasonal effects of influenza on mortality in a subtropical city&lt;/title&gt;&lt;secondary-title&gt;BMC Infect Dis&lt;/secondary-title&gt;&lt;alt-title&gt;BMC infectious diseases&lt;/alt-title&gt;&lt;/titles&gt;&lt;periodical&gt;&lt;full-title&gt;BMC Infect Dis&lt;/full-title&gt;&lt;abbr-1&gt;BMC infectious diseases&lt;/abbr-1&gt;&lt;/periodical&gt;&lt;alt-periodical&gt;&lt;full-title&gt;BMC Infect Dis&lt;/full-title&gt;&lt;abbr-1&gt;BMC infectious diseases&lt;/abbr-1&gt;&lt;/alt-periodical&gt;&lt;pages&gt;133&lt;/pages&gt;&lt;volume&gt;9&lt;/volume&gt;&lt;edition&gt;2009/08/25&lt;/edition&gt;&lt;keywords&gt;&lt;keyword&gt;Hong Kong&lt;/keyword&gt;&lt;keyword&gt;Humans&lt;/keyword&gt;&lt;keyword&gt;Influenza, Human/*mortality&lt;/keyword&gt;&lt;keyword&gt;Poisson Distribution&lt;/keyword&gt;&lt;keyword&gt;Regression Analysis&lt;/keyword&gt;&lt;keyword&gt;Risk Factors&lt;/keyword&gt;&lt;keyword&gt;*Seasons&lt;/keyword&gt;&lt;/keywords&gt;&lt;dates&gt;&lt;year&gt;2009&lt;/year&gt;&lt;pub-dates&gt;&lt;date&gt;Aug 22&lt;/date&gt;&lt;/pub-dates&gt;&lt;/dates&gt;&lt;isbn&gt;1471-2334&lt;/isbn&gt;&lt;accession-num&gt;19698116&lt;/accession-num&gt;&lt;urls&gt;&lt;related-urls&gt;&lt;url&gt;https://www.ncbi.nlm.nih.gov/pmc/articles/PMC2739210/pdf/1471-2334-9-133.pdf&lt;/url&gt;&lt;/related-urls&gt;&lt;/urls&gt;&lt;custom2&gt;PMC2739210&lt;/custom2&gt;&lt;electronic-resource-num&gt;10.1186/1471-2334-9-133&lt;/electronic-resource-num&gt;&lt;remote-database-provider&gt;NLM&lt;/remote-database-provider&gt;&lt;language&gt;eng&lt;/language&gt;&lt;/record&gt;&lt;/Cite&gt;&lt;/EndNote&gt;</w:instrTex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0"/>
          <w:lang w:eastAsia="zh-CN"/>
        </w:rPr>
        <w:t>[1]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fldChar w:fldCharType="end"/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.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The virology data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for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Brisbane during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the period from 30 April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2001 to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1 January 2010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</w:t>
      </w:r>
      <w:proofErr w:type="gramStart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were obtained</w:t>
      </w:r>
      <w:proofErr w:type="gramEnd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from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Queensland Health Australia,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but only weekly positive numbers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for influenza A and B were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available.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After that period, the virology data for the city of Brisbane were not available, so we obtained virology data for the state of Queensland for the period from 2 January 2010 to 16 December 2012 from the Department of Health of the Australian Government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,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to approximate the activity of the virus in Brisbane.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T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hese two datasets show a high correlation during the overlapping period of year 2009 (Pearson correlation coefficient = 0.91, p&lt;0.001).</w:t>
      </w:r>
    </w:p>
    <w:p w:rsidR="00E10994" w:rsidRPr="00076D4D" w:rsidRDefault="00E10994" w:rsidP="00E10994">
      <w:pPr>
        <w:spacing w:after="120"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 w:rsidRPr="00076D4D">
        <w:rPr>
          <w:rFonts w:ascii="Times New Roman" w:hAnsi="Times New Roman" w:cs="Times New Roman"/>
          <w:sz w:val="24"/>
          <w:szCs w:val="20"/>
          <w:lang w:eastAsia="zh-CN"/>
        </w:rPr>
        <w:t>To calculate the influenza associated mortality and morbidity burden, d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eath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registry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data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for Hong Kong and Brisbane </w:t>
      </w:r>
      <w:proofErr w:type="gramStart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were obtained</w:t>
      </w:r>
      <w:proofErr w:type="gramEnd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from the Census and Statistics Department of Hong Kong and t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he Australian Institute of Health and Welfare, respectively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. These data were aggregated into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</w:rPr>
        <w:t>weekly numbers of deaths from the following underlying causes: all-causes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(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ICD10 A00-T99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)</w:t>
      </w:r>
      <w:r w:rsidRPr="00076D4D">
        <w:rPr>
          <w:rFonts w:ascii="Times New Roman" w:hAnsi="Times New Roman" w:cs="Times New Roman"/>
          <w:sz w:val="24"/>
          <w:szCs w:val="20"/>
        </w:rPr>
        <w:t>, cardio-respiratory disease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(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CRD, ICD10 I00-J99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)</w:t>
      </w:r>
      <w:r w:rsidRPr="00076D4D">
        <w:rPr>
          <w:rFonts w:ascii="Times New Roman" w:hAnsi="Times New Roman" w:cs="Times New Roman"/>
          <w:sz w:val="24"/>
          <w:szCs w:val="20"/>
        </w:rPr>
        <w:t>, pneumonia and influenza (P&amp;I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,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ICD10 J09-J18</w:t>
      </w:r>
      <w:r w:rsidRPr="00076D4D">
        <w:rPr>
          <w:rFonts w:ascii="Times New Roman" w:hAnsi="Times New Roman" w:cs="Times New Roman"/>
          <w:sz w:val="24"/>
          <w:szCs w:val="20"/>
        </w:rPr>
        <w:t xml:space="preserve">), chronic obstructive pulmonary disease (COPD,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ICD10 J40-J47</w:t>
      </w:r>
      <w:r w:rsidRPr="00076D4D">
        <w:rPr>
          <w:rFonts w:ascii="Times New Roman" w:hAnsi="Times New Roman" w:cs="Times New Roman"/>
          <w:sz w:val="24"/>
          <w:szCs w:val="20"/>
        </w:rPr>
        <w:t xml:space="preserve">),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stroke</w:t>
      </w:r>
      <w:r w:rsidRPr="00076D4D">
        <w:rPr>
          <w:rFonts w:ascii="Times New Roman" w:hAnsi="Times New Roman" w:cs="Times New Roman"/>
          <w:sz w:val="24"/>
          <w:szCs w:val="20"/>
        </w:rPr>
        <w:t xml:space="preserve"> (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ICD9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430-438; ICD10 I60-I69</w:t>
      </w:r>
      <w:r w:rsidRPr="00076D4D">
        <w:rPr>
          <w:rFonts w:ascii="Times New Roman" w:hAnsi="Times New Roman" w:cs="Times New Roman"/>
          <w:sz w:val="24"/>
          <w:szCs w:val="20"/>
        </w:rPr>
        <w:t xml:space="preserve">), and ischemic heart diseases (IHD,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ICD10 I20-I25</w:t>
      </w:r>
      <w:r w:rsidRPr="00076D4D">
        <w:rPr>
          <w:rFonts w:ascii="Times New Roman" w:hAnsi="Times New Roman" w:cs="Times New Roman"/>
          <w:sz w:val="24"/>
          <w:szCs w:val="20"/>
        </w:rPr>
        <w:t>)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.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H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ospital admission data </w:t>
      </w:r>
      <w:proofErr w:type="gramStart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were obtained</w:t>
      </w:r>
      <w:proofErr w:type="gramEnd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from the Hospital Authority of Hong Kong and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Queensland Health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.</w:t>
      </w:r>
      <w:r w:rsidRPr="00076D4D">
        <w:rPr>
          <w:rFonts w:ascii="Times New Roman" w:hAnsi="Times New Roman" w:cs="Times New Roman"/>
          <w:sz w:val="24"/>
          <w:szCs w:val="20"/>
        </w:rPr>
        <w:t xml:space="preserve">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W</w:t>
      </w:r>
      <w:r w:rsidRPr="00076D4D">
        <w:rPr>
          <w:rFonts w:ascii="Times New Roman" w:hAnsi="Times New Roman" w:cs="Times New Roman"/>
          <w:sz w:val="24"/>
          <w:szCs w:val="20"/>
        </w:rPr>
        <w:t xml:space="preserve">eekly numbers of hospital admissions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were aggregated by </w:t>
      </w:r>
      <w:r w:rsidRPr="00076D4D">
        <w:rPr>
          <w:rFonts w:ascii="Times New Roman" w:hAnsi="Times New Roman" w:cs="Times New Roman"/>
          <w:sz w:val="24"/>
          <w:szCs w:val="20"/>
        </w:rPr>
        <w:t xml:space="preserve">the discharge diagnosis of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CRD (ICD9</w:t>
      </w:r>
      <w:r w:rsidRPr="00076D4D">
        <w:rPr>
          <w:sz w:val="24"/>
          <w:szCs w:val="20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390-459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), </w:t>
      </w:r>
      <w:r w:rsidRPr="00076D4D">
        <w:rPr>
          <w:rFonts w:ascii="Times New Roman" w:hAnsi="Times New Roman"/>
          <w:sz w:val="24"/>
          <w:szCs w:val="20"/>
        </w:rPr>
        <w:t>acute respiratory disease</w:t>
      </w:r>
      <w:r w:rsidRPr="00076D4D">
        <w:rPr>
          <w:rFonts w:ascii="Times New Roman" w:hAnsi="Times New Roman" w:hint="eastAsia"/>
          <w:sz w:val="24"/>
          <w:szCs w:val="20"/>
        </w:rPr>
        <w:t xml:space="preserve"> (ARD,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460-519</w:t>
      </w:r>
      <w:r w:rsidRPr="00076D4D">
        <w:rPr>
          <w:rFonts w:ascii="Times New Roman" w:hAnsi="Times New Roman" w:hint="eastAsia"/>
          <w:sz w:val="24"/>
          <w:szCs w:val="20"/>
        </w:rPr>
        <w:t>),</w:t>
      </w:r>
      <w:r w:rsidRPr="00076D4D">
        <w:rPr>
          <w:rFonts w:ascii="Times New Roman" w:hAnsi="Times New Roman"/>
          <w:sz w:val="24"/>
          <w:szCs w:val="20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</w:rPr>
        <w:t>P&amp;I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(ICD9</w:t>
      </w:r>
      <w:r w:rsidRPr="00076D4D">
        <w:rPr>
          <w:sz w:val="24"/>
          <w:szCs w:val="20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480-487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)</w:t>
      </w:r>
      <w:r w:rsidRPr="00076D4D">
        <w:rPr>
          <w:rFonts w:ascii="Times New Roman" w:hAnsi="Times New Roman" w:cs="Times New Roman"/>
          <w:sz w:val="24"/>
          <w:szCs w:val="20"/>
        </w:rPr>
        <w:t>, COPD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(ICD9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490-496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)</w:t>
      </w:r>
      <w:r w:rsidRPr="00076D4D">
        <w:rPr>
          <w:rFonts w:ascii="Times New Roman" w:hAnsi="Times New Roman" w:cs="Times New Roman"/>
          <w:sz w:val="24"/>
          <w:szCs w:val="20"/>
        </w:rPr>
        <w:t xml:space="preserve">,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stroke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(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ICD9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001-999)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,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and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</w:rPr>
        <w:t>IHD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(ICD9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410-414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)</w:t>
      </w:r>
      <w:r w:rsidRPr="00076D4D">
        <w:rPr>
          <w:rFonts w:ascii="Times New Roman" w:hAnsi="Times New Roman" w:hint="eastAsia"/>
          <w:sz w:val="24"/>
          <w:szCs w:val="20"/>
        </w:rPr>
        <w:t xml:space="preserve">. </w:t>
      </w:r>
      <w:r w:rsidRPr="00076D4D">
        <w:rPr>
          <w:rFonts w:ascii="Times New Roman" w:hAnsi="Times New Roman"/>
          <w:sz w:val="24"/>
          <w:szCs w:val="20"/>
        </w:rPr>
        <w:t xml:space="preserve">Weekly numbers of deaths </w:t>
      </w:r>
      <w:r w:rsidRPr="00076D4D">
        <w:rPr>
          <w:rFonts w:ascii="Times New Roman" w:hAnsi="Times New Roman"/>
          <w:sz w:val="24"/>
          <w:szCs w:val="20"/>
        </w:rPr>
        <w:lastRenderedPageBreak/>
        <w:t xml:space="preserve">and admissions from injuries and poisoning (ICD9 800-999 and ICD10 S00-T98) in Hong Kong were also collected as </w:t>
      </w:r>
      <w:r w:rsidRPr="00076D4D">
        <w:rPr>
          <w:rFonts w:ascii="Times New Roman" w:hAnsi="Times New Roman" w:hint="eastAsia"/>
          <w:sz w:val="24"/>
          <w:szCs w:val="20"/>
          <w:lang w:eastAsia="zh-CN"/>
        </w:rPr>
        <w:t>a</w:t>
      </w:r>
      <w:r w:rsidRPr="00076D4D">
        <w:rPr>
          <w:rFonts w:ascii="Times New Roman" w:hAnsi="Times New Roman"/>
          <w:sz w:val="24"/>
          <w:szCs w:val="20"/>
        </w:rPr>
        <w:t xml:space="preserve"> control disease category, since accidents </w:t>
      </w:r>
      <w:proofErr w:type="gramStart"/>
      <w:r w:rsidRPr="00076D4D">
        <w:rPr>
          <w:rFonts w:ascii="Times New Roman" w:hAnsi="Times New Roman"/>
          <w:sz w:val="24"/>
          <w:szCs w:val="20"/>
        </w:rPr>
        <w:t>were theoretically not related</w:t>
      </w:r>
      <w:proofErr w:type="gramEnd"/>
      <w:r w:rsidRPr="00076D4D">
        <w:rPr>
          <w:rFonts w:ascii="Times New Roman" w:hAnsi="Times New Roman"/>
          <w:sz w:val="24"/>
          <w:szCs w:val="20"/>
        </w:rPr>
        <w:t xml:space="preserve"> to influenza infections. </w:t>
      </w:r>
    </w:p>
    <w:p w:rsidR="00E10994" w:rsidRPr="00076D4D" w:rsidRDefault="00E10994" w:rsidP="00E10994">
      <w:pPr>
        <w:spacing w:after="120" w:line="480" w:lineRule="auto"/>
        <w:rPr>
          <w:rFonts w:ascii="Times New Roman" w:hAnsi="Times New Roman" w:cs="Times New Roman"/>
          <w:sz w:val="24"/>
          <w:szCs w:val="20"/>
        </w:rPr>
      </w:pPr>
      <w:r w:rsidRPr="00076D4D">
        <w:rPr>
          <w:rFonts w:ascii="Times New Roman" w:hAnsi="Times New Roman" w:cs="Times New Roman"/>
          <w:sz w:val="24"/>
          <w:szCs w:val="20"/>
          <w:lang w:eastAsia="zh-CN"/>
        </w:rPr>
        <w:t>Meteorological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data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,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including daily</w:t>
      </w:r>
      <w:r w:rsidRPr="00076D4D">
        <w:rPr>
          <w:rFonts w:ascii="Times New Roman" w:hAnsi="Times New Roman" w:cs="Times New Roman"/>
          <w:sz w:val="24"/>
          <w:szCs w:val="20"/>
        </w:rPr>
        <w:t xml:space="preserve"> mean temperatures and relative humidity, from 2001 to 2013 </w:t>
      </w:r>
      <w:proofErr w:type="gramStart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were obtained</w:t>
      </w:r>
      <w:proofErr w:type="gramEnd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from the Hong Kong Observatory and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the Australian Bureau of Meteorology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. </w:t>
      </w:r>
    </w:p>
    <w:p w:rsidR="00E10994" w:rsidRPr="00076D4D" w:rsidRDefault="00E10994" w:rsidP="00E10994">
      <w:pPr>
        <w:spacing w:after="0"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A typical form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for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the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</w:rPr>
        <w:t>time series segmented regression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model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s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is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: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</w:t>
      </w:r>
    </w:p>
    <w:p w:rsidR="00E10994" w:rsidRPr="00076D4D" w:rsidRDefault="00AA6846" w:rsidP="00E10994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0"/>
          <w:lang w:eastAsia="zh-C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0"/>
                          <w:lang w:eastAsia="zh-C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0"/>
                          <w:lang w:eastAsia="zh-CN"/>
                        </w:rPr>
                        <m:t>t</m:t>
                      </m:r>
                    </m:sub>
                  </m:sSub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+offset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0"/>
                          <w:lang w:eastAsia="zh-CN"/>
                        </w:rPr>
                        <m:t>po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0"/>
                              <w:lang w:eastAsia="zh-C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0"/>
                              <w:lang w:eastAsia="zh-CN"/>
                            </w:rPr>
                            <m:t>t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  <w:lang w:eastAsia="zh-CN"/>
                    </w:rPr>
                  </m:ctrlPr>
                </m:e>
              </m:func>
            </m:e>
          </m:d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+S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time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df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+S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temp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df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+S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hum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df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0"/>
                      <w:lang w:eastAsia="zh-CN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+SARS+PostSARS+Pandemic+PostPandemic+fl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+fl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×SARS+fl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×PostSARS+fl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×Pandemic+fl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0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0"/>
                  <w:lang w:eastAsia="zh-CN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0"/>
              <w:lang w:eastAsia="zh-CN"/>
            </w:rPr>
            <m:t>×PostPandemic</m:t>
          </m:r>
        </m:oMath>
      </m:oMathPara>
    </w:p>
    <w:p w:rsidR="00E10994" w:rsidRPr="00076D4D" w:rsidRDefault="00E10994" w:rsidP="00E10994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0"/>
          <w:lang w:eastAsia="zh-CN"/>
        </w:rPr>
      </w:pPr>
    </w:p>
    <w:p w:rsidR="00E10994" w:rsidRPr="00076D4D" w:rsidRDefault="00E10994" w:rsidP="00E10994">
      <w:pPr>
        <w:spacing w:after="0"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Here, </w:t>
      </w:r>
      <w:proofErr w:type="spellStart"/>
      <w:proofErr w:type="gramStart"/>
      <w:r w:rsidRPr="00076D4D">
        <w:rPr>
          <w:rFonts w:ascii="Times New Roman" w:hAnsi="Times New Roman" w:cs="Times New Roman"/>
          <w:i/>
          <w:sz w:val="24"/>
          <w:szCs w:val="20"/>
          <w:lang w:eastAsia="zh-CN"/>
        </w:rPr>
        <w:t>Yt</w:t>
      </w:r>
      <w:proofErr w:type="spellEnd"/>
      <w:proofErr w:type="gramEnd"/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denotes weekly numbers of cause-specific mortality or hospitalization in Hong Kong or Brisbane, </w:t>
      </w:r>
      <m:oMath>
        <m:r>
          <w:rPr>
            <w:rFonts w:ascii="Cambria Math" w:hAnsi="Cambria Math" w:cs="Times New Roman"/>
            <w:sz w:val="24"/>
            <w:szCs w:val="20"/>
            <w:lang w:eastAsia="zh-CN"/>
          </w:rPr>
          <m:t>fl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  <w:lang w:eastAsia="zh-CN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  <w:lang w:eastAsia="zh-CN"/>
              </w:rPr>
              <m:t xml:space="preserve">t </m:t>
            </m:r>
          </m:sub>
        </m:sSub>
      </m:oMath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denotes the proxy variable for influenza activity (weekly percentage of positive specimens in the annual total number of positive samples). Four dummy variables for the SARS, post-SARS, pandemic, and post-pandemic periods, and their interaction terms with influenza proxies </w:t>
      </w:r>
      <w:proofErr w:type="gramStart"/>
      <w:r w:rsidRPr="00076D4D">
        <w:rPr>
          <w:rFonts w:ascii="Times New Roman" w:hAnsi="Times New Roman" w:cs="Times New Roman"/>
          <w:sz w:val="24"/>
          <w:szCs w:val="20"/>
          <w:lang w:eastAsia="zh-CN"/>
        </w:rPr>
        <w:t>were added</w:t>
      </w:r>
      <w:proofErr w:type="gramEnd"/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into the model to estimate the effects of influenza for each study period. The natural spline of seasonal and long-term </w:t>
      </w:r>
      <w:proofErr w:type="gramStart"/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trends </w:t>
      </w:r>
      <w:proofErr w:type="gramEnd"/>
      <m:oMath>
        <m:r>
          <w:rPr>
            <w:rFonts w:ascii="Cambria Math" w:hAnsi="Cambria Math" w:cs="Times New Roman"/>
            <w:sz w:val="24"/>
            <w:szCs w:val="20"/>
            <w:lang w:eastAsia="zh-CN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0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time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0"/>
                <w:lang w:eastAsia="zh-CN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df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1</m:t>
                </m:r>
              </m:sub>
            </m:sSub>
          </m:e>
        </m:d>
      </m:oMath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, temperature </w:t>
      </w:r>
      <m:oMath>
        <m:r>
          <w:rPr>
            <w:rFonts w:ascii="Cambria Math" w:hAnsi="Cambria Math" w:cs="Times New Roman"/>
            <w:sz w:val="24"/>
            <w:szCs w:val="20"/>
            <w:lang w:eastAsia="zh-CN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0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temp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0"/>
                <w:lang w:eastAsia="zh-CN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df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2</m:t>
                </m:r>
              </m:sub>
            </m:sSub>
          </m:e>
        </m:d>
      </m:oMath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, and relative humidity </w:t>
      </w:r>
      <m:oMath>
        <m:r>
          <w:rPr>
            <w:rFonts w:ascii="Cambria Math" w:hAnsi="Cambria Math" w:cs="Times New Roman"/>
            <w:sz w:val="24"/>
            <w:szCs w:val="20"/>
            <w:lang w:eastAsia="zh-CN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0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hum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0"/>
                <w:lang w:eastAsia="zh-CN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df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3</m:t>
                </m:r>
              </m:sub>
            </m:sSub>
          </m:e>
        </m:d>
      </m:oMath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were added as confounders. An offset variable of </w:t>
      </w:r>
      <m:oMath>
        <m:r>
          <w:rPr>
            <w:rFonts w:ascii="Cambria Math" w:hAnsi="Cambria Math" w:cs="Times New Roman"/>
            <w:sz w:val="24"/>
            <w:szCs w:val="20"/>
            <w:lang w:eastAsia="zh-CN"/>
          </w:rPr>
          <m:t>offset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0"/>
                <w:lang w:eastAsia="zh-CN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0"/>
                    <w:lang w:eastAsia="zh-CN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0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0"/>
                        <w:lang w:eastAsia="zh-CN"/>
                      </w:rPr>
                      <m:t>po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0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0"/>
                            <w:lang w:eastAsia="zh-C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0"/>
                            <w:lang w:eastAsia="zh-CN"/>
                          </w:rPr>
                          <m:t>t</m:t>
                        </m:r>
                      </m:sub>
                    </m:sSub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0"/>
                    <w:lang w:eastAsia="zh-CN"/>
                  </w:rPr>
                </m:ctrlPr>
              </m:e>
            </m:func>
          </m:e>
        </m:d>
        <m:r>
          <w:rPr>
            <w:rFonts w:ascii="Cambria Math" w:hAnsi="Cambria Math" w:cs="Times New Roman"/>
            <w:sz w:val="24"/>
            <w:szCs w:val="20"/>
            <w:lang w:eastAsia="zh-CN"/>
          </w:rPr>
          <m:t xml:space="preserve"> </m:t>
        </m:r>
      </m:oMath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was added to adjust for the differences in population size. For the models that </w:t>
      </w:r>
      <w:proofErr w:type="gramStart"/>
      <w:r w:rsidRPr="00076D4D">
        <w:rPr>
          <w:rFonts w:ascii="Times New Roman" w:hAnsi="Times New Roman" w:cs="Times New Roman"/>
          <w:sz w:val="24"/>
          <w:szCs w:val="20"/>
          <w:lang w:eastAsia="zh-CN"/>
        </w:rPr>
        <w:t>were fitted</w:t>
      </w:r>
      <w:proofErr w:type="gramEnd"/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to hospitalization data, the annual total number of hospital beds in public hospitals and the weekly numbers of total admissions were also included as confounders.</w:t>
      </w:r>
    </w:p>
    <w:p w:rsidR="00E10994" w:rsidRPr="00076D4D" w:rsidRDefault="00E10994" w:rsidP="00E10994">
      <w:pPr>
        <w:spacing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Degrees of freedom ranged from </w:t>
      </w:r>
      <w:proofErr w:type="gramStart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2</w:t>
      </w:r>
      <w:proofErr w:type="gramEnd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to 24 for time and from 3 to 4 for temperature and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relative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humidity in the Poisson models fitted to different outcomes. </w:t>
      </w:r>
    </w:p>
    <w:p w:rsidR="00E10994" w:rsidRPr="00076D4D" w:rsidRDefault="00E10994" w:rsidP="00E10994">
      <w:pPr>
        <w:spacing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lastRenderedPageBreak/>
        <w:t>The best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-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fit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ting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models were chosen by minimal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generalized cross-validation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(GCV), according to our previous study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fldChar w:fldCharType="begin"/>
      </w:r>
      <w:r>
        <w:rPr>
          <w:rFonts w:ascii="Times New Roman" w:hAnsi="Times New Roman" w:cs="Times New Roman"/>
          <w:sz w:val="24"/>
          <w:szCs w:val="20"/>
          <w:lang w:eastAsia="zh-CN"/>
        </w:rPr>
        <w:instrText xml:space="preserve"> ADDIN EN.CITE &lt;EndNote&gt;&lt;Cite&gt;&lt;Author&gt;Wang&lt;/Author&gt;&lt;Year&gt;2012&lt;/Year&gt;&lt;RecNum&gt;23&lt;/RecNum&gt;&lt;DisplayText&gt;[2]&lt;/DisplayText&gt;&lt;record&gt;&lt;rec-number&gt;23&lt;/rec-number&gt;&lt;foreign-keys&gt;&lt;key app="EN" db-id="eefs0rds7sftapewpfvp5w58fvz502rrfadf" timestamp="1494820617"&gt;23&lt;/key&gt;&lt;/foreign-keys&gt;&lt;ref-type name="Journal Article"&gt;17&lt;/ref-type&gt;&lt;contributors&gt;&lt;authors&gt;&lt;author&gt;Wang, X. L.&lt;/author&gt;&lt;author&gt;Yang, L.&lt;/author&gt;&lt;author&gt;Chan, K. P.&lt;/author&gt;&lt;author&gt;Chiu, S. S.&lt;/author&gt;&lt;author&gt;Chan, K. H.&lt;/author&gt;&lt;author&gt;Peiris, J. S.&lt;/author&gt;&lt;author&gt;Wong, C. M.&lt;/author&gt;&lt;/authors&gt;&lt;/contributors&gt;&lt;auth-address&gt;School of Public Health, The University of Hong Kong, Hong Kong Special Administrative Region, China.&lt;/auth-address&gt;&lt;titles&gt;&lt;title&gt;Model selection in time series studies of influenza-associated mortality&lt;/title&gt;&lt;secondary-title&gt;PLoS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one&lt;/abbr-1&gt;&lt;/alt-periodical&gt;&lt;pages&gt;e39423&lt;/pages&gt;&lt;volume&gt;7&lt;/volume&gt;&lt;number&gt;6&lt;/number&gt;&lt;edition&gt;2012/06/30&lt;/edition&gt;&lt;keywords&gt;&lt;keyword&gt;Humans&lt;/keyword&gt;&lt;keyword&gt;Influenza, Human/*mortality&lt;/keyword&gt;&lt;keyword&gt;*Models, Theoretical&lt;/keyword&gt;&lt;/keywords&gt;&lt;dates&gt;&lt;year&gt;2012&lt;/year&gt;&lt;/dates&gt;&lt;isbn&gt;1932-6203&lt;/isbn&gt;&lt;accession-num&gt;22745751&lt;/accession-num&gt;&lt;urls&gt;&lt;related-urls&gt;&lt;url&gt;https://www.ncbi.nlm.nih.gov/pmc/articles/PMC3380027/pdf/pone.0039423.pdf&lt;/url&gt;&lt;/related-urls&gt;&lt;/urls&gt;&lt;custom2&gt;PMC3380027&lt;/custom2&gt;&lt;electronic-resource-num&gt;10.1371/journal.pone.0039423&lt;/electronic-resource-num&gt;&lt;remote-database-provider&gt;NLM&lt;/remote-database-provider&gt;&lt;language&gt;eng&lt;/language&gt;&lt;/record&gt;&lt;/Cite&gt;&lt;/EndNote&gt;</w:instrTex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0"/>
          <w:lang w:eastAsia="zh-CN"/>
        </w:rPr>
        <w:t>[2]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fldChar w:fldCharType="end"/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. Baseline rates of cause-specific mortality and hospitalization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s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associated with influenza were calculated for different periods by setting the virus proxy to zero and the corresponding period dummy to one (other dummies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were simultaneously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set to zero). Excess numbers </w:t>
      </w:r>
      <w:proofErr w:type="gramStart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were derived</w:t>
      </w:r>
      <w:proofErr w:type="gramEnd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by subtracting baseline rates from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the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observed data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,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and excess rates (ER) were further calculated by dividing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the excess numbers by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the size of the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age-specific population.</w:t>
      </w:r>
    </w:p>
    <w:p w:rsidR="00E10994" w:rsidRPr="00076D4D" w:rsidRDefault="00E10994" w:rsidP="00E10994">
      <w:pPr>
        <w:spacing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The 95% confidence interval (CI) of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E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R </w:t>
      </w:r>
      <w:proofErr w:type="gramStart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was calculated</w:t>
      </w:r>
      <w:proofErr w:type="gramEnd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by bootstrapping 1,000 times.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Because the periods were of </w:t>
      </w:r>
      <w:r w:rsidRPr="00076D4D">
        <w:rPr>
          <w:rFonts w:ascii="Times New Roman" w:hAnsi="Times New Roman" w:cs="Times New Roman"/>
          <w:sz w:val="24"/>
          <w:szCs w:val="20"/>
        </w:rPr>
        <w:t xml:space="preserve">different lengths, we calculated annual rates of excess mortality (or hospitalizations) (AER) to facilitate comparisons between different periods. For each disease category, the rate ratio (RR) of post-SARS (or post-pandemic) versus pre-SARS </w:t>
      </w:r>
      <w:proofErr w:type="gramStart"/>
      <w:r w:rsidRPr="00076D4D">
        <w:rPr>
          <w:rFonts w:ascii="Times New Roman" w:hAnsi="Times New Roman" w:cs="Times New Roman"/>
          <w:sz w:val="24"/>
          <w:szCs w:val="20"/>
        </w:rPr>
        <w:t xml:space="preserve">was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derived</w:t>
      </w:r>
      <w:proofErr w:type="gramEnd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by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dividing</w:t>
      </w:r>
      <w:r w:rsidRPr="00076D4D">
        <w:rPr>
          <w:rFonts w:ascii="Times New Roman" w:hAnsi="Times New Roman" w:cs="Times New Roman"/>
          <w:sz w:val="24"/>
          <w:szCs w:val="20"/>
        </w:rPr>
        <w:t xml:space="preserve"> annual excess rates during the post-SARS (or post-pandemic) period with those of the pre-SARS period (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as </w:t>
      </w:r>
      <w:r w:rsidRPr="00076D4D">
        <w:rPr>
          <w:rFonts w:ascii="Times New Roman" w:hAnsi="Times New Roman" w:cs="Times New Roman"/>
          <w:sz w:val="24"/>
          <w:szCs w:val="20"/>
        </w:rPr>
        <w:t>reference):</w:t>
      </w:r>
    </w:p>
    <w:p w:rsidR="00E10994" w:rsidRPr="00076D4D" w:rsidRDefault="00E10994" w:rsidP="00E10994">
      <w:pPr>
        <w:spacing w:line="480" w:lineRule="auto"/>
        <w:ind w:firstLine="284"/>
        <w:rPr>
          <w:rFonts w:ascii="Times New Roman" w:hAnsi="Times New Roman" w:cs="Times New Roman"/>
          <w:i/>
          <w:sz w:val="24"/>
          <w:szCs w:val="20"/>
          <w:lang w:eastAsia="zh-CN"/>
        </w:rPr>
      </w:pPr>
      <w:r w:rsidRPr="00076D4D">
        <w:rPr>
          <w:rFonts w:ascii="Times New Roman" w:hAnsi="Times New Roman" w:cs="Times New Roman" w:hint="eastAsia"/>
          <w:i/>
          <w:sz w:val="24"/>
          <w:szCs w:val="20"/>
          <w:lang w:eastAsia="zh-CN"/>
        </w:rPr>
        <w:t xml:space="preserve">RR = </w:t>
      </w:r>
      <w:r w:rsidRPr="00076D4D">
        <w:rPr>
          <w:rFonts w:ascii="Times New Roman" w:hAnsi="Times New Roman" w:cs="Times New Roman"/>
          <w:i/>
          <w:sz w:val="24"/>
          <w:szCs w:val="20"/>
          <w:lang w:eastAsia="zh-CN"/>
        </w:rPr>
        <w:t>AER (</w:t>
      </w:r>
      <w:r w:rsidRPr="00076D4D">
        <w:rPr>
          <w:rFonts w:ascii="Times New Roman" w:hAnsi="Times New Roman" w:cs="Times New Roman" w:hint="eastAsia"/>
          <w:i/>
          <w:sz w:val="24"/>
          <w:szCs w:val="20"/>
          <w:lang w:eastAsia="zh-CN"/>
        </w:rPr>
        <w:t>post-SARS</w:t>
      </w:r>
      <w:r w:rsidRPr="00076D4D">
        <w:rPr>
          <w:rFonts w:ascii="Times New Roman" w:hAnsi="Times New Roman" w:cs="Times New Roman"/>
          <w:i/>
          <w:sz w:val="24"/>
          <w:szCs w:val="20"/>
          <w:lang w:eastAsia="zh-CN"/>
        </w:rPr>
        <w:t>)</w:t>
      </w:r>
      <w:r w:rsidRPr="00076D4D">
        <w:rPr>
          <w:rFonts w:ascii="Times New Roman" w:hAnsi="Times New Roman" w:cs="Times New Roman" w:hint="eastAsia"/>
          <w:i/>
          <w:sz w:val="24"/>
          <w:szCs w:val="20"/>
          <w:lang w:eastAsia="zh-CN"/>
        </w:rPr>
        <w:t xml:space="preserve"> / </w:t>
      </w:r>
      <w:r w:rsidRPr="00076D4D">
        <w:rPr>
          <w:rFonts w:ascii="Times New Roman" w:hAnsi="Times New Roman" w:cs="Times New Roman"/>
          <w:i/>
          <w:sz w:val="24"/>
          <w:szCs w:val="20"/>
          <w:lang w:eastAsia="zh-CN"/>
        </w:rPr>
        <w:t>AER (</w:t>
      </w:r>
      <w:r w:rsidRPr="00076D4D">
        <w:rPr>
          <w:rFonts w:ascii="Times New Roman" w:hAnsi="Times New Roman" w:cs="Times New Roman" w:hint="eastAsia"/>
          <w:i/>
          <w:sz w:val="24"/>
          <w:szCs w:val="20"/>
          <w:lang w:eastAsia="zh-CN"/>
        </w:rPr>
        <w:t>pre-SARS)</w:t>
      </w:r>
    </w:p>
    <w:p w:rsidR="00E10994" w:rsidRPr="00076D4D" w:rsidRDefault="00E10994" w:rsidP="00E10994">
      <w:pPr>
        <w:spacing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 w:rsidRPr="00076D4D">
        <w:rPr>
          <w:rFonts w:ascii="Times New Roman" w:hAnsi="Times New Roman" w:cs="Times New Roman"/>
          <w:sz w:val="24"/>
          <w:szCs w:val="20"/>
          <w:lang w:eastAsia="zh-CN"/>
        </w:rPr>
        <w:t>Since t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he pre-SARS period </w:t>
      </w:r>
      <w:proofErr w:type="gramStart"/>
      <w:r w:rsidRPr="00076D4D">
        <w:rPr>
          <w:rFonts w:ascii="Times New Roman" w:hAnsi="Times New Roman" w:cs="Times New Roman"/>
          <w:sz w:val="24"/>
          <w:szCs w:val="20"/>
          <w:lang w:eastAsia="zh-CN"/>
        </w:rPr>
        <w:t>was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treated</w:t>
      </w:r>
      <w:proofErr w:type="gramEnd"/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 as the reference period in this study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>,</w:t>
      </w:r>
      <w:r w:rsidRPr="00076D4D">
        <w:rPr>
          <w:rFonts w:ascii="Times New Roman" w:hAnsi="Times New Roman" w:cs="Times New Roman"/>
          <w:sz w:val="24"/>
          <w:szCs w:val="20"/>
        </w:rPr>
        <w:t xml:space="preserve"> hereafter the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 xml:space="preserve">post-SARS </w:t>
      </w:r>
      <w:r w:rsidRPr="00076D4D">
        <w:rPr>
          <w:rFonts w:ascii="Times New Roman" w:hAnsi="Times New Roman" w:cs="Times New Roman"/>
          <w:sz w:val="24"/>
          <w:szCs w:val="20"/>
        </w:rPr>
        <w:t xml:space="preserve">RR </w:t>
      </w:r>
      <w:r w:rsidRPr="00076D4D">
        <w:rPr>
          <w:rFonts w:ascii="Times New Roman" w:hAnsi="Times New Roman" w:cs="Times New Roman" w:hint="eastAsia"/>
          <w:sz w:val="24"/>
          <w:szCs w:val="20"/>
          <w:lang w:eastAsia="zh-CN"/>
        </w:rPr>
        <w:t>refers to the risk ratio of mortality or hospitalization in the post-SARS period relative to those in the pre-SARS period. Similarly, the post-pandemic RR refers to the risk ratio of mortality or hospitalization in the post-pandemic period relative to those in the pre-SARS period.</w:t>
      </w:r>
      <w:r>
        <w:rPr>
          <w:rFonts w:ascii="Times New Roman" w:hAnsi="Times New Roman" w:cs="Times New Roman"/>
          <w:sz w:val="24"/>
          <w:szCs w:val="20"/>
          <w:lang w:eastAsia="zh-CN"/>
        </w:rPr>
        <w:t xml:space="preserve">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The 95% CI and </w:t>
      </w:r>
      <w:r w:rsidRPr="00076D4D">
        <w:rPr>
          <w:rFonts w:ascii="Times New Roman" w:hAnsi="Times New Roman" w:cs="Times New Roman"/>
          <w:i/>
          <w:sz w:val="24"/>
          <w:szCs w:val="20"/>
          <w:lang w:eastAsia="zh-CN"/>
        </w:rPr>
        <w:t>p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-value of RR were derived from a normal approximation of their logarithmic transformations 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fldChar w:fldCharType="begin"/>
      </w:r>
      <w:r>
        <w:rPr>
          <w:rFonts w:ascii="Times New Roman" w:hAnsi="Times New Roman" w:cs="Times New Roman"/>
          <w:sz w:val="24"/>
          <w:szCs w:val="20"/>
          <w:lang w:eastAsia="zh-CN"/>
        </w:rPr>
        <w:instrText xml:space="preserve"> ADDIN EN.CITE &lt;EndNote&gt;&lt;Cite&gt;&lt;Author&gt;Rothman&lt;/Author&gt;&lt;Year&gt;1998&lt;/Year&gt;&lt;RecNum&gt;17&lt;/RecNum&gt;&lt;DisplayText&gt;[3]&lt;/DisplayText&gt;&lt;record&gt;&lt;rec-number&gt;17&lt;/rec-number&gt;&lt;foreign-keys&gt;&lt;key app="EN" db-id="92zt5d95jwfxd4et2a75wr520rtva0tf5xxw" timestamp="1501834248"&gt;17&lt;/key&gt;&lt;/foreign-keys&gt;&lt;ref-type name="Book"&gt;6&lt;/ref-type&gt;&lt;contributors&gt;&lt;authors&gt;&lt;author&gt;&lt;style face="normal" font="default" size="100%"&gt;Rothman&lt;/style&gt;&lt;style face="normal" font="default" charset="134" size="100%"&gt;,&lt;/style&gt;&lt;style face="normal" font="default" size="100%"&gt;K.J.&lt;/style&gt;&lt;/author&gt;&lt;author&gt;Greenland, S.&lt;/author&gt;&lt;/authors&gt;&lt;/contributors&gt;&lt;titles&gt;&lt;title&gt;Modern Epidemiology&lt;/title&gt;&lt;/titles&gt;&lt;dates&gt;&lt;year&gt;1998&lt;/year&gt;&lt;/dates&gt;&lt;publisher&gt;Lippincott-Raven &lt;/publisher&gt;&lt;urls&gt;&lt;/urls&gt;&lt;/record&gt;&lt;/Cite&gt;&lt;/EndNote&gt;</w:instrTex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0"/>
          <w:lang w:eastAsia="zh-CN"/>
        </w:rPr>
        <w:t>[3]</w:t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fldChar w:fldCharType="end"/>
      </w: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. </w:t>
      </w:r>
    </w:p>
    <w:p w:rsidR="00E10994" w:rsidRPr="00076D4D" w:rsidRDefault="00E10994" w:rsidP="00E10994">
      <w:pPr>
        <w:spacing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We also conducted several sensitivity analyses to test the robustness of our model estimates. First, we narrowed down the study periods to influenza peak seasons only. The influenza season </w:t>
      </w:r>
      <w:proofErr w:type="gramStart"/>
      <w:r w:rsidRPr="00076D4D">
        <w:rPr>
          <w:rFonts w:ascii="Times New Roman" w:hAnsi="Times New Roman" w:cs="Times New Roman"/>
          <w:sz w:val="24"/>
          <w:szCs w:val="20"/>
          <w:lang w:eastAsia="zh-CN"/>
        </w:rPr>
        <w:lastRenderedPageBreak/>
        <w:t>was defined</w:t>
      </w:r>
      <w:proofErr w:type="gramEnd"/>
      <w:r w:rsidRPr="00076D4D">
        <w:rPr>
          <w:rFonts w:ascii="Times New Roman" w:hAnsi="Times New Roman" w:cs="Times New Roman"/>
          <w:sz w:val="24"/>
          <w:szCs w:val="20"/>
          <w:lang w:eastAsia="zh-CN"/>
        </w:rPr>
        <w:t xml:space="preserve"> as being from January to July in Hong Kong, and from May to November in Brisbane. Second, we conducted a sensitivity analysis by excluding the data for the mismatched years (the years 2003, 2004, and 2008 in this study).</w:t>
      </w:r>
    </w:p>
    <w:p w:rsidR="00E10994" w:rsidRPr="009028DA" w:rsidRDefault="00E10994" w:rsidP="00E10994">
      <w:pPr>
        <w:spacing w:line="480" w:lineRule="auto"/>
        <w:rPr>
          <w:rFonts w:ascii="Times New Roman" w:hAnsi="Times New Roman" w:cs="Times New Roman"/>
          <w:b/>
          <w:sz w:val="24"/>
          <w:szCs w:val="20"/>
          <w:lang w:eastAsia="zh-CN"/>
        </w:rPr>
      </w:pPr>
      <w:r w:rsidRPr="009028DA">
        <w:rPr>
          <w:rFonts w:ascii="Times New Roman" w:hAnsi="Times New Roman" w:cs="Times New Roman"/>
          <w:b/>
          <w:sz w:val="24"/>
          <w:szCs w:val="20"/>
          <w:lang w:eastAsia="zh-CN"/>
        </w:rPr>
        <w:t>Reference</w:t>
      </w:r>
      <w:r w:rsidRPr="009028DA">
        <w:rPr>
          <w:rFonts w:ascii="Times New Roman" w:hAnsi="Times New Roman" w:cs="Times New Roman" w:hint="eastAsia"/>
          <w:b/>
          <w:sz w:val="24"/>
          <w:szCs w:val="20"/>
          <w:lang w:eastAsia="zh-CN"/>
        </w:rPr>
        <w:t>s</w:t>
      </w:r>
    </w:p>
    <w:p w:rsidR="00E10994" w:rsidRPr="007B16A3" w:rsidRDefault="00E10994" w:rsidP="00E10994">
      <w:pPr>
        <w:pStyle w:val="EndNoteBibliography"/>
        <w:spacing w:after="0"/>
        <w:ind w:left="720" w:hanging="720"/>
      </w:pPr>
      <w:r w:rsidRPr="00F45E2F">
        <w:rPr>
          <w:rFonts w:ascii="Times New Roman" w:hAnsi="Times New Roman" w:cs="Times New Roman"/>
          <w:noProof w:val="0"/>
          <w:sz w:val="24"/>
          <w:szCs w:val="24"/>
          <w:lang w:eastAsia="zh-CN"/>
        </w:rPr>
        <w:fldChar w:fldCharType="begin"/>
      </w:r>
      <w:r w:rsidRPr="00F45E2F">
        <w:rPr>
          <w:rFonts w:ascii="Times New Roman" w:hAnsi="Times New Roman" w:cs="Times New Roman"/>
          <w:noProof w:val="0"/>
          <w:sz w:val="24"/>
          <w:szCs w:val="24"/>
          <w:lang w:eastAsia="zh-CN"/>
        </w:rPr>
        <w:instrText xml:space="preserve"> ADDIN EN.REFLIST </w:instrText>
      </w:r>
      <w:r w:rsidRPr="00F45E2F">
        <w:rPr>
          <w:rFonts w:ascii="Times New Roman" w:hAnsi="Times New Roman" w:cs="Times New Roman"/>
          <w:noProof w:val="0"/>
          <w:sz w:val="24"/>
          <w:szCs w:val="24"/>
          <w:lang w:eastAsia="zh-CN"/>
        </w:rPr>
        <w:fldChar w:fldCharType="separate"/>
      </w:r>
      <w:r w:rsidRPr="007B16A3">
        <w:t>1.</w:t>
      </w:r>
      <w:r w:rsidRPr="007B16A3">
        <w:tab/>
        <w:t xml:space="preserve">Yang L, Wong CM, Chan KP, Chau PY, Ou CQ, Chan KH, Peiris JS: </w:t>
      </w:r>
      <w:r w:rsidRPr="007B16A3">
        <w:rPr>
          <w:b/>
        </w:rPr>
        <w:t>Seasonal effects of influenza on mortality in a subtropical city</w:t>
      </w:r>
      <w:r w:rsidRPr="007B16A3">
        <w:t xml:space="preserve">. </w:t>
      </w:r>
      <w:r w:rsidRPr="007B16A3">
        <w:rPr>
          <w:i/>
        </w:rPr>
        <w:t xml:space="preserve">BMC infectious diseases </w:t>
      </w:r>
      <w:r w:rsidRPr="007B16A3">
        <w:t xml:space="preserve">2009, </w:t>
      </w:r>
      <w:r w:rsidRPr="007B16A3">
        <w:rPr>
          <w:b/>
        </w:rPr>
        <w:t>9</w:t>
      </w:r>
      <w:r w:rsidRPr="007B16A3">
        <w:t>:133.</w:t>
      </w:r>
    </w:p>
    <w:p w:rsidR="00E10994" w:rsidRPr="007B16A3" w:rsidRDefault="00E10994" w:rsidP="00E10994">
      <w:pPr>
        <w:pStyle w:val="EndNoteBibliography"/>
        <w:spacing w:after="0"/>
        <w:ind w:left="720" w:hanging="720"/>
      </w:pPr>
      <w:r w:rsidRPr="007B16A3">
        <w:t>2.</w:t>
      </w:r>
      <w:r w:rsidRPr="007B16A3">
        <w:tab/>
        <w:t xml:space="preserve">Wang XL, Yang L, Chan KP, Chiu SS, Chan KH, Peiris JS, Wong CM: </w:t>
      </w:r>
      <w:r w:rsidRPr="007B16A3">
        <w:rPr>
          <w:b/>
        </w:rPr>
        <w:t>Model selection in time series studies of influenza-associated mortality</w:t>
      </w:r>
      <w:r w:rsidRPr="007B16A3">
        <w:t xml:space="preserve">. </w:t>
      </w:r>
      <w:r w:rsidRPr="007B16A3">
        <w:rPr>
          <w:i/>
        </w:rPr>
        <w:t xml:space="preserve">PloS one </w:t>
      </w:r>
      <w:r w:rsidRPr="007B16A3">
        <w:t xml:space="preserve">2012, </w:t>
      </w:r>
      <w:r w:rsidRPr="007B16A3">
        <w:rPr>
          <w:b/>
        </w:rPr>
        <w:t>7</w:t>
      </w:r>
      <w:r w:rsidRPr="007B16A3">
        <w:t>(6):e39423.</w:t>
      </w:r>
    </w:p>
    <w:p w:rsidR="00E10994" w:rsidRPr="007B16A3" w:rsidRDefault="00E10994" w:rsidP="00E10994">
      <w:pPr>
        <w:pStyle w:val="EndNoteBibliography"/>
        <w:ind w:left="720" w:hanging="720"/>
      </w:pPr>
      <w:r w:rsidRPr="007B16A3">
        <w:t>3.</w:t>
      </w:r>
      <w:r w:rsidRPr="007B16A3">
        <w:tab/>
        <w:t xml:space="preserve">Rothman KJ, Greenland S: </w:t>
      </w:r>
      <w:r w:rsidRPr="007B16A3">
        <w:rPr>
          <w:b/>
        </w:rPr>
        <w:t>Modern Epidemiology</w:t>
      </w:r>
      <w:r w:rsidRPr="007B16A3">
        <w:t>: Lippincott-Raven 1998.</w:t>
      </w:r>
    </w:p>
    <w:p w:rsidR="00E10994" w:rsidRDefault="00E10994" w:rsidP="00E10994">
      <w:pPr>
        <w:spacing w:line="480" w:lineRule="auto"/>
      </w:pPr>
      <w:r w:rsidRPr="00F45E2F">
        <w:rPr>
          <w:rFonts w:ascii="Times New Roman" w:hAnsi="Times New Roman" w:cs="Times New Roman"/>
          <w:sz w:val="24"/>
          <w:szCs w:val="24"/>
          <w:lang w:eastAsia="zh-CN"/>
        </w:rPr>
        <w:fldChar w:fldCharType="end"/>
      </w:r>
    </w:p>
    <w:p w:rsidR="00E10994" w:rsidRDefault="00E109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1728" w:rsidRPr="00E10994" w:rsidRDefault="007D1728" w:rsidP="001E40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09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E10994">
        <w:rPr>
          <w:rFonts w:ascii="Times New Roman" w:hAnsi="Times New Roman" w:cs="Times New Roman"/>
          <w:b/>
          <w:sz w:val="24"/>
          <w:szCs w:val="24"/>
        </w:rPr>
        <w:t>2</w:t>
      </w:r>
      <w:r w:rsidRPr="00E10994">
        <w:rPr>
          <w:rFonts w:ascii="Times New Roman" w:hAnsi="Times New Roman" w:cs="Times New Roman"/>
          <w:b/>
          <w:sz w:val="24"/>
          <w:szCs w:val="24"/>
        </w:rPr>
        <w:t>. Study periods defined for Hong Kong and Brisbane.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701"/>
        <w:gridCol w:w="1748"/>
        <w:gridCol w:w="1873"/>
        <w:gridCol w:w="1623"/>
      </w:tblGrid>
      <w:tr w:rsidR="007D1728" w:rsidRPr="003E564C" w:rsidTr="001E403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No of weeks</w:t>
            </w:r>
          </w:p>
        </w:tc>
      </w:tr>
      <w:tr w:rsidR="007D1728" w:rsidRPr="003E564C" w:rsidTr="001E4037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Pre-SARS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31/12/2000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29/12/2002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7D1728" w:rsidRPr="003E564C" w:rsidTr="001E4037">
        <w:tc>
          <w:tcPr>
            <w:tcW w:w="1418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SARS</w:t>
            </w:r>
          </w:p>
        </w:tc>
        <w:tc>
          <w:tcPr>
            <w:tcW w:w="1748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30/12/2002</w:t>
            </w:r>
          </w:p>
        </w:tc>
        <w:tc>
          <w:tcPr>
            <w:tcW w:w="1873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02/08/2003</w:t>
            </w:r>
          </w:p>
        </w:tc>
        <w:tc>
          <w:tcPr>
            <w:tcW w:w="1623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7D1728" w:rsidRPr="003E564C" w:rsidTr="001E4037">
        <w:tc>
          <w:tcPr>
            <w:tcW w:w="1418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Post-SARS</w:t>
            </w:r>
          </w:p>
        </w:tc>
        <w:tc>
          <w:tcPr>
            <w:tcW w:w="1748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03/08/2003</w:t>
            </w:r>
          </w:p>
        </w:tc>
        <w:tc>
          <w:tcPr>
            <w:tcW w:w="1873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25/04/2009</w:t>
            </w:r>
          </w:p>
        </w:tc>
        <w:tc>
          <w:tcPr>
            <w:tcW w:w="1623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7D1728" w:rsidRPr="003E564C" w:rsidTr="001E4037">
        <w:tc>
          <w:tcPr>
            <w:tcW w:w="1418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Pandemic</w:t>
            </w:r>
          </w:p>
        </w:tc>
        <w:tc>
          <w:tcPr>
            <w:tcW w:w="1748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26/04/2009</w:t>
            </w:r>
          </w:p>
        </w:tc>
        <w:tc>
          <w:tcPr>
            <w:tcW w:w="1873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31/07/2010</w:t>
            </w:r>
          </w:p>
        </w:tc>
        <w:tc>
          <w:tcPr>
            <w:tcW w:w="1623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7D1728" w:rsidRPr="003E564C" w:rsidTr="001E4037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1728" w:rsidRPr="003E564C" w:rsidRDefault="007D1728" w:rsidP="001E4037">
            <w:pPr>
              <w:spacing w:after="120" w:line="240" w:lineRule="auto"/>
              <w:ind w:left="8" w:hanging="8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Post-pandemic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01/08/2010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29/12/2012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7D1728" w:rsidRPr="003E564C" w:rsidTr="001E4037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Pre-SARS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30/04/2001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29/12/2002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7D1728" w:rsidRPr="003E564C" w:rsidTr="001E4037">
        <w:tc>
          <w:tcPr>
            <w:tcW w:w="1418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SARS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30/12/2002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03/08/2003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7D1728" w:rsidRPr="003E564C" w:rsidTr="001E4037">
        <w:tc>
          <w:tcPr>
            <w:tcW w:w="1418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Post-SARS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04/08/2003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26/04/2009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7D1728" w:rsidRPr="003E564C" w:rsidTr="001E4037">
        <w:tc>
          <w:tcPr>
            <w:tcW w:w="1418" w:type="dxa"/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Pandemic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27/04/2009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01/08/2010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7D1728" w:rsidRPr="003E564C" w:rsidTr="001E4037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Post-pandemic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02/08/2010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16/12/2012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728" w:rsidRPr="003E564C" w:rsidRDefault="007D1728" w:rsidP="001E403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64C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</w:tbl>
    <w:p w:rsidR="007D1728" w:rsidRDefault="007D1728" w:rsidP="007D1728">
      <w:p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7D1728" w:rsidRDefault="007D1728" w:rsidP="007D172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7D1728" w:rsidRPr="00E10994" w:rsidRDefault="007D1728" w:rsidP="007D1728">
      <w:pPr>
        <w:tabs>
          <w:tab w:val="righ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Appendix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r w:rsidR="00E10994">
        <w:rPr>
          <w:rFonts w:ascii="Times New Roman" w:hAnsi="Times New Roman" w:cs="Times New Roman"/>
          <w:b/>
          <w:sz w:val="24"/>
          <w:szCs w:val="24"/>
          <w:lang w:eastAsia="zh-CN"/>
        </w:rPr>
        <w:t>3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10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Time series plots 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of 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>weekly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numbers of cause-specific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mortality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data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of Hong Kong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(black line) and Brisbane (gray line)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7D1728" w:rsidRDefault="007D1728" w:rsidP="007D1728">
      <w:pPr>
        <w:tabs>
          <w:tab w:val="right" w:pos="540"/>
          <w:tab w:val="left" w:pos="72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992E66"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 wp14:anchorId="3B5444C0" wp14:editId="2ADE3BEA">
            <wp:extent cx="5943600" cy="4636770"/>
            <wp:effectExtent l="0" t="0" r="0" b="0"/>
            <wp:docPr id="23" name="Picture 4" descr="mort_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_ra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728" w:rsidRDefault="007D1728" w:rsidP="007D172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7D1728" w:rsidRPr="00E10994" w:rsidRDefault="007D1728" w:rsidP="007D1728">
      <w:pPr>
        <w:tabs>
          <w:tab w:val="righ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Appendix </w:t>
      </w:r>
      <w:r w:rsidR="00E10994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>. Time series plots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of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weekly 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numbers of 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>hospital admission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of Hong Kong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(black line) and Brisbane (gray line)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>. Hospitalization data of Brisbane are not available in the post-pandemic period.</w:t>
      </w:r>
    </w:p>
    <w:p w:rsidR="007D1728" w:rsidRDefault="007D1728" w:rsidP="007D1728">
      <w:pPr>
        <w:tabs>
          <w:tab w:val="right" w:pos="540"/>
          <w:tab w:val="left" w:pos="72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992E66"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 wp14:anchorId="2AAD4265" wp14:editId="53D8F3FB">
            <wp:extent cx="5938520" cy="4633595"/>
            <wp:effectExtent l="0" t="0" r="0" b="0"/>
            <wp:docPr id="24" name="Picture 24" descr="Macintosh HD:Users:linyang:Dropbox:ongoing projects:brisbane study:analysis:graph:morb_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nyang:Dropbox:ongoing projects:brisbane study:analysis:graph:morb_r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28" w:rsidRDefault="007D1728" w:rsidP="007D1728">
      <w:pPr>
        <w:tabs>
          <w:tab w:val="right" w:pos="540"/>
          <w:tab w:val="left" w:pos="720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7D1728" w:rsidRDefault="007D1728" w:rsidP="007D172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7D1728" w:rsidRPr="00E10994" w:rsidRDefault="007D1728" w:rsidP="007D1728">
      <w:pPr>
        <w:tabs>
          <w:tab w:val="righ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Appendix </w:t>
      </w:r>
      <w:r w:rsidR="00E10994"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Time series plots 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of 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>weekly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mean temperature and relative humidity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Hong Kong</w:t>
      </w:r>
      <w:r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(black line) and Brisbane (gray line)</w:t>
      </w:r>
      <w:r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7D1728" w:rsidRPr="00EE3105" w:rsidRDefault="007D1728" w:rsidP="007D1728">
      <w:pPr>
        <w:tabs>
          <w:tab w:val="right" w:pos="540"/>
          <w:tab w:val="left" w:pos="720"/>
        </w:tabs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 wp14:anchorId="4514D57A" wp14:editId="4B4E755F">
            <wp:extent cx="5943600" cy="4636135"/>
            <wp:effectExtent l="0" t="0" r="0" b="0"/>
            <wp:docPr id="6" name="Picture 5" descr="temp_hu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_hum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728" w:rsidRDefault="007D1728" w:rsidP="007D172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7D1728" w:rsidRPr="00E10994" w:rsidRDefault="00E10994" w:rsidP="007D172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Appendix 6</w:t>
      </w:r>
      <w:r w:rsidR="007D1728"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7D1728" w:rsidRPr="00E1099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Annual </w:t>
      </w:r>
      <w:r w:rsidR="007D1728" w:rsidRPr="00E10994">
        <w:rPr>
          <w:rFonts w:ascii="Times New Roman" w:hAnsi="Times New Roman" w:cs="Times New Roman"/>
          <w:b/>
          <w:sz w:val="24"/>
          <w:szCs w:val="24"/>
          <w:lang w:eastAsia="zh-CN"/>
        </w:rPr>
        <w:t>excess rates of mortality and hospitalizations associated with influenza per 1,000,000 population in Hong Kong and Brisbane, 2001-2012.</w:t>
      </w:r>
    </w:p>
    <w:tbl>
      <w:tblPr>
        <w:tblStyle w:val="TableGrid"/>
        <w:tblpPr w:leftFromText="180" w:rightFromText="180" w:vertAnchor="text" w:horzAnchor="margin" w:tblpXSpec="center" w:tblpY="76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29"/>
        <w:gridCol w:w="1441"/>
        <w:gridCol w:w="861"/>
        <w:gridCol w:w="703"/>
        <w:gridCol w:w="1496"/>
        <w:gridCol w:w="810"/>
        <w:gridCol w:w="713"/>
        <w:gridCol w:w="1427"/>
        <w:gridCol w:w="1139"/>
        <w:gridCol w:w="7"/>
      </w:tblGrid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Mortality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</w:rPr>
              <w:t>Pre-SARS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D1728" w:rsidRPr="00103485" w:rsidRDefault="007D1728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</w:rPr>
              <w:t>Post-SARS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D1728" w:rsidRPr="00103485" w:rsidRDefault="007D1728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</w:rPr>
              <w:t>Post-pandemic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7D1728" w:rsidRPr="00103485" w:rsidRDefault="007D1728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D1728" w:rsidRPr="00103485" w:rsidRDefault="007D1728" w:rsidP="001E40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3485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D1728" w:rsidRPr="00103485" w:rsidRDefault="007D1728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7D1728" w:rsidRPr="00103485" w:rsidRDefault="007D1728" w:rsidP="001E4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28" w:rsidRPr="00103485" w:rsidTr="00D63305">
        <w:trPr>
          <w:trHeight w:hRule="exact" w:val="288"/>
        </w:trPr>
        <w:tc>
          <w:tcPr>
            <w:tcW w:w="10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7D1728" w:rsidRPr="00103485" w:rsidRDefault="007D1728" w:rsidP="001E4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Hong Kong mortality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All-causes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(282, 1,411)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988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(756, 1,210)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1147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(851, 1,444)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CRD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(356, 1,131)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(485, 806)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(632, 1,061)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P&amp;I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(-24, 290)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(269, 402)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(225, 436)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COPD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(-2, 237)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(72, 157)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(70, 166)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Stroke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(-51, 205)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(1, 102)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(28, 145)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IHD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(67, 356)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(26, 155)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(80, 228)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Injuries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(-31, 90)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(-40, 124)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(-55, 119)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</w:tr>
      <w:tr w:rsidR="007D1728" w:rsidRPr="00103485" w:rsidTr="00D63305">
        <w:trPr>
          <w:trHeight w:hRule="exact" w:val="288"/>
        </w:trPr>
        <w:tc>
          <w:tcPr>
            <w:tcW w:w="10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Brisbane mortality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All-cause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(107, 1,283)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(271, 894)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1621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(941, 2,354)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CRD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(114, 1,015)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(198, 655)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(80, 1,039)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P&amp;I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(-140, 73)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(-42, 72)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(-4, 197)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COPD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(-21, 220)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(42, 157)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(29, 306)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Stroke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(-30, 366)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(-45, 147)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(-161, 245)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IHD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(-48, 481)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(92, 357)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-71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(-353, 214)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</w:tr>
      <w:tr w:rsidR="007D1728" w:rsidRPr="00103485" w:rsidTr="00D63305">
        <w:trPr>
          <w:trHeight w:hRule="exact" w:val="288"/>
        </w:trPr>
        <w:tc>
          <w:tcPr>
            <w:tcW w:w="10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20"/>
                <w:szCs w:val="20"/>
                <w:lang w:eastAsia="zh-CN"/>
              </w:rPr>
              <w:t>Hong Kong hospitalizations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CRD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4002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(2,096, 6,138)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3450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(2,761, 4,145)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3075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(1,894, 4,341)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P&amp;I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955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(425, 1,511)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2668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(2,301, 3,046)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3782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(3,202, 4,411)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COPD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1299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(424, 2,220)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1356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(1,052, 1,653)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1446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(995, 1,962)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Stroke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(229, 1,326)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(-53, 289)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-131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(-437, 202)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IHD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(-320, 833)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-36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(-212, 177)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-72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(-417, 247)</w:t>
            </w:r>
          </w:p>
        </w:tc>
        <w:tc>
          <w:tcPr>
            <w:tcW w:w="1139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Injuries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-429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(-912, 69)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-233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(-813, 378)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-119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(-1082, 917)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</w:tr>
      <w:tr w:rsidR="007D1728" w:rsidRPr="00103485" w:rsidTr="00D63305">
        <w:trPr>
          <w:trHeight w:hRule="exact" w:val="288"/>
        </w:trPr>
        <w:tc>
          <w:tcPr>
            <w:tcW w:w="10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Brisbane hospitalizations</w:t>
            </w: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CRD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(-816, 921)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(486, 1,337)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P&amp;I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(-265, 532)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(281, 660)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COPD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(-96, 894)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(340, 806)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13" w:type="dxa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728" w:rsidRPr="00103485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Stroke</w:t>
            </w:r>
          </w:p>
        </w:tc>
        <w:tc>
          <w:tcPr>
            <w:tcW w:w="629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1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(-243, 263)</w:t>
            </w:r>
          </w:p>
        </w:tc>
        <w:tc>
          <w:tcPr>
            <w:tcW w:w="861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3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496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(-151, 139)</w:t>
            </w:r>
          </w:p>
        </w:tc>
        <w:tc>
          <w:tcPr>
            <w:tcW w:w="810" w:type="dxa"/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713" w:type="dxa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27" w:type="dxa"/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728" w:rsidRPr="008F10B1" w:rsidTr="00D63305">
        <w:trPr>
          <w:gridAfter w:val="1"/>
          <w:wAfter w:w="7" w:type="dxa"/>
          <w:trHeight w:hRule="exact" w:val="288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D1728" w:rsidRPr="00103485" w:rsidRDefault="007D1728" w:rsidP="001E4037">
            <w:pPr>
              <w:tabs>
                <w:tab w:val="right" w:pos="540"/>
                <w:tab w:val="left" w:pos="720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03485">
              <w:rPr>
                <w:rFonts w:ascii="Arial" w:hAnsi="Arial" w:cs="Arial"/>
                <w:sz w:val="18"/>
                <w:szCs w:val="18"/>
                <w:lang w:eastAsia="zh-CN"/>
              </w:rPr>
              <w:t>IHD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-606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(-1,062, -128)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-301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(-562, -57)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1728" w:rsidRPr="00103485" w:rsidRDefault="007D1728" w:rsidP="001E40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48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D1728" w:rsidRPr="00103485" w:rsidRDefault="007D1728" w:rsidP="001E4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1728" w:rsidRPr="00011357" w:rsidRDefault="007D1728" w:rsidP="007D1728">
      <w:pPr>
        <w:spacing w:after="160" w:line="259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011357">
        <w:rPr>
          <w:rFonts w:ascii="Times New Roman" w:hAnsi="Times New Roman" w:cs="Times New Roman"/>
          <w:sz w:val="20"/>
          <w:szCs w:val="20"/>
          <w:lang w:eastAsia="zh-CN"/>
        </w:rPr>
        <w:t>Note.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NA, not available.</w:t>
      </w:r>
      <w:r w:rsidRPr="00011357">
        <w:rPr>
          <w:rFonts w:ascii="Times New Roman" w:hAnsi="Times New Roman" w:cs="Times New Roman"/>
          <w:sz w:val="20"/>
          <w:szCs w:val="20"/>
          <w:lang w:eastAsia="zh-CN"/>
        </w:rPr>
        <w:t xml:space="preserve"> Hospitalization data in Brisbane after 2009 are not available to us.</w:t>
      </w:r>
    </w:p>
    <w:p w:rsidR="007D1728" w:rsidRDefault="007D1728" w:rsidP="007D172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1728" w:rsidRDefault="007D1728" w:rsidP="007D172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</w:p>
    <w:sectPr w:rsidR="007D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91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A319E"/>
    <w:rsid w:val="00143A38"/>
    <w:rsid w:val="001E4037"/>
    <w:rsid w:val="00220B7B"/>
    <w:rsid w:val="003A319E"/>
    <w:rsid w:val="003C52F3"/>
    <w:rsid w:val="004013DE"/>
    <w:rsid w:val="00402FE9"/>
    <w:rsid w:val="006A5A49"/>
    <w:rsid w:val="006E3FEA"/>
    <w:rsid w:val="00700606"/>
    <w:rsid w:val="007615DA"/>
    <w:rsid w:val="007D1728"/>
    <w:rsid w:val="00A820CD"/>
    <w:rsid w:val="00AA6846"/>
    <w:rsid w:val="00AC679B"/>
    <w:rsid w:val="00AE5C0F"/>
    <w:rsid w:val="00D32D4E"/>
    <w:rsid w:val="00D63305"/>
    <w:rsid w:val="00E10994"/>
    <w:rsid w:val="00E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187D"/>
  <w15:chartTrackingRefBased/>
  <w15:docId w15:val="{90656C7C-0895-40EA-9685-1167CE1C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9E"/>
    <w:pPr>
      <w:spacing w:after="200" w:line="276" w:lineRule="auto"/>
    </w:pPr>
    <w:rPr>
      <w:rFonts w:eastAsia="SimSu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03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3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03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03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03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03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03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03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03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0060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0606"/>
    <w:rPr>
      <w:rFonts w:ascii="Calibri" w:eastAsia="SimSun" w:hAnsi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0060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0606"/>
    <w:rPr>
      <w:rFonts w:ascii="Calibri" w:eastAsia="SimSun" w:hAnsi="Calibri"/>
      <w:noProof/>
      <w:lang w:eastAsia="en-US"/>
    </w:rPr>
  </w:style>
  <w:style w:type="table" w:styleId="TableGrid">
    <w:name w:val="Table Grid"/>
    <w:basedOn w:val="TableNormal"/>
    <w:uiPriority w:val="59"/>
    <w:rsid w:val="006A5A49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E40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037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037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037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037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0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0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5591-36A1-49D0-B63E-B2F09D3D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L [SN]</dc:creator>
  <cp:keywords/>
  <dc:description/>
  <cp:lastModifiedBy>YANG, L [SN]</cp:lastModifiedBy>
  <cp:revision>5</cp:revision>
  <dcterms:created xsi:type="dcterms:W3CDTF">2018-06-15T04:34:00Z</dcterms:created>
  <dcterms:modified xsi:type="dcterms:W3CDTF">2019-01-03T03:24:00Z</dcterms:modified>
</cp:coreProperties>
</file>