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30" w:rsidRDefault="009A4230" w:rsidP="009A4230">
      <w:pPr>
        <w:pStyle w:val="Heading"/>
        <w:spacing w:line="480" w:lineRule="auto"/>
      </w:pPr>
      <w:r>
        <w:rPr>
          <w:lang w:val="en-US"/>
        </w:rPr>
        <w:t>Supplementary material</w:t>
      </w:r>
      <w:bookmarkStart w:id="0" w:name="_GoBack"/>
      <w:bookmarkEnd w:id="0"/>
    </w:p>
    <w:p w:rsidR="009A4230" w:rsidRDefault="009A4230" w:rsidP="009A4230">
      <w:pPr>
        <w:pStyle w:val="Body"/>
        <w:spacing w:line="480" w:lineRule="auto"/>
      </w:pPr>
      <w:r>
        <w:t xml:space="preserve">Searches of the academic literature produced 188 unique publications. An initial review found that only 41 of these included relevant data, collected since January 2000. A detailed review of the publications excluded a further 24 publications, as shown in </w:t>
      </w:r>
      <w:hyperlink w:anchor="Ref4487573011" w:history="1">
        <w:r>
          <w:t>Table</w:t>
        </w:r>
      </w:hyperlink>
      <w:r>
        <w:t xml:space="preserve"> S.1. Five reports from state government departments (S1, S2, </w:t>
      </w:r>
      <w:proofErr w:type="gramStart"/>
      <w:r>
        <w:t>S3</w:t>
      </w:r>
      <w:proofErr w:type="gramEnd"/>
      <w:r>
        <w:t xml:space="preserve">) and one thesis chapter (S4) were also found; however, two of the reports were excluded. Properties of the final publications included in the data synthesis are presented in </w:t>
      </w:r>
      <w:hyperlink w:anchor="Ref4484127992" w:history="1">
        <w:r>
          <w:t xml:space="preserve">Table </w:t>
        </w:r>
      </w:hyperlink>
      <w:r>
        <w:t xml:space="preserve">1, </w:t>
      </w:r>
      <w:hyperlink w:anchor="Ref4484139641" w:history="1">
        <w:r>
          <w:t>in</w:t>
        </w:r>
      </w:hyperlink>
      <w:r>
        <w:t xml:space="preserve"> the main text.</w:t>
      </w:r>
    </w:p>
    <w:p w:rsidR="009A4230" w:rsidRDefault="009A4230" w:rsidP="009A4230">
      <w:pPr>
        <w:pStyle w:val="Caption"/>
        <w:spacing w:line="480" w:lineRule="auto"/>
      </w:pPr>
      <w:r>
        <w:t>Table S.1; Number of publications excluded and the reference of each, stratified by reason for exclusion.</w:t>
      </w: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418"/>
      </w:tblGrid>
      <w:tr w:rsidR="009A4230" w:rsidTr="009F53F5">
        <w:trPr>
          <w:trHeight w:val="536"/>
        </w:trPr>
        <w:tc>
          <w:tcPr>
            <w:tcW w:w="19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line="480" w:lineRule="auto"/>
            </w:pPr>
            <w:r>
              <w:rPr>
                <w:rStyle w:val="None"/>
                <w:b/>
                <w:bCs/>
              </w:rPr>
              <w:t>Number excluded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b/>
                <w:bCs/>
              </w:rPr>
              <w:t>Reason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both"/>
            </w:pPr>
            <w:r>
              <w:rPr>
                <w:rStyle w:val="None"/>
                <w:b/>
                <w:bCs/>
              </w:rPr>
              <w:t>References</w:t>
            </w:r>
          </w:p>
        </w:tc>
      </w:tr>
      <w:tr w:rsidR="009A4230" w:rsidTr="009F53F5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Numbers of MRSA and CO-SA, but not CO-MRSA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(S5, S6, S7, S8, S9, S10)</w:t>
            </w:r>
          </w:p>
        </w:tc>
      </w:tr>
      <w:tr w:rsidR="009A4230" w:rsidTr="009F53F5">
        <w:trPr>
          <w:trHeight w:val="4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More recent data were available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(S11, S12, S13, S14, S15, S16)</w:t>
            </w:r>
          </w:p>
        </w:tc>
      </w:tr>
      <w:tr w:rsidR="009A4230" w:rsidTr="009F53F5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Length of the period of data collection was not clear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(S17-S19)</w:t>
            </w:r>
          </w:p>
        </w:tc>
      </w:tr>
      <w:tr w:rsidR="009A4230" w:rsidTr="009F53F5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Pediatric focus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(S20-S22)</w:t>
            </w:r>
          </w:p>
        </w:tc>
      </w:tr>
      <w:tr w:rsidR="009A4230" w:rsidTr="009F53F5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Subpopulation with specific comorbidity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(S23, S24)</w:t>
            </w:r>
          </w:p>
        </w:tc>
      </w:tr>
      <w:tr w:rsidR="009A4230" w:rsidTr="009F53F5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Required consent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(S25)</w:t>
            </w:r>
          </w:p>
        </w:tc>
      </w:tr>
      <w:tr w:rsidR="009A4230" w:rsidTr="009F53F5">
        <w:trPr>
          <w:trHeight w:val="4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Alternative publication with better fitting definitions available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(S26)</w:t>
            </w:r>
          </w:p>
        </w:tc>
      </w:tr>
      <w:tr w:rsidR="009A4230" w:rsidTr="009F53F5">
        <w:trPr>
          <w:trHeight w:val="4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Another publication available with longer data collection period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(S27)</w:t>
            </w:r>
          </w:p>
        </w:tc>
      </w:tr>
      <w:tr w:rsidR="009A4230" w:rsidTr="009F53F5">
        <w:trPr>
          <w:trHeight w:val="245"/>
        </w:trPr>
        <w:tc>
          <w:tcPr>
            <w:tcW w:w="19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  <w:jc w:val="center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Default="009A4230" w:rsidP="009F53F5">
            <w:pPr>
              <w:pStyle w:val="Body"/>
              <w:spacing w:after="0" w:line="480" w:lineRule="auto"/>
            </w:pPr>
            <w:r>
              <w:rPr>
                <w:rStyle w:val="None"/>
                <w:sz w:val="20"/>
                <w:szCs w:val="20"/>
              </w:rPr>
              <w:t>Denominator population not available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30" w:rsidRPr="00752BAC" w:rsidRDefault="009A4230" w:rsidP="009F53F5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752BAC">
              <w:rPr>
                <w:rStyle w:val="None"/>
                <w:sz w:val="20"/>
                <w:szCs w:val="20"/>
              </w:rPr>
              <w:t>(S28)</w:t>
            </w:r>
          </w:p>
        </w:tc>
      </w:tr>
    </w:tbl>
    <w:p w:rsidR="009A4230" w:rsidRDefault="009A4230" w:rsidP="009A4230">
      <w:pPr>
        <w:pStyle w:val="Caption"/>
        <w:widowControl w:val="0"/>
        <w:spacing w:line="480" w:lineRule="auto"/>
      </w:pPr>
    </w:p>
    <w:p w:rsidR="009A4230" w:rsidRDefault="009A4230" w:rsidP="009A4230">
      <w:pPr>
        <w:pStyle w:val="Body"/>
        <w:spacing w:line="480" w:lineRule="auto"/>
      </w:pPr>
    </w:p>
    <w:p w:rsidR="009A4230" w:rsidRDefault="009A4230" w:rsidP="009A4230">
      <w:pPr>
        <w:pStyle w:val="Heading2"/>
        <w:spacing w:line="480" w:lineRule="auto"/>
      </w:pPr>
      <w:r>
        <w:lastRenderedPageBreak/>
        <w:t>References for Supplementary Material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1.</w:t>
      </w:r>
      <w:r>
        <w:tab/>
        <w:t>Mitchell, B., et al., Tasmanian acute public hospitals healthcare associated infection surveillance report. 2009, Department of Health and Human Services: Hobart, Tasmania.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2.</w:t>
      </w:r>
      <w:r>
        <w:tab/>
        <w:t>Strachan, J. and M. Easton, Staphylococcus aureus bloodstream and cerebrospinal fluid infections in Victoria, 2009-2013, in Victorian Infectious Diseases Bulletin. 2014: Melbourne, Vic. p. 68-72.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3.</w:t>
      </w:r>
      <w:r>
        <w:tab/>
        <w:t>Wells, A., et al., Tasmanian acute public hospitals healthcare associated infection surveillance report. 2014, Department of Health and Human Services: Hobart, Tasmania.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4.</w:t>
      </w:r>
      <w:r>
        <w:tab/>
        <w:t xml:space="preserve">Agostino, J., The changing epidemiology of methicillin resistant Staphylococcus aureus infection in north-eastern New South Wales and implications for management. </w:t>
      </w:r>
      <w:proofErr w:type="gramStart"/>
      <w:r>
        <w:t>2016, Hunter New England Health.</w:t>
      </w:r>
      <w:proofErr w:type="gramEnd"/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5.</w:t>
      </w:r>
      <w:r>
        <w:tab/>
      </w:r>
      <w:proofErr w:type="spellStart"/>
      <w:r>
        <w:t>Munckhof</w:t>
      </w:r>
      <w:proofErr w:type="spellEnd"/>
      <w:r>
        <w:t>, W.J., et al., Methicillin-susceptible, non-</w:t>
      </w:r>
      <w:proofErr w:type="spellStart"/>
      <w:r>
        <w:t>multiresistant</w:t>
      </w:r>
      <w:proofErr w:type="spellEnd"/>
      <w:r>
        <w:t xml:space="preserve"> methicillin-resistant and </w:t>
      </w:r>
      <w:proofErr w:type="spellStart"/>
      <w:r>
        <w:t>multiresistant</w:t>
      </w:r>
      <w:proofErr w:type="spellEnd"/>
      <w:r>
        <w:t xml:space="preserve"> methicillin-resistant Staphylococcus aureus infections: a clinical, epidemiological and microbiological comparative study.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Infect Dis, 2008. 27(5): p. 355-64.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6.</w:t>
      </w:r>
      <w:r>
        <w:tab/>
      </w:r>
      <w:proofErr w:type="spellStart"/>
      <w:r>
        <w:t>Nimmo</w:t>
      </w:r>
      <w:proofErr w:type="spellEnd"/>
      <w:r>
        <w:t xml:space="preserve">, G.R. and G.W. Coombs, Community-associated methicillin-resistant Staphylococcus aureus (MRSA) in Australia. </w:t>
      </w:r>
      <w:proofErr w:type="spellStart"/>
      <w:proofErr w:type="gramStart"/>
      <w:r>
        <w:t>Int</w:t>
      </w:r>
      <w:proofErr w:type="spellEnd"/>
      <w:r>
        <w:t xml:space="preserve"> J </w:t>
      </w:r>
      <w:proofErr w:type="spellStart"/>
      <w:r>
        <w:t>Antimicrob</w:t>
      </w:r>
      <w:proofErr w:type="spellEnd"/>
      <w:r>
        <w:t xml:space="preserve"> Agents, 2008.</w:t>
      </w:r>
      <w:proofErr w:type="gramEnd"/>
      <w:r>
        <w:t xml:space="preserve"> 31(5): p. 401-10.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7.</w:t>
      </w:r>
      <w:r>
        <w:tab/>
        <w:t xml:space="preserve">Tong, S.Y., et al., Impact of ethnicity and socio-economic status on Staphylococcus aureus </w:t>
      </w:r>
      <w:proofErr w:type="spellStart"/>
      <w:r>
        <w:t>bacteremia</w:t>
      </w:r>
      <w:proofErr w:type="spellEnd"/>
      <w:r>
        <w:t xml:space="preserve"> incidence and mortality: a heavy burden in Indigenous Australians. BMC Infect Dis, 2012. 12: p. 249.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8.</w:t>
      </w:r>
      <w:r>
        <w:tab/>
      </w:r>
      <w:proofErr w:type="spellStart"/>
      <w:r>
        <w:t>Turnidge</w:t>
      </w:r>
      <w:proofErr w:type="spellEnd"/>
      <w:r>
        <w:t xml:space="preserve">, J.D., et al., Staphylococcus aureus bacteraemia: a major cause of mortality in </w:t>
      </w:r>
      <w:proofErr w:type="gramStart"/>
      <w:r>
        <w:t>Australia and New Zealand.</w:t>
      </w:r>
      <w:proofErr w:type="gramEnd"/>
      <w:r>
        <w:t xml:space="preserve"> </w:t>
      </w:r>
      <w:proofErr w:type="gramStart"/>
      <w:r>
        <w:t xml:space="preserve">Med J </w:t>
      </w:r>
      <w:proofErr w:type="spellStart"/>
      <w:r>
        <w:t>Aust</w:t>
      </w:r>
      <w:proofErr w:type="spellEnd"/>
      <w:r>
        <w:t>, 2009.</w:t>
      </w:r>
      <w:proofErr w:type="gramEnd"/>
      <w:r>
        <w:t xml:space="preserve"> 191(7): p. 368-73.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lastRenderedPageBreak/>
        <w:t>9.</w:t>
      </w:r>
      <w:r>
        <w:tab/>
      </w:r>
      <w:proofErr w:type="spellStart"/>
      <w:r>
        <w:t>Turnidge</w:t>
      </w:r>
      <w:proofErr w:type="spellEnd"/>
      <w:r>
        <w:t xml:space="preserve">, J.D., et al., Epidemiology and outcomes for Staphylococcus aureus bacteraemia in Australian hospitals, 2005-06: report from the Australian Group on Antimicrobial Resistance. </w:t>
      </w:r>
      <w:proofErr w:type="spellStart"/>
      <w:r>
        <w:t>Commun</w:t>
      </w:r>
      <w:proofErr w:type="spellEnd"/>
      <w:r>
        <w:t xml:space="preserve"> Dis </w:t>
      </w:r>
      <w:proofErr w:type="spellStart"/>
      <w:r>
        <w:t>Intell</w:t>
      </w:r>
      <w:proofErr w:type="spellEnd"/>
      <w:r>
        <w:t xml:space="preserve"> Q Rep, 2007. 31(4): p. 398-403.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10.</w:t>
      </w:r>
      <w:r>
        <w:tab/>
      </w:r>
      <w:proofErr w:type="spellStart"/>
      <w:r>
        <w:t>Boan</w:t>
      </w:r>
      <w:proofErr w:type="spellEnd"/>
      <w:r>
        <w:t>, P., et al., Epidemiological, clinical, outcome and antibiotic susceptibility differences between PVL positive and PVL negative Staphylococcus aureus infections in Western Australia: a case control study. BMC Infect Dis, 2015. 15(1): p. 10.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11.</w:t>
      </w:r>
      <w:r>
        <w:tab/>
      </w:r>
      <w:proofErr w:type="spellStart"/>
      <w:r>
        <w:t>Nimmo</w:t>
      </w:r>
      <w:proofErr w:type="spellEnd"/>
      <w:r>
        <w:t xml:space="preserve">, G.R., et al., Changing epidemiology of </w:t>
      </w:r>
      <w:proofErr w:type="spellStart"/>
      <w:r>
        <w:t>meticillin</w:t>
      </w:r>
      <w:proofErr w:type="spellEnd"/>
      <w:r>
        <w:t xml:space="preserve">-resistant S. aureus in Queensland, Australia, 2000-2006: use of passive surveillance of susceptibility phenotypes. J </w:t>
      </w:r>
      <w:proofErr w:type="spellStart"/>
      <w:r>
        <w:t>Hosp</w:t>
      </w:r>
      <w:proofErr w:type="spellEnd"/>
      <w:r>
        <w:t xml:space="preserve"> </w:t>
      </w:r>
      <w:proofErr w:type="gramStart"/>
      <w:r>
        <w:t>Infect,</w:t>
      </w:r>
      <w:proofErr w:type="gramEnd"/>
      <w:r>
        <w:t xml:space="preserve"> 2008. 70(4): p. 305-13.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12.</w:t>
      </w:r>
      <w:r>
        <w:tab/>
        <w:t xml:space="preserve">Aung, A.K., et al., Changing epidemiology of bloodstream infection pathogens over time in adult non-specialty patients at an Australian tertiary hospital. </w:t>
      </w:r>
      <w:proofErr w:type="spellStart"/>
      <w:r>
        <w:t>Commun</w:t>
      </w:r>
      <w:proofErr w:type="spellEnd"/>
      <w:r>
        <w:t xml:space="preserve"> Dis </w:t>
      </w:r>
      <w:proofErr w:type="spellStart"/>
      <w:r>
        <w:t>Intell</w:t>
      </w:r>
      <w:proofErr w:type="spellEnd"/>
      <w:r>
        <w:t xml:space="preserve"> Q Rep, 2012. 36(4): p. E333-41.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13.</w:t>
      </w:r>
      <w:r>
        <w:tab/>
        <w:t xml:space="preserve">Peleg, A.Y., et al., Life-threatening community-acquired methicillin-resistant Staphylococcus aureus infection in Australia.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Infect Dis, 2005. 24(6): p. 384-7.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14.</w:t>
      </w:r>
      <w:r>
        <w:tab/>
        <w:t xml:space="preserve">Thomas, R., et al., Community-acquired methicillin-resistant Staphylococcus aureus pneumonia: a clinical audit. </w:t>
      </w:r>
      <w:proofErr w:type="spellStart"/>
      <w:proofErr w:type="gramStart"/>
      <w:r>
        <w:t>Respirology</w:t>
      </w:r>
      <w:proofErr w:type="spellEnd"/>
      <w:r>
        <w:t>, 2011.</w:t>
      </w:r>
      <w:proofErr w:type="gramEnd"/>
      <w:r>
        <w:t xml:space="preserve"> 16(6): p. 926-31.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15.</w:t>
      </w:r>
      <w:r>
        <w:tab/>
        <w:t xml:space="preserve">Douglas, M.W., et al., Epidemiology of community-acquired and nosocomial bloodstream infections in tropical Australia: a 12-month prospective study. </w:t>
      </w:r>
      <w:proofErr w:type="gramStart"/>
      <w:r>
        <w:t xml:space="preserve">Trop Med </w:t>
      </w:r>
      <w:proofErr w:type="spellStart"/>
      <w:r>
        <w:t>Int</w:t>
      </w:r>
      <w:proofErr w:type="spellEnd"/>
      <w:r>
        <w:t xml:space="preserve"> Health, 2004.</w:t>
      </w:r>
      <w:proofErr w:type="gramEnd"/>
      <w:r>
        <w:t xml:space="preserve"> 9(7): p. 795-804.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16.</w:t>
      </w:r>
      <w:r>
        <w:tab/>
      </w:r>
      <w:proofErr w:type="spellStart"/>
      <w:r>
        <w:t>Gosbell</w:t>
      </w:r>
      <w:proofErr w:type="spellEnd"/>
      <w:r>
        <w:t>, I.B., et al., Non-</w:t>
      </w:r>
      <w:proofErr w:type="spellStart"/>
      <w:r>
        <w:t>multiresistant</w:t>
      </w:r>
      <w:proofErr w:type="spellEnd"/>
      <w:r>
        <w:t xml:space="preserve"> and </w:t>
      </w:r>
      <w:proofErr w:type="spellStart"/>
      <w:r>
        <w:t>multiresistant</w:t>
      </w:r>
      <w:proofErr w:type="spellEnd"/>
      <w:r>
        <w:t xml:space="preserve"> methicillin-resistant Staphylococcus aureus in community-acquired infections. </w:t>
      </w:r>
      <w:proofErr w:type="gramStart"/>
      <w:r>
        <w:t xml:space="preserve">Med J </w:t>
      </w:r>
      <w:proofErr w:type="spellStart"/>
      <w:r>
        <w:t>Aust</w:t>
      </w:r>
      <w:proofErr w:type="spellEnd"/>
      <w:r>
        <w:t>, 2001.</w:t>
      </w:r>
      <w:proofErr w:type="gramEnd"/>
      <w:r>
        <w:t xml:space="preserve"> 174(12): p. 627-30.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lastRenderedPageBreak/>
        <w:t>17.</w:t>
      </w:r>
      <w:r>
        <w:tab/>
        <w:t xml:space="preserve">Coombs, G.W., et al., Community-onset Staphylococcus aureus Surveillance Programme annual report, 2012. </w:t>
      </w:r>
      <w:proofErr w:type="spellStart"/>
      <w:r>
        <w:t>Commun</w:t>
      </w:r>
      <w:proofErr w:type="spellEnd"/>
      <w:r>
        <w:t xml:space="preserve"> Dis </w:t>
      </w:r>
      <w:proofErr w:type="spellStart"/>
      <w:r>
        <w:t>Intell</w:t>
      </w:r>
      <w:proofErr w:type="spellEnd"/>
      <w:r>
        <w:t xml:space="preserve"> Q Rep, 2014. 38(1): p. E59-69.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18.</w:t>
      </w:r>
      <w:r>
        <w:tab/>
        <w:t xml:space="preserve">Coombs, G.W., et al., Prevalence of MRSA strains among Staphylococcus aureus isolated from outpatients, 2006. </w:t>
      </w:r>
      <w:proofErr w:type="spellStart"/>
      <w:r>
        <w:t>Commun</w:t>
      </w:r>
      <w:proofErr w:type="spellEnd"/>
      <w:r>
        <w:t xml:space="preserve"> Dis </w:t>
      </w:r>
      <w:proofErr w:type="spellStart"/>
      <w:r>
        <w:t>Intell</w:t>
      </w:r>
      <w:proofErr w:type="spellEnd"/>
      <w:r>
        <w:t xml:space="preserve"> Q Rep, 2009. 33(1): p. 10-20.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19.</w:t>
      </w:r>
      <w:r>
        <w:tab/>
        <w:t>Howden, B.P., et al., Community and health-care associated non-</w:t>
      </w:r>
      <w:proofErr w:type="spellStart"/>
      <w:r>
        <w:t>multiresistant</w:t>
      </w:r>
      <w:proofErr w:type="spellEnd"/>
      <w:r>
        <w:t xml:space="preserve"> methicillin-resistant Staphylococcus aureus in Victoria. </w:t>
      </w:r>
      <w:proofErr w:type="gramStart"/>
      <w:r>
        <w:t xml:space="preserve">Med J </w:t>
      </w:r>
      <w:proofErr w:type="spellStart"/>
      <w:r>
        <w:t>Aust</w:t>
      </w:r>
      <w:proofErr w:type="spellEnd"/>
      <w:r>
        <w:t>, 2005.</w:t>
      </w:r>
      <w:proofErr w:type="gramEnd"/>
      <w:r>
        <w:t xml:space="preserve"> 183(10): p. 548.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20.</w:t>
      </w:r>
      <w:r>
        <w:tab/>
        <w:t xml:space="preserve">Britton, P.N. and D.N. Andresen, Paediatric community-associated Staphylococcus aureus: a retrospective cohort study. </w:t>
      </w:r>
      <w:proofErr w:type="gramStart"/>
      <w:r>
        <w:t xml:space="preserve">J </w:t>
      </w:r>
      <w:proofErr w:type="spellStart"/>
      <w:r>
        <w:t>Paediatr</w:t>
      </w:r>
      <w:proofErr w:type="spellEnd"/>
      <w:r>
        <w:t xml:space="preserve"> Child Health, 2013.</w:t>
      </w:r>
      <w:proofErr w:type="gramEnd"/>
      <w:r>
        <w:t xml:space="preserve"> 49(9): p. 754-9.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21.</w:t>
      </w:r>
      <w:r>
        <w:tab/>
      </w:r>
      <w:proofErr w:type="spellStart"/>
      <w:r>
        <w:t>Engelman</w:t>
      </w:r>
      <w:proofErr w:type="spellEnd"/>
      <w:r>
        <w:t xml:space="preserve">, D., et al., Invasive Staphylococcus aureus Infections in Children in Tropical Northern Australia. </w:t>
      </w:r>
      <w:proofErr w:type="gramStart"/>
      <w:r>
        <w:t xml:space="preserve">Journal of the </w:t>
      </w:r>
      <w:proofErr w:type="spellStart"/>
      <w:r>
        <w:t>Pediatric</w:t>
      </w:r>
      <w:proofErr w:type="spellEnd"/>
      <w:r>
        <w:t xml:space="preserve"> Infectious Diseases Society, 2014.</w:t>
      </w:r>
      <w:proofErr w:type="gramEnd"/>
      <w:r>
        <w:t xml:space="preserve"> 3(4): p. 304-311.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22.</w:t>
      </w:r>
      <w:r>
        <w:tab/>
      </w:r>
      <w:proofErr w:type="spellStart"/>
      <w:r>
        <w:t>Roediger</w:t>
      </w:r>
      <w:proofErr w:type="spellEnd"/>
      <w:r>
        <w:t xml:space="preserve">, J.C., et al., Paediatric Staphylococcus aureus bacteraemia: A single-centre retrospective cohort. </w:t>
      </w:r>
      <w:proofErr w:type="gramStart"/>
      <w:r>
        <w:t>Journal of Paediatrics and Child Health, 2016.</w:t>
      </w:r>
      <w:proofErr w:type="gramEnd"/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23.</w:t>
      </w:r>
      <w:r>
        <w:tab/>
        <w:t>Hayashi, Y., et al., Influenza-associated bacterial pathogens in patients with 2009 influenza A (H1N1) infection: impact of community-associated methicillin-resistant Staphylococcus aureus in Queensland, Australia. Intern Med J, 2012. 42(7): p. 755-60.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24.</w:t>
      </w:r>
      <w:r>
        <w:tab/>
      </w:r>
      <w:proofErr w:type="spellStart"/>
      <w:r>
        <w:t>Sy</w:t>
      </w:r>
      <w:proofErr w:type="spellEnd"/>
      <w:r>
        <w:t xml:space="preserve">, R.W. and L. </w:t>
      </w:r>
      <w:proofErr w:type="spellStart"/>
      <w:r>
        <w:t>Kritharides</w:t>
      </w:r>
      <w:proofErr w:type="spellEnd"/>
      <w:r>
        <w:t xml:space="preserve">, Health care exposure and age in infective endocarditis: results of a contemporary population-based profile of 1536 patients in Australia. </w:t>
      </w:r>
      <w:proofErr w:type="spellStart"/>
      <w:r>
        <w:t>Eur</w:t>
      </w:r>
      <w:proofErr w:type="spellEnd"/>
      <w:r>
        <w:t xml:space="preserve"> Heart J, 2010. 31(15): p. 1890-7.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t>25.</w:t>
      </w:r>
      <w:r>
        <w:tab/>
      </w:r>
      <w:proofErr w:type="spellStart"/>
      <w:r>
        <w:t>Rémond</w:t>
      </w:r>
      <w:proofErr w:type="spellEnd"/>
      <w:r>
        <w:t xml:space="preserve">, M.G.W., et al., Community-acquired pneumonia in the central desert and north-western tropics of Australia. </w:t>
      </w:r>
      <w:proofErr w:type="gramStart"/>
      <w:r>
        <w:t>Internal Medicine Journal, 2010.</w:t>
      </w:r>
      <w:proofErr w:type="gramEnd"/>
      <w:r>
        <w:t xml:space="preserve"> 40(1): p. 37-44.</w:t>
      </w:r>
    </w:p>
    <w:p w:rsidR="009A4230" w:rsidRDefault="009A4230" w:rsidP="009A4230">
      <w:pPr>
        <w:pStyle w:val="EndNoteBibliography"/>
        <w:spacing w:line="480" w:lineRule="auto"/>
        <w:ind w:left="720" w:hanging="720"/>
      </w:pPr>
      <w:r>
        <w:lastRenderedPageBreak/>
        <w:t>26.</w:t>
      </w:r>
      <w:r>
        <w:tab/>
      </w:r>
      <w:proofErr w:type="spellStart"/>
      <w:r>
        <w:t>Hewagama</w:t>
      </w:r>
      <w:proofErr w:type="spellEnd"/>
      <w:r>
        <w:t xml:space="preserve">, S., T. Spelman, and L.J. </w:t>
      </w:r>
      <w:proofErr w:type="spellStart"/>
      <w:r>
        <w:t>Einsiedel</w:t>
      </w:r>
      <w:proofErr w:type="spellEnd"/>
      <w:r>
        <w:t xml:space="preserve">, Staphylococcus aureus bacteraemia at Alice Springs Hospital, Central Australia, 2003–2006. </w:t>
      </w:r>
      <w:proofErr w:type="gramStart"/>
      <w:r>
        <w:t>Internal Medicine Journal, 2012.</w:t>
      </w:r>
      <w:proofErr w:type="gramEnd"/>
      <w:r>
        <w:t xml:space="preserve"> 42(5): p. 505-512.</w:t>
      </w:r>
    </w:p>
    <w:p w:rsidR="009A4230" w:rsidRDefault="009A4230" w:rsidP="009A4230">
      <w:pPr>
        <w:pStyle w:val="EndNoteBibliography"/>
        <w:spacing w:line="480" w:lineRule="auto"/>
        <w:ind w:left="709" w:hanging="709"/>
      </w:pPr>
      <w:r>
        <w:t>27.</w:t>
      </w:r>
      <w:r>
        <w:tab/>
      </w:r>
      <w:proofErr w:type="spellStart"/>
      <w:r>
        <w:t>Harch</w:t>
      </w:r>
      <w:proofErr w:type="spellEnd"/>
      <w:r>
        <w:t>, S.A.J., et al., High burden of complicated skin and soft tissue infections in the Indigenous population of Central Australia due to dominant Panton Valentine leucocidin clones ST93-MRSA and CC121-MSSA. BMC Infect Dis, 2017. 17(1): p. 405.</w:t>
      </w:r>
    </w:p>
    <w:p w:rsidR="009A4230" w:rsidRDefault="009A4230" w:rsidP="009A4230">
      <w:pPr>
        <w:pStyle w:val="EndNoteBibliography"/>
        <w:spacing w:line="480" w:lineRule="auto"/>
        <w:ind w:left="709" w:hanging="709"/>
        <w:sectPr w:rsidR="009A4230" w:rsidSect="00775928">
          <w:footerReference w:type="default" r:id="rId7"/>
          <w:type w:val="continuous"/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  <w:r>
        <w:t>28.</w:t>
      </w:r>
      <w:r>
        <w:tab/>
        <w:t xml:space="preserve">Coombs, G.W., et al., Australian Staphylococcus aureus Sepsis Outcome Programme annual report, 2013. </w:t>
      </w:r>
      <w:proofErr w:type="spellStart"/>
      <w:r>
        <w:t>Commun</w:t>
      </w:r>
      <w:proofErr w:type="spellEnd"/>
      <w:r>
        <w:t xml:space="preserve"> Dis </w:t>
      </w:r>
      <w:proofErr w:type="spellStart"/>
      <w:r>
        <w:t>Intell</w:t>
      </w:r>
      <w:proofErr w:type="spellEnd"/>
      <w:r>
        <w:t xml:space="preserve"> Q Rep, 2014. 38(4): p. E309-19</w:t>
      </w:r>
    </w:p>
    <w:p w:rsidR="00E40EC4" w:rsidRDefault="00F56508"/>
    <w:sectPr w:rsidR="00E40EC4" w:rsidSect="007759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08" w:rsidRDefault="00F56508">
      <w:r>
        <w:separator/>
      </w:r>
    </w:p>
  </w:endnote>
  <w:endnote w:type="continuationSeparator" w:id="0">
    <w:p w:rsidR="00F56508" w:rsidRDefault="00F5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D6" w:rsidRDefault="009A4230">
    <w:pPr>
      <w:pStyle w:val="Footer"/>
      <w:tabs>
        <w:tab w:val="clear" w:pos="9026"/>
        <w:tab w:val="right" w:pos="90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592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7592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08" w:rsidRDefault="00F56508">
      <w:r>
        <w:separator/>
      </w:r>
    </w:p>
  </w:footnote>
  <w:footnote w:type="continuationSeparator" w:id="0">
    <w:p w:rsidR="00F56508" w:rsidRDefault="00F5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A4230"/>
    <w:rsid w:val="00583ABD"/>
    <w:rsid w:val="00775928"/>
    <w:rsid w:val="008C0427"/>
    <w:rsid w:val="009A4230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9A42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230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val="en-US" w:eastAsia="en-AU"/>
    </w:rPr>
  </w:style>
  <w:style w:type="paragraph" w:styleId="Footer">
    <w:name w:val="footer"/>
    <w:link w:val="FooterChar"/>
    <w:rsid w:val="009A42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FooterChar">
    <w:name w:val="Footer Char"/>
    <w:basedOn w:val="DefaultParagraphFont"/>
    <w:link w:val="Footer"/>
    <w:rsid w:val="009A4230"/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Body">
    <w:name w:val="Body"/>
    <w:link w:val="BodyChar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Heading">
    <w:name w:val="Heading"/>
    <w:next w:val="Body"/>
    <w:rsid w:val="009A42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fr-FR" w:eastAsia="en-AU"/>
    </w:rPr>
  </w:style>
  <w:style w:type="character" w:customStyle="1" w:styleId="None">
    <w:name w:val="None"/>
    <w:rsid w:val="009A4230"/>
  </w:style>
  <w:style w:type="paragraph" w:styleId="Caption">
    <w:name w:val="caption"/>
    <w:next w:val="Body"/>
    <w:uiPriority w:val="35"/>
    <w:qFormat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  <w:u w:color="4F81BD"/>
      <w:bdr w:val="nil"/>
      <w:lang w:val="en-US" w:eastAsia="en-AU"/>
    </w:rPr>
  </w:style>
  <w:style w:type="paragraph" w:customStyle="1" w:styleId="EndNoteBibliography">
    <w:name w:val="EndNote Bibliography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BodyChar">
    <w:name w:val="Body Char"/>
    <w:basedOn w:val="DefaultParagraphFont"/>
    <w:link w:val="Body"/>
    <w:rsid w:val="009A4230"/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styleId="LineNumber">
    <w:name w:val="line number"/>
    <w:basedOn w:val="DefaultParagraphFont"/>
    <w:uiPriority w:val="99"/>
    <w:semiHidden/>
    <w:unhideWhenUsed/>
    <w:rsid w:val="009A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9A42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230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val="en-US" w:eastAsia="en-AU"/>
    </w:rPr>
  </w:style>
  <w:style w:type="paragraph" w:styleId="Footer">
    <w:name w:val="footer"/>
    <w:link w:val="FooterChar"/>
    <w:rsid w:val="009A42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FooterChar">
    <w:name w:val="Footer Char"/>
    <w:basedOn w:val="DefaultParagraphFont"/>
    <w:link w:val="Footer"/>
    <w:rsid w:val="009A4230"/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Body">
    <w:name w:val="Body"/>
    <w:link w:val="BodyChar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Heading">
    <w:name w:val="Heading"/>
    <w:next w:val="Body"/>
    <w:rsid w:val="009A42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fr-FR" w:eastAsia="en-AU"/>
    </w:rPr>
  </w:style>
  <w:style w:type="character" w:customStyle="1" w:styleId="None">
    <w:name w:val="None"/>
    <w:rsid w:val="009A4230"/>
  </w:style>
  <w:style w:type="paragraph" w:styleId="Caption">
    <w:name w:val="caption"/>
    <w:next w:val="Body"/>
    <w:uiPriority w:val="35"/>
    <w:qFormat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  <w:u w:color="4F81BD"/>
      <w:bdr w:val="nil"/>
      <w:lang w:val="en-US" w:eastAsia="en-AU"/>
    </w:rPr>
  </w:style>
  <w:style w:type="paragraph" w:customStyle="1" w:styleId="EndNoteBibliography">
    <w:name w:val="EndNote Bibliography"/>
    <w:rsid w:val="009A423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BodyChar">
    <w:name w:val="Body Char"/>
    <w:basedOn w:val="DefaultParagraphFont"/>
    <w:link w:val="Body"/>
    <w:rsid w:val="009A4230"/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styleId="LineNumber">
    <w:name w:val="line number"/>
    <w:basedOn w:val="DefaultParagraphFont"/>
    <w:uiPriority w:val="99"/>
    <w:semiHidden/>
    <w:unhideWhenUsed/>
    <w:rsid w:val="009A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5841</Characters>
  <Application>Microsoft Office Word</Application>
  <DocSecurity>0</DocSecurity>
  <Lines>119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Cameron</dc:creator>
  <cp:keywords/>
  <dc:description/>
  <cp:lastModifiedBy>LAMIRA</cp:lastModifiedBy>
  <cp:revision>2</cp:revision>
  <dcterms:created xsi:type="dcterms:W3CDTF">2018-10-23T07:41:00Z</dcterms:created>
  <dcterms:modified xsi:type="dcterms:W3CDTF">2019-02-05T13:46:00Z</dcterms:modified>
</cp:coreProperties>
</file>