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1" w:rsidRDefault="00A04641" w:rsidP="00A04641">
      <w:pPr>
        <w:pStyle w:val="ListParagraph"/>
        <w:ind w:left="0"/>
        <w:jc w:val="center"/>
        <w:rPr>
          <w:rFonts w:ascii="Times" w:hAnsi="Times" w:cs="Times New Roman"/>
          <w:b/>
          <w:sz w:val="24"/>
          <w:szCs w:val="24"/>
          <w:lang w:val="en-GB"/>
        </w:rPr>
      </w:pPr>
      <w:r>
        <w:rPr>
          <w:rFonts w:ascii="Times" w:hAnsi="Times" w:cs="Times New Roman"/>
          <w:b/>
          <w:sz w:val="24"/>
          <w:szCs w:val="24"/>
          <w:lang w:val="en-GB"/>
        </w:rPr>
        <w:t xml:space="preserve">Supplementary material </w:t>
      </w:r>
      <w:r w:rsidR="0062468A">
        <w:rPr>
          <w:rFonts w:ascii="Times" w:hAnsi="Times" w:cs="Times New Roman"/>
          <w:b/>
          <w:sz w:val="24"/>
          <w:szCs w:val="24"/>
          <w:lang w:val="en-GB"/>
        </w:rPr>
        <w:t>1</w:t>
      </w:r>
      <w:bookmarkStart w:id="0" w:name="_GoBack"/>
      <w:bookmarkEnd w:id="0"/>
      <w:r>
        <w:rPr>
          <w:rFonts w:ascii="Times" w:hAnsi="Times" w:cs="Times New Roman"/>
          <w:b/>
          <w:sz w:val="24"/>
          <w:szCs w:val="24"/>
          <w:lang w:val="en-GB"/>
        </w:rPr>
        <w:t xml:space="preserve">: </w:t>
      </w:r>
      <w:r>
        <w:rPr>
          <w:rFonts w:ascii="Times" w:hAnsi="Times" w:cs="Times New Roman"/>
          <w:sz w:val="24"/>
          <w:szCs w:val="24"/>
          <w:lang w:val="en-GB"/>
        </w:rPr>
        <w:t>Main components of a community-based epilepsy program</w:t>
      </w:r>
    </w:p>
    <w:tbl>
      <w:tblPr>
        <w:tblStyle w:val="TableGrid"/>
        <w:tblW w:w="13590" w:type="dxa"/>
        <w:jc w:val="center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85"/>
        <w:gridCol w:w="3065"/>
        <w:gridCol w:w="4500"/>
        <w:gridCol w:w="4140"/>
      </w:tblGrid>
      <w:tr w:rsidR="00A04641" w:rsidRPr="00446342" w:rsidTr="00E71C93">
        <w:trPr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CE5452" w:rsidP="00E71C93">
            <w:pPr>
              <w:spacing w:after="0"/>
              <w:contextualSpacing/>
              <w:jc w:val="center"/>
              <w:rPr>
                <w:rFonts w:ascii="Times" w:hAnsi="Times" w:cs="Times New Roman"/>
                <w:b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b/>
                <w:szCs w:val="24"/>
                <w:lang w:val="en-GB"/>
              </w:rPr>
              <w:t>Aspect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CE5452" w:rsidP="00E71C93">
            <w:pPr>
              <w:spacing w:after="0"/>
              <w:contextualSpacing/>
              <w:jc w:val="center"/>
              <w:rPr>
                <w:rFonts w:ascii="Times" w:hAnsi="Times" w:cs="Times New Roman"/>
                <w:b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b/>
                <w:szCs w:val="24"/>
                <w:lang w:val="en-GB"/>
              </w:rPr>
              <w:t>Description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CE5452" w:rsidP="00E71C93">
            <w:pPr>
              <w:spacing w:after="0"/>
              <w:contextualSpacing/>
              <w:jc w:val="center"/>
              <w:rPr>
                <w:rFonts w:ascii="Times" w:hAnsi="Times" w:cs="Times New Roman"/>
                <w:b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b/>
                <w:szCs w:val="24"/>
                <w:lang w:val="en-GB"/>
              </w:rPr>
              <w:t>Activities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CE5452" w:rsidP="00E71C93">
            <w:pPr>
              <w:spacing w:after="0"/>
              <w:contextualSpacing/>
              <w:jc w:val="center"/>
              <w:rPr>
                <w:rFonts w:ascii="Times" w:hAnsi="Times" w:cs="Times New Roman"/>
                <w:b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b/>
                <w:szCs w:val="24"/>
                <w:lang w:val="en-GB"/>
              </w:rPr>
              <w:t>Parameters to monitor</w:t>
            </w:r>
          </w:p>
        </w:tc>
      </w:tr>
      <w:tr w:rsidR="00A04641" w:rsidRPr="00446342" w:rsidTr="00E71C93">
        <w:trPr>
          <w:trHeight w:val="553"/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Screening and diagnosis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Simplified tools to facilitate the detection of PWE 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Train community health workers on the 5 </w:t>
            </w:r>
            <w:r w:rsidR="0073032B" w:rsidRPr="00446342">
              <w:rPr>
                <w:rFonts w:ascii="Times" w:hAnsi="Times" w:cs="Times New Roman"/>
                <w:szCs w:val="24"/>
                <w:lang w:val="en-GB"/>
              </w:rPr>
              <w:t>questions</w:t>
            </w:r>
          </w:p>
          <w:p w:rsidR="00A04641" w:rsidRPr="00446342" w:rsidRDefault="00A04641" w:rsidP="00E71C93">
            <w:pPr>
              <w:spacing w:after="0"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Train health personnel on epilepsy diagnosis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Percentage of enrolled persons enrolled in the epilepsy clinic, who will be confirmed as PWE by visiting physicians or specialists</w:t>
            </w:r>
          </w:p>
        </w:tc>
      </w:tr>
      <w:tr w:rsidR="00A04641" w:rsidRPr="00446342" w:rsidTr="00E71C93">
        <w:trPr>
          <w:trHeight w:val="616"/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Epilepsy treatment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Simplified approaches to AED prescription and basic management of complications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Train local health personnel on AED prescription and monitoring </w:t>
            </w:r>
            <w:r w:rsidR="0073032B" w:rsidRPr="00446342">
              <w:rPr>
                <w:rFonts w:ascii="Times" w:hAnsi="Times" w:cs="Times New Roman"/>
                <w:szCs w:val="24"/>
                <w:lang w:val="en-GB"/>
              </w:rPr>
              <w:t xml:space="preserve">treatment 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>outcomes</w:t>
            </w:r>
          </w:p>
          <w:p w:rsidR="00A04641" w:rsidRPr="00446342" w:rsidRDefault="00A04641" w:rsidP="00E71C93">
            <w:pPr>
              <w:spacing w:after="0"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Training on management of complications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Percentage of AED prescriptions and management plans judged as optimal when reviewed by visiting physicians or specialists</w:t>
            </w:r>
          </w:p>
        </w:tc>
      </w:tr>
      <w:tr w:rsidR="00A04641" w:rsidRPr="00446342" w:rsidTr="00E71C93">
        <w:trPr>
          <w:trHeight w:val="1354"/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Epilepsy clinic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A health unit established within a healthcare facility, with personnel </w:t>
            </w:r>
            <w:r w:rsidR="0073032B" w:rsidRPr="00446342">
              <w:rPr>
                <w:rFonts w:ascii="Times" w:hAnsi="Times" w:cs="Times New Roman"/>
                <w:szCs w:val="24"/>
                <w:lang w:val="en-GB"/>
              </w:rPr>
              <w:t xml:space="preserve">trained in basic epilepsy care including 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>diagnosis, treatment and follow-up.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Consultations, </w:t>
            </w:r>
            <w:r w:rsidR="0073032B" w:rsidRPr="00446342">
              <w:rPr>
                <w:rFonts w:ascii="Times" w:hAnsi="Times" w:cs="Times New Roman"/>
                <w:szCs w:val="24"/>
                <w:lang w:val="en-GB"/>
              </w:rPr>
              <w:t>follow-up of PWE (monthly or otherwise, depending on seizure frequency)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Regular supply of AED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Supervision of Community Health Workers (CHW)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PWE registered and treated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Frequency of seizures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complications, adverse effects or deaths amongst PWE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active CHW</w:t>
            </w:r>
          </w:p>
        </w:tc>
      </w:tr>
      <w:tr w:rsidR="00A04641" w:rsidRPr="00446342" w:rsidTr="00E71C93">
        <w:trPr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Community Health Workers (CHW)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Proximity follow-up for PWE; serve as focal points for epilepsy care in the community. CHW are trained to counsel families and refer suspected PWE to the </w:t>
            </w:r>
            <w:r w:rsidR="0073032B" w:rsidRPr="00446342">
              <w:rPr>
                <w:rFonts w:ascii="Times" w:hAnsi="Times" w:cs="Times New Roman"/>
                <w:szCs w:val="24"/>
                <w:lang w:val="en-GB"/>
              </w:rPr>
              <w:t xml:space="preserve">epilepsy 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>clinic.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b/>
                <w:szCs w:val="24"/>
                <w:lang w:val="en-GB"/>
              </w:rPr>
              <w:t xml:space="preserve">- 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>Home visits to PWE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Monitor seizure frequency, AED use and adverse effects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Community sensitization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First aid in case of seizures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Refer suspected cases of epilepsy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Epilepsy surveillance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home visits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educative talks delivered to community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new PWE referred</w:t>
            </w:r>
          </w:p>
          <w:p w:rsidR="00B0770A" w:rsidRPr="00446342" w:rsidRDefault="00B0770A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epilepsy-related events reported to the clinic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</w:p>
        </w:tc>
      </w:tr>
      <w:tr w:rsidR="00A04641" w:rsidRPr="00446342" w:rsidTr="00E71C93">
        <w:trPr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Community awareness program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B0770A" w:rsidP="00B0770A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Strategies</w:t>
            </w:r>
            <w:r w:rsidR="00A04641" w:rsidRPr="00446342">
              <w:rPr>
                <w:rFonts w:ascii="Times" w:hAnsi="Times" w:cs="Times New Roman"/>
                <w:szCs w:val="24"/>
                <w:lang w:val="en-GB"/>
              </w:rPr>
              <w:t xml:space="preserve"> to educate the population, stakeholders, health workers and teachers ab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out epilepsy to reduce </w:t>
            </w:r>
            <w:r w:rsidR="00A04641" w:rsidRPr="00446342">
              <w:rPr>
                <w:rFonts w:ascii="Times" w:hAnsi="Times" w:cs="Times New Roman"/>
                <w:szCs w:val="24"/>
                <w:lang w:val="en-GB"/>
              </w:rPr>
              <w:t>stigma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Meetings with target audiences (school, market, church, authorities, communities, women associations)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people reached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Behavioural change in the population</w:t>
            </w:r>
          </w:p>
        </w:tc>
      </w:tr>
      <w:tr w:rsidR="00A04641" w:rsidRPr="00446342" w:rsidTr="00E71C93">
        <w:trPr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Onchocerciasis elimination</w:t>
            </w:r>
          </w:p>
          <w:p w:rsidR="00A04641" w:rsidRPr="00446342" w:rsidRDefault="00B0770A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p</w:t>
            </w:r>
            <w:r w:rsidR="00A04641" w:rsidRPr="00446342">
              <w:rPr>
                <w:rFonts w:ascii="Times" w:hAnsi="Times" w:cs="Times New Roman"/>
                <w:szCs w:val="24"/>
                <w:lang w:val="en-GB"/>
              </w:rPr>
              <w:t>rogram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Ideally, a bi-an</w:t>
            </w:r>
            <w:r w:rsidR="00B0770A" w:rsidRPr="00446342">
              <w:rPr>
                <w:rFonts w:ascii="Times" w:hAnsi="Times" w:cs="Times New Roman"/>
                <w:szCs w:val="24"/>
                <w:lang w:val="en-GB"/>
              </w:rPr>
              <w:t>nual CDTI program to reduce OAE and alternative treatment strategies if applicable.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Community sensitization about the importance of </w:t>
            </w:r>
            <w:proofErr w:type="spellStart"/>
            <w:r w:rsidRPr="00446342">
              <w:rPr>
                <w:rFonts w:ascii="Times" w:hAnsi="Times" w:cs="Times New Roman"/>
                <w:szCs w:val="24"/>
                <w:lang w:val="en-GB"/>
              </w:rPr>
              <w:t>ivermectin</w:t>
            </w:r>
            <w:proofErr w:type="spellEnd"/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 use.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Ensure </w:t>
            </w:r>
            <w:proofErr w:type="spellStart"/>
            <w:r w:rsidRPr="00446342">
              <w:rPr>
                <w:rFonts w:ascii="Times" w:hAnsi="Times" w:cs="Times New Roman"/>
                <w:szCs w:val="24"/>
                <w:lang w:val="en-GB"/>
              </w:rPr>
              <w:t>ivermectin</w:t>
            </w:r>
            <w:proofErr w:type="spellEnd"/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 use by all PWE.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CDTI coverage in the village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Epilepsy yearly incidence</w:t>
            </w:r>
          </w:p>
        </w:tc>
      </w:tr>
      <w:tr w:rsidR="00A04641" w:rsidRPr="00446342" w:rsidTr="00E71C93">
        <w:trPr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Social rehabilitation program for  PWE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Program to assist PWE to resume school and/or work, and better integrate the society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Build skills in PWE</w:t>
            </w:r>
            <w:r w:rsidR="00B0770A" w:rsidRPr="00446342">
              <w:rPr>
                <w:rFonts w:ascii="Times" w:hAnsi="Times" w:cs="Times New Roman"/>
                <w:szCs w:val="24"/>
                <w:lang w:val="en-GB"/>
              </w:rPr>
              <w:t xml:space="preserve"> via training sessions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Assist school </w:t>
            </w:r>
            <w:r w:rsidR="00446342" w:rsidRPr="00446342">
              <w:rPr>
                <w:rFonts w:ascii="Times" w:hAnsi="Times" w:cs="Times New Roman"/>
                <w:szCs w:val="24"/>
                <w:lang w:val="en-GB"/>
              </w:rPr>
              <w:t>enrolment</w:t>
            </w: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 of PWE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Establish associations for PWE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children with epilepsy who resume school</w:t>
            </w:r>
            <w:r w:rsidR="00B0770A" w:rsidRPr="00446342">
              <w:rPr>
                <w:rFonts w:ascii="Times" w:hAnsi="Times" w:cs="Times New Roman"/>
                <w:szCs w:val="24"/>
                <w:lang w:val="en-GB"/>
              </w:rPr>
              <w:t xml:space="preserve"> or succeed professionally</w:t>
            </w:r>
          </w:p>
          <w:p w:rsidR="00A04641" w:rsidRPr="00446342" w:rsidRDefault="00A04641" w:rsidP="00B0770A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 xml:space="preserve">- </w:t>
            </w:r>
            <w:r w:rsidR="00B0770A" w:rsidRPr="00446342">
              <w:rPr>
                <w:rFonts w:ascii="Times" w:hAnsi="Times" w:cs="Times New Roman"/>
                <w:szCs w:val="24"/>
                <w:lang w:val="en-GB"/>
              </w:rPr>
              <w:t>Major changes in quality of life (e.g. self-dependence, fulfilment, relationships/marriage)</w:t>
            </w:r>
          </w:p>
        </w:tc>
      </w:tr>
      <w:tr w:rsidR="00A04641" w:rsidRPr="00446342" w:rsidTr="00E71C93">
        <w:trPr>
          <w:trHeight w:val="985"/>
          <w:jc w:val="center"/>
        </w:trPr>
        <w:tc>
          <w:tcPr>
            <w:tcW w:w="188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Sustainability plan</w:t>
            </w:r>
          </w:p>
        </w:tc>
        <w:tc>
          <w:tcPr>
            <w:tcW w:w="3065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Ensuring that the epilepsy program gets established</w:t>
            </w:r>
          </w:p>
        </w:tc>
        <w:tc>
          <w:tcPr>
            <w:tcW w:w="450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Advocacy meetings with the elites, local  authorities, communities, government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Collaboration with social organizations</w:t>
            </w:r>
          </w:p>
        </w:tc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stakeholders contacted and collaborations initiated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Number of PWE Associations</w:t>
            </w:r>
          </w:p>
          <w:p w:rsidR="00A04641" w:rsidRPr="00446342" w:rsidRDefault="00A04641" w:rsidP="00E71C93">
            <w:pPr>
              <w:spacing w:after="0"/>
              <w:contextualSpacing/>
              <w:rPr>
                <w:rFonts w:ascii="Times" w:hAnsi="Times" w:cs="Times New Roman"/>
                <w:szCs w:val="24"/>
                <w:lang w:val="en-GB"/>
              </w:rPr>
            </w:pPr>
            <w:r w:rsidRPr="00446342">
              <w:rPr>
                <w:rFonts w:ascii="Times" w:hAnsi="Times" w:cs="Times New Roman"/>
                <w:szCs w:val="24"/>
                <w:lang w:val="en-GB"/>
              </w:rPr>
              <w:t>- Community involvement in epilepsy care</w:t>
            </w:r>
          </w:p>
        </w:tc>
      </w:tr>
    </w:tbl>
    <w:p w:rsidR="001A7F13" w:rsidRDefault="001A7F13"/>
    <w:sectPr w:rsidR="001A7F13" w:rsidSect="00B0770A">
      <w:pgSz w:w="15840" w:h="12240" w:orient="landscape"/>
      <w:pgMar w:top="1080" w:right="1417" w:bottom="99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1"/>
    <w:rsid w:val="001A7F13"/>
    <w:rsid w:val="00446342"/>
    <w:rsid w:val="0062468A"/>
    <w:rsid w:val="0073032B"/>
    <w:rsid w:val="00A04641"/>
    <w:rsid w:val="00B0770A"/>
    <w:rsid w:val="00C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652"/>
  <w15:chartTrackingRefBased/>
  <w15:docId w15:val="{2AF98A2B-9CDA-43B2-BE54-6F11A060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41"/>
    <w:pPr>
      <w:spacing w:after="200" w:line="276" w:lineRule="auto"/>
    </w:pPr>
    <w:rPr>
      <w:rFonts w:ascii="Calibri" w:eastAsia="Calibri" w:hAnsi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41"/>
    <w:pPr>
      <w:ind w:left="720"/>
      <w:contextualSpacing/>
    </w:pPr>
  </w:style>
  <w:style w:type="table" w:styleId="TableGrid">
    <w:name w:val="Table Grid"/>
    <w:basedOn w:val="TableNormal"/>
    <w:uiPriority w:val="59"/>
    <w:rsid w:val="00A04641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 Fodjo Joseph Nelson</dc:creator>
  <cp:keywords/>
  <dc:description/>
  <cp:lastModifiedBy>Siewe Fodjo Joseph Nelson</cp:lastModifiedBy>
  <cp:revision>7</cp:revision>
  <dcterms:created xsi:type="dcterms:W3CDTF">2018-10-04T10:53:00Z</dcterms:created>
  <dcterms:modified xsi:type="dcterms:W3CDTF">2018-12-27T11:53:00Z</dcterms:modified>
</cp:coreProperties>
</file>