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818A8" w14:textId="36A195B0" w:rsidR="003F1EF4" w:rsidRPr="00E20253" w:rsidRDefault="00E20253">
      <w:pPr>
        <w:rPr>
          <w:b/>
          <w:sz w:val="28"/>
        </w:rPr>
      </w:pPr>
      <w:r w:rsidRPr="00E20253">
        <w:rPr>
          <w:b/>
          <w:sz w:val="28"/>
        </w:rPr>
        <w:t>Additional File 1</w:t>
      </w:r>
    </w:p>
    <w:p w14:paraId="6EBEC46C" w14:textId="77777777" w:rsidR="003A57C3" w:rsidRPr="003A57C3" w:rsidRDefault="003A57C3"/>
    <w:p w14:paraId="4CAF9994" w14:textId="49FE5A83" w:rsidR="003A57C3" w:rsidRPr="000B69FD" w:rsidRDefault="007E4CE5" w:rsidP="005C71C5">
      <w:pPr>
        <w:jc w:val="both"/>
        <w:rPr>
          <w:szCs w:val="22"/>
        </w:rPr>
      </w:pPr>
      <w:r w:rsidRPr="00B468D8">
        <w:rPr>
          <w:szCs w:val="22"/>
        </w:rPr>
        <w:t>A</w:t>
      </w:r>
      <w:r w:rsidR="003A57C3" w:rsidRPr="00B468D8">
        <w:rPr>
          <w:szCs w:val="22"/>
        </w:rPr>
        <w:t xml:space="preserve">. </w:t>
      </w:r>
      <w:r w:rsidR="000B69FD">
        <w:rPr>
          <w:szCs w:val="22"/>
        </w:rPr>
        <w:t>Mean scores</w:t>
      </w:r>
      <w:r w:rsidR="003A57C3" w:rsidRPr="00B468D8">
        <w:rPr>
          <w:szCs w:val="22"/>
        </w:rPr>
        <w:t xml:space="preserve"> from physicians and nurses on a Likert scale, rating barriers related to patient and family</w:t>
      </w:r>
      <w:r w:rsidR="00420A9A">
        <w:rPr>
          <w:szCs w:val="22"/>
        </w:rPr>
        <w:t xml:space="preserve"> factors</w:t>
      </w:r>
      <w:r w:rsidR="003A57C3" w:rsidRPr="00B468D8">
        <w:rPr>
          <w:szCs w:val="22"/>
        </w:rPr>
        <w:t>, the role of physicians and nurses from their own perspective, system and external factors, and the role of physicians from nurses’ perspective.</w:t>
      </w:r>
    </w:p>
    <w:p w14:paraId="07A3ABD2" w14:textId="77777777" w:rsidR="004A6B4B" w:rsidRPr="003A57C3" w:rsidRDefault="004A6B4B">
      <w:pPr>
        <w:rPr>
          <w:sz w:val="22"/>
          <w:szCs w:val="22"/>
        </w:rPr>
      </w:pPr>
    </w:p>
    <w:tbl>
      <w:tblPr>
        <w:tblStyle w:val="TableGrid"/>
        <w:tblW w:w="8630" w:type="dxa"/>
        <w:tblLook w:val="04A0" w:firstRow="1" w:lastRow="0" w:firstColumn="1" w:lastColumn="0" w:noHBand="0" w:noVBand="1"/>
      </w:tblPr>
      <w:tblGrid>
        <w:gridCol w:w="6574"/>
        <w:gridCol w:w="906"/>
        <w:gridCol w:w="1150"/>
      </w:tblGrid>
      <w:tr w:rsidR="000B69FD" w:rsidRPr="003A57C3" w14:paraId="7063E960" w14:textId="614F1863" w:rsidTr="003A1FD8">
        <w:tc>
          <w:tcPr>
            <w:tcW w:w="8630" w:type="dxa"/>
            <w:gridSpan w:val="3"/>
          </w:tcPr>
          <w:p w14:paraId="32678447" w14:textId="4CC3A09F" w:rsidR="000B69FD" w:rsidRPr="003A57C3" w:rsidRDefault="000B69FD" w:rsidP="003A57C3">
            <w:pPr>
              <w:rPr>
                <w:b/>
                <w:sz w:val="22"/>
                <w:szCs w:val="22"/>
              </w:rPr>
            </w:pPr>
            <w:r w:rsidRPr="003A57C3">
              <w:rPr>
                <w:b/>
                <w:sz w:val="22"/>
                <w:szCs w:val="22"/>
              </w:rPr>
              <w:t>Barriers Related to Patient and Family</w:t>
            </w:r>
          </w:p>
        </w:tc>
      </w:tr>
      <w:tr w:rsidR="005C71C5" w:rsidRPr="003A57C3" w14:paraId="6846A6FD" w14:textId="77777777" w:rsidTr="003A1FD8">
        <w:tc>
          <w:tcPr>
            <w:tcW w:w="6574" w:type="dxa"/>
          </w:tcPr>
          <w:p w14:paraId="6BFB0D3F" w14:textId="77777777" w:rsidR="000B69FD" w:rsidRPr="003A57C3" w:rsidRDefault="000B69FD" w:rsidP="003A57C3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14:paraId="19382D63" w14:textId="20F8F1E6" w:rsidR="000B69FD" w:rsidRPr="000B69FD" w:rsidRDefault="000B69FD" w:rsidP="000B69F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69FD">
              <w:rPr>
                <w:rFonts w:cs="Arial"/>
                <w:b/>
                <w:sz w:val="22"/>
                <w:szCs w:val="22"/>
              </w:rPr>
              <w:t>Mean</w:t>
            </w:r>
          </w:p>
        </w:tc>
        <w:tc>
          <w:tcPr>
            <w:tcW w:w="980" w:type="dxa"/>
          </w:tcPr>
          <w:p w14:paraId="1B32006A" w14:textId="294AE9AA" w:rsidR="000B69FD" w:rsidRPr="000B69FD" w:rsidRDefault="000B69FD" w:rsidP="000B69F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B69FD">
              <w:rPr>
                <w:rFonts w:cs="Arial"/>
                <w:b/>
                <w:sz w:val="22"/>
                <w:szCs w:val="22"/>
              </w:rPr>
              <w:t>95% CI</w:t>
            </w:r>
          </w:p>
        </w:tc>
      </w:tr>
      <w:tr w:rsidR="005C71C5" w:rsidRPr="003A57C3" w14:paraId="4C49B261" w14:textId="484A6A5D" w:rsidTr="003A1FD8">
        <w:tc>
          <w:tcPr>
            <w:tcW w:w="6574" w:type="dxa"/>
          </w:tcPr>
          <w:p w14:paraId="43FCFBCA" w14:textId="657B30E0" w:rsidR="000B69FD" w:rsidRPr="003A57C3" w:rsidRDefault="000B69FD" w:rsidP="003A57C3">
            <w:pPr>
              <w:rPr>
                <w:sz w:val="22"/>
                <w:szCs w:val="22"/>
              </w:rPr>
            </w:pPr>
            <w:r w:rsidRPr="003A57C3">
              <w:rPr>
                <w:sz w:val="22"/>
                <w:szCs w:val="22"/>
              </w:rPr>
              <w:t>Family member</w:t>
            </w:r>
            <w:r w:rsidR="00527437">
              <w:rPr>
                <w:sz w:val="22"/>
                <w:szCs w:val="22"/>
              </w:rPr>
              <w:t>s</w:t>
            </w:r>
            <w:r w:rsidRPr="003A57C3">
              <w:rPr>
                <w:sz w:val="22"/>
                <w:szCs w:val="22"/>
              </w:rPr>
              <w:t xml:space="preserve"> difficulty accepting poor prognosis</w:t>
            </w:r>
          </w:p>
        </w:tc>
        <w:tc>
          <w:tcPr>
            <w:tcW w:w="906" w:type="dxa"/>
          </w:tcPr>
          <w:p w14:paraId="5B544E38" w14:textId="35D52646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3A57C3">
              <w:rPr>
                <w:rFonts w:cs="Arial"/>
                <w:sz w:val="22"/>
                <w:szCs w:val="22"/>
              </w:rPr>
              <w:t>5.9</w:t>
            </w:r>
          </w:p>
        </w:tc>
        <w:tc>
          <w:tcPr>
            <w:tcW w:w="980" w:type="dxa"/>
          </w:tcPr>
          <w:p w14:paraId="69DF5211" w14:textId="56F60005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5.7, 6.2</w:t>
            </w:r>
          </w:p>
        </w:tc>
      </w:tr>
      <w:tr w:rsidR="005C71C5" w:rsidRPr="003A57C3" w14:paraId="57411A3B" w14:textId="375C3FAD" w:rsidTr="003A1FD8">
        <w:tc>
          <w:tcPr>
            <w:tcW w:w="6574" w:type="dxa"/>
          </w:tcPr>
          <w:p w14:paraId="424D0CA1" w14:textId="77777777" w:rsidR="000B69FD" w:rsidRPr="003A57C3" w:rsidRDefault="000B69FD" w:rsidP="003A57C3">
            <w:pPr>
              <w:rPr>
                <w:sz w:val="22"/>
                <w:szCs w:val="22"/>
              </w:rPr>
            </w:pPr>
            <w:r w:rsidRPr="003A57C3">
              <w:rPr>
                <w:sz w:val="22"/>
                <w:szCs w:val="22"/>
              </w:rPr>
              <w:t>Lack of family agreement in GOC</w:t>
            </w:r>
          </w:p>
        </w:tc>
        <w:tc>
          <w:tcPr>
            <w:tcW w:w="906" w:type="dxa"/>
          </w:tcPr>
          <w:p w14:paraId="20EA4AB7" w14:textId="366B989B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3A57C3">
              <w:rPr>
                <w:rFonts w:cs="Arial"/>
                <w:sz w:val="22"/>
                <w:szCs w:val="22"/>
              </w:rPr>
              <w:t>5.8</w:t>
            </w:r>
          </w:p>
        </w:tc>
        <w:tc>
          <w:tcPr>
            <w:tcW w:w="980" w:type="dxa"/>
          </w:tcPr>
          <w:p w14:paraId="6903A018" w14:textId="58CA5583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5.5, 6.1</w:t>
            </w:r>
          </w:p>
        </w:tc>
      </w:tr>
      <w:tr w:rsidR="005C71C5" w:rsidRPr="003A57C3" w14:paraId="197E2F29" w14:textId="4B21A72A" w:rsidTr="003A1FD8">
        <w:trPr>
          <w:trHeight w:val="169"/>
        </w:trPr>
        <w:tc>
          <w:tcPr>
            <w:tcW w:w="6574" w:type="dxa"/>
          </w:tcPr>
          <w:p w14:paraId="77983BC5" w14:textId="77777777" w:rsidR="000B69FD" w:rsidRPr="003A57C3" w:rsidRDefault="000B69FD" w:rsidP="003A57C3">
            <w:pPr>
              <w:rPr>
                <w:sz w:val="22"/>
                <w:szCs w:val="22"/>
              </w:rPr>
            </w:pPr>
            <w:r w:rsidRPr="003A57C3">
              <w:rPr>
                <w:sz w:val="22"/>
                <w:szCs w:val="22"/>
              </w:rPr>
              <w:t>Family members difficulty understanding limits of LST</w:t>
            </w:r>
          </w:p>
        </w:tc>
        <w:tc>
          <w:tcPr>
            <w:tcW w:w="906" w:type="dxa"/>
          </w:tcPr>
          <w:p w14:paraId="2639FBD0" w14:textId="7BF14EAA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3A57C3">
              <w:rPr>
                <w:rFonts w:cs="Arial"/>
                <w:sz w:val="22"/>
                <w:szCs w:val="22"/>
              </w:rPr>
              <w:t>5.8</w:t>
            </w:r>
          </w:p>
        </w:tc>
        <w:tc>
          <w:tcPr>
            <w:tcW w:w="980" w:type="dxa"/>
          </w:tcPr>
          <w:p w14:paraId="6516C60E" w14:textId="653F6F4F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5.6, 6.1</w:t>
            </w:r>
          </w:p>
        </w:tc>
      </w:tr>
      <w:tr w:rsidR="005C71C5" w:rsidRPr="003A57C3" w14:paraId="0C9BCB6C" w14:textId="35B8F216" w:rsidTr="003A1FD8">
        <w:tc>
          <w:tcPr>
            <w:tcW w:w="6574" w:type="dxa"/>
          </w:tcPr>
          <w:p w14:paraId="18E3EE25" w14:textId="77777777" w:rsidR="000B69FD" w:rsidRPr="003A57C3" w:rsidRDefault="000B69FD" w:rsidP="003A57C3">
            <w:pPr>
              <w:rPr>
                <w:sz w:val="22"/>
                <w:szCs w:val="22"/>
              </w:rPr>
            </w:pPr>
            <w:r w:rsidRPr="003A57C3">
              <w:rPr>
                <w:sz w:val="22"/>
                <w:szCs w:val="22"/>
              </w:rPr>
              <w:t>Lack of patient capacity to make GOC decisions</w:t>
            </w:r>
          </w:p>
        </w:tc>
        <w:tc>
          <w:tcPr>
            <w:tcW w:w="906" w:type="dxa"/>
          </w:tcPr>
          <w:p w14:paraId="7B33C865" w14:textId="56564BBD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3A57C3">
              <w:rPr>
                <w:rFonts w:cs="Arial"/>
                <w:sz w:val="22"/>
                <w:szCs w:val="22"/>
              </w:rPr>
              <w:t>5.7</w:t>
            </w:r>
          </w:p>
        </w:tc>
        <w:tc>
          <w:tcPr>
            <w:tcW w:w="980" w:type="dxa"/>
          </w:tcPr>
          <w:p w14:paraId="132BF828" w14:textId="4D9E190B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5.5, 6.0</w:t>
            </w:r>
          </w:p>
        </w:tc>
      </w:tr>
      <w:tr w:rsidR="005C71C5" w:rsidRPr="003A57C3" w14:paraId="361D1F46" w14:textId="18DBD8EC" w:rsidTr="003A1FD8">
        <w:tc>
          <w:tcPr>
            <w:tcW w:w="6574" w:type="dxa"/>
          </w:tcPr>
          <w:p w14:paraId="4FD7A41B" w14:textId="77777777" w:rsidR="000B69FD" w:rsidRPr="003A57C3" w:rsidRDefault="000B69FD" w:rsidP="003A57C3">
            <w:pPr>
              <w:rPr>
                <w:sz w:val="22"/>
                <w:szCs w:val="22"/>
              </w:rPr>
            </w:pPr>
            <w:r w:rsidRPr="003A57C3">
              <w:rPr>
                <w:sz w:val="22"/>
                <w:szCs w:val="22"/>
              </w:rPr>
              <w:t>Language barriers</w:t>
            </w:r>
          </w:p>
        </w:tc>
        <w:tc>
          <w:tcPr>
            <w:tcW w:w="906" w:type="dxa"/>
          </w:tcPr>
          <w:p w14:paraId="1EBF90A7" w14:textId="0A01DC12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3A57C3">
              <w:rPr>
                <w:rFonts w:cs="Arial"/>
                <w:sz w:val="22"/>
                <w:szCs w:val="22"/>
              </w:rPr>
              <w:t>5.</w:t>
            </w: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980" w:type="dxa"/>
          </w:tcPr>
          <w:p w14:paraId="451D86AA" w14:textId="453391B0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5.4, 5.9</w:t>
            </w:r>
          </w:p>
        </w:tc>
      </w:tr>
      <w:tr w:rsidR="005C71C5" w:rsidRPr="003A57C3" w14:paraId="4F3AAF81" w14:textId="18C3F2B0" w:rsidTr="003A1FD8">
        <w:tc>
          <w:tcPr>
            <w:tcW w:w="6574" w:type="dxa"/>
          </w:tcPr>
          <w:p w14:paraId="16459AA5" w14:textId="77777777" w:rsidR="000B69FD" w:rsidRPr="003A57C3" w:rsidRDefault="000B69FD" w:rsidP="003A57C3">
            <w:pPr>
              <w:rPr>
                <w:sz w:val="22"/>
                <w:szCs w:val="22"/>
              </w:rPr>
            </w:pPr>
            <w:r w:rsidRPr="003A57C3">
              <w:rPr>
                <w:sz w:val="22"/>
                <w:szCs w:val="22"/>
              </w:rPr>
              <w:t>Patient difficulty accepting poor prognosis</w:t>
            </w:r>
          </w:p>
        </w:tc>
        <w:tc>
          <w:tcPr>
            <w:tcW w:w="906" w:type="dxa"/>
          </w:tcPr>
          <w:p w14:paraId="074A7A18" w14:textId="1A06D9F8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3A57C3">
              <w:rPr>
                <w:rFonts w:cs="Arial"/>
                <w:sz w:val="22"/>
                <w:szCs w:val="22"/>
              </w:rPr>
              <w:t>5.6</w:t>
            </w:r>
          </w:p>
        </w:tc>
        <w:tc>
          <w:tcPr>
            <w:tcW w:w="980" w:type="dxa"/>
          </w:tcPr>
          <w:p w14:paraId="304215FE" w14:textId="6668ECD8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5.3, 5.8</w:t>
            </w:r>
          </w:p>
        </w:tc>
      </w:tr>
      <w:tr w:rsidR="005C71C5" w:rsidRPr="003A57C3" w14:paraId="62FBC16A" w14:textId="725272C2" w:rsidTr="003A1FD8">
        <w:tc>
          <w:tcPr>
            <w:tcW w:w="6574" w:type="dxa"/>
          </w:tcPr>
          <w:p w14:paraId="196BB7F7" w14:textId="77777777" w:rsidR="000B69FD" w:rsidRPr="003A57C3" w:rsidRDefault="000B69FD" w:rsidP="003A57C3">
            <w:pPr>
              <w:rPr>
                <w:sz w:val="22"/>
                <w:szCs w:val="22"/>
              </w:rPr>
            </w:pPr>
            <w:r w:rsidRPr="003A57C3">
              <w:rPr>
                <w:sz w:val="22"/>
                <w:szCs w:val="22"/>
              </w:rPr>
              <w:t>Patient difficulty understanding limitations of LST</w:t>
            </w:r>
          </w:p>
        </w:tc>
        <w:tc>
          <w:tcPr>
            <w:tcW w:w="906" w:type="dxa"/>
          </w:tcPr>
          <w:p w14:paraId="547D38E0" w14:textId="4A1BC042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3A57C3">
              <w:rPr>
                <w:rFonts w:cs="Arial"/>
                <w:sz w:val="22"/>
                <w:szCs w:val="22"/>
              </w:rPr>
              <w:t>5.6</w:t>
            </w:r>
          </w:p>
        </w:tc>
        <w:tc>
          <w:tcPr>
            <w:tcW w:w="980" w:type="dxa"/>
          </w:tcPr>
          <w:p w14:paraId="6009733C" w14:textId="6253077D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5.3,5.9</w:t>
            </w:r>
          </w:p>
        </w:tc>
      </w:tr>
      <w:tr w:rsidR="005C71C5" w:rsidRPr="003A57C3" w14:paraId="20C87EE3" w14:textId="6596C140" w:rsidTr="003A1FD8">
        <w:tc>
          <w:tcPr>
            <w:tcW w:w="6574" w:type="dxa"/>
          </w:tcPr>
          <w:p w14:paraId="6F37E9C1" w14:textId="77777777" w:rsidR="000B69FD" w:rsidRPr="003A57C3" w:rsidRDefault="000B69FD" w:rsidP="003A57C3">
            <w:pPr>
              <w:rPr>
                <w:sz w:val="22"/>
                <w:szCs w:val="22"/>
              </w:rPr>
            </w:pPr>
            <w:r w:rsidRPr="003A57C3">
              <w:rPr>
                <w:sz w:val="22"/>
                <w:szCs w:val="22"/>
              </w:rPr>
              <w:t>Different cultural approaches to discussing GOC</w:t>
            </w:r>
          </w:p>
        </w:tc>
        <w:tc>
          <w:tcPr>
            <w:tcW w:w="906" w:type="dxa"/>
          </w:tcPr>
          <w:p w14:paraId="4F0F80AE" w14:textId="4111B510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3A57C3">
              <w:rPr>
                <w:rFonts w:cs="Arial"/>
                <w:sz w:val="22"/>
                <w:szCs w:val="22"/>
              </w:rPr>
              <w:t>5.5</w:t>
            </w:r>
          </w:p>
        </w:tc>
        <w:tc>
          <w:tcPr>
            <w:tcW w:w="980" w:type="dxa"/>
          </w:tcPr>
          <w:p w14:paraId="6380A923" w14:textId="26532B44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5.2, 5.7</w:t>
            </w:r>
          </w:p>
        </w:tc>
      </w:tr>
      <w:tr w:rsidR="005C71C5" w:rsidRPr="003A57C3" w14:paraId="1DF3151D" w14:textId="59E58B57" w:rsidTr="003A1FD8">
        <w:tc>
          <w:tcPr>
            <w:tcW w:w="6574" w:type="dxa"/>
          </w:tcPr>
          <w:p w14:paraId="46B87E9D" w14:textId="77777777" w:rsidR="000B69FD" w:rsidRPr="003A57C3" w:rsidRDefault="000B69FD" w:rsidP="003A57C3">
            <w:pPr>
              <w:rPr>
                <w:sz w:val="22"/>
                <w:szCs w:val="22"/>
              </w:rPr>
            </w:pPr>
            <w:r w:rsidRPr="003A57C3">
              <w:rPr>
                <w:sz w:val="22"/>
                <w:szCs w:val="22"/>
              </w:rPr>
              <w:t>No advanced Directive</w:t>
            </w:r>
          </w:p>
        </w:tc>
        <w:tc>
          <w:tcPr>
            <w:tcW w:w="906" w:type="dxa"/>
          </w:tcPr>
          <w:p w14:paraId="2EDE370F" w14:textId="6455FD95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3A57C3">
              <w:rPr>
                <w:rFonts w:cs="Arial"/>
                <w:sz w:val="22"/>
                <w:szCs w:val="22"/>
              </w:rPr>
              <w:t>4.5</w:t>
            </w:r>
          </w:p>
        </w:tc>
        <w:tc>
          <w:tcPr>
            <w:tcW w:w="980" w:type="dxa"/>
          </w:tcPr>
          <w:p w14:paraId="561F6A76" w14:textId="5FAF95E9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4.0, 4.9</w:t>
            </w:r>
          </w:p>
        </w:tc>
      </w:tr>
      <w:tr w:rsidR="005C71C5" w:rsidRPr="003A57C3" w14:paraId="290BE347" w14:textId="0E441340" w:rsidTr="003A1FD8">
        <w:tc>
          <w:tcPr>
            <w:tcW w:w="6574" w:type="dxa"/>
          </w:tcPr>
          <w:p w14:paraId="117DCB23" w14:textId="77777777" w:rsidR="000B69FD" w:rsidRPr="003A57C3" w:rsidRDefault="000B69FD" w:rsidP="003A57C3">
            <w:pPr>
              <w:rPr>
                <w:sz w:val="22"/>
                <w:szCs w:val="22"/>
              </w:rPr>
            </w:pPr>
            <w:r w:rsidRPr="003A57C3">
              <w:rPr>
                <w:sz w:val="22"/>
                <w:szCs w:val="22"/>
              </w:rPr>
              <w:t>Advanced directive lacks detail</w:t>
            </w:r>
          </w:p>
        </w:tc>
        <w:tc>
          <w:tcPr>
            <w:tcW w:w="906" w:type="dxa"/>
          </w:tcPr>
          <w:p w14:paraId="21E6A9C6" w14:textId="3B467C77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3A57C3">
              <w:rPr>
                <w:rFonts w:cs="Arial"/>
                <w:sz w:val="22"/>
                <w:szCs w:val="22"/>
              </w:rPr>
              <w:t>4.1</w:t>
            </w:r>
          </w:p>
        </w:tc>
        <w:tc>
          <w:tcPr>
            <w:tcW w:w="980" w:type="dxa"/>
          </w:tcPr>
          <w:p w14:paraId="64A344AE" w14:textId="6E16ED0C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3.7, 4.5</w:t>
            </w:r>
          </w:p>
        </w:tc>
      </w:tr>
      <w:tr w:rsidR="000B69FD" w:rsidRPr="003A57C3" w14:paraId="4AFCF57C" w14:textId="668EBD85" w:rsidTr="003A1FD8">
        <w:tc>
          <w:tcPr>
            <w:tcW w:w="8630" w:type="dxa"/>
            <w:gridSpan w:val="3"/>
          </w:tcPr>
          <w:p w14:paraId="0D099041" w14:textId="69842336" w:rsidR="000B69FD" w:rsidRPr="003A57C3" w:rsidRDefault="000B69FD" w:rsidP="003A57C3">
            <w:pPr>
              <w:rPr>
                <w:b/>
                <w:sz w:val="22"/>
                <w:szCs w:val="22"/>
              </w:rPr>
            </w:pPr>
            <w:r w:rsidRPr="003A57C3">
              <w:rPr>
                <w:b/>
                <w:sz w:val="22"/>
                <w:szCs w:val="22"/>
              </w:rPr>
              <w:t>Barrier Related to the Role of Physicians and Nurses in Their Own Perspective</w:t>
            </w:r>
          </w:p>
        </w:tc>
      </w:tr>
      <w:tr w:rsidR="005C71C5" w:rsidRPr="003A57C3" w14:paraId="1C35E4D4" w14:textId="77777777" w:rsidTr="003A1FD8">
        <w:tc>
          <w:tcPr>
            <w:tcW w:w="6574" w:type="dxa"/>
          </w:tcPr>
          <w:p w14:paraId="666C1E44" w14:textId="77777777" w:rsidR="000B69FD" w:rsidRPr="003A57C3" w:rsidRDefault="000B69FD" w:rsidP="003A57C3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14:paraId="5CD212EF" w14:textId="1CD2B54E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0B69FD">
              <w:rPr>
                <w:rFonts w:cs="Arial"/>
                <w:b/>
                <w:sz w:val="22"/>
                <w:szCs w:val="22"/>
              </w:rPr>
              <w:t>Mean</w:t>
            </w:r>
          </w:p>
        </w:tc>
        <w:tc>
          <w:tcPr>
            <w:tcW w:w="980" w:type="dxa"/>
          </w:tcPr>
          <w:p w14:paraId="022D3AD0" w14:textId="5A822C74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0B69FD">
              <w:rPr>
                <w:rFonts w:cs="Arial"/>
                <w:b/>
                <w:sz w:val="22"/>
                <w:szCs w:val="22"/>
              </w:rPr>
              <w:t>95% CI</w:t>
            </w:r>
          </w:p>
        </w:tc>
      </w:tr>
      <w:tr w:rsidR="005C71C5" w:rsidRPr="003A57C3" w14:paraId="6CC0D6BD" w14:textId="42EFC788" w:rsidTr="003A1FD8">
        <w:tc>
          <w:tcPr>
            <w:tcW w:w="6574" w:type="dxa"/>
          </w:tcPr>
          <w:p w14:paraId="6562652B" w14:textId="77777777" w:rsidR="000B69FD" w:rsidRPr="003A57C3" w:rsidRDefault="000B69FD" w:rsidP="003A57C3">
            <w:pPr>
              <w:rPr>
                <w:sz w:val="22"/>
                <w:szCs w:val="22"/>
              </w:rPr>
            </w:pPr>
            <w:r w:rsidRPr="003A57C3">
              <w:rPr>
                <w:sz w:val="22"/>
                <w:szCs w:val="22"/>
              </w:rPr>
              <w:t>Suboptimal Timing for Discussion</w:t>
            </w:r>
          </w:p>
        </w:tc>
        <w:tc>
          <w:tcPr>
            <w:tcW w:w="906" w:type="dxa"/>
          </w:tcPr>
          <w:p w14:paraId="0AD01BA2" w14:textId="71184860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3A57C3">
              <w:rPr>
                <w:rFonts w:cs="Arial"/>
                <w:sz w:val="22"/>
                <w:szCs w:val="22"/>
              </w:rPr>
              <w:t>5.</w:t>
            </w: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980" w:type="dxa"/>
          </w:tcPr>
          <w:p w14:paraId="03C695E9" w14:textId="3DE33BAA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4.8, 5.5</w:t>
            </w:r>
          </w:p>
        </w:tc>
      </w:tr>
      <w:tr w:rsidR="005C71C5" w:rsidRPr="003A57C3" w14:paraId="41D5BE68" w14:textId="7471B587" w:rsidTr="003A1FD8">
        <w:tc>
          <w:tcPr>
            <w:tcW w:w="6574" w:type="dxa"/>
          </w:tcPr>
          <w:p w14:paraId="3CFAF60A" w14:textId="77777777" w:rsidR="000B69FD" w:rsidRPr="003A57C3" w:rsidRDefault="000B69FD" w:rsidP="003A57C3">
            <w:pPr>
              <w:rPr>
                <w:sz w:val="22"/>
                <w:szCs w:val="22"/>
              </w:rPr>
            </w:pPr>
            <w:r w:rsidRPr="003A57C3">
              <w:rPr>
                <w:sz w:val="22"/>
                <w:szCs w:val="22"/>
              </w:rPr>
              <w:t xml:space="preserve">Uncertainty in Estimating Prognosis </w:t>
            </w:r>
          </w:p>
        </w:tc>
        <w:tc>
          <w:tcPr>
            <w:tcW w:w="906" w:type="dxa"/>
          </w:tcPr>
          <w:p w14:paraId="02BDAE56" w14:textId="2523867A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3A57C3">
              <w:rPr>
                <w:rFonts w:cs="Arial"/>
                <w:sz w:val="22"/>
                <w:szCs w:val="22"/>
              </w:rPr>
              <w:t>4.6</w:t>
            </w:r>
          </w:p>
        </w:tc>
        <w:tc>
          <w:tcPr>
            <w:tcW w:w="980" w:type="dxa"/>
          </w:tcPr>
          <w:p w14:paraId="494DEA7D" w14:textId="5174CE0F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4.2, 4.9</w:t>
            </w:r>
          </w:p>
        </w:tc>
      </w:tr>
      <w:tr w:rsidR="005C71C5" w:rsidRPr="003A57C3" w14:paraId="10749CC4" w14:textId="4D298D5C" w:rsidTr="003A1FD8">
        <w:tc>
          <w:tcPr>
            <w:tcW w:w="6574" w:type="dxa"/>
          </w:tcPr>
          <w:p w14:paraId="3FF67938" w14:textId="77777777" w:rsidR="000B69FD" w:rsidRPr="003A57C3" w:rsidRDefault="000B69FD" w:rsidP="003A57C3">
            <w:pPr>
              <w:rPr>
                <w:sz w:val="22"/>
                <w:szCs w:val="22"/>
              </w:rPr>
            </w:pPr>
            <w:r w:rsidRPr="003A57C3">
              <w:rPr>
                <w:sz w:val="22"/>
                <w:szCs w:val="22"/>
              </w:rPr>
              <w:t>Desire to maintain hope</w:t>
            </w:r>
          </w:p>
        </w:tc>
        <w:tc>
          <w:tcPr>
            <w:tcW w:w="906" w:type="dxa"/>
          </w:tcPr>
          <w:p w14:paraId="6D95373A" w14:textId="48E6DBE9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4.4</w:t>
            </w:r>
          </w:p>
        </w:tc>
        <w:tc>
          <w:tcPr>
            <w:tcW w:w="980" w:type="dxa"/>
          </w:tcPr>
          <w:p w14:paraId="4E20D4FE" w14:textId="09120578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4.0, 4.8</w:t>
            </w:r>
          </w:p>
        </w:tc>
      </w:tr>
      <w:tr w:rsidR="005C71C5" w:rsidRPr="003A57C3" w14:paraId="6A086EFE" w14:textId="5C97F48E" w:rsidTr="003A1FD8">
        <w:tc>
          <w:tcPr>
            <w:tcW w:w="6574" w:type="dxa"/>
          </w:tcPr>
          <w:p w14:paraId="64AEC5DF" w14:textId="77777777" w:rsidR="000B69FD" w:rsidRPr="003A57C3" w:rsidRDefault="000B69FD" w:rsidP="003A57C3">
            <w:pPr>
              <w:rPr>
                <w:sz w:val="22"/>
                <w:szCs w:val="22"/>
              </w:rPr>
            </w:pPr>
            <w:r w:rsidRPr="003A57C3">
              <w:rPr>
                <w:sz w:val="22"/>
                <w:szCs w:val="22"/>
              </w:rPr>
              <w:t>Lack of Training to Have These Conversations</w:t>
            </w:r>
          </w:p>
        </w:tc>
        <w:tc>
          <w:tcPr>
            <w:tcW w:w="906" w:type="dxa"/>
          </w:tcPr>
          <w:p w14:paraId="1FE9DE78" w14:textId="60A3651D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3A57C3">
              <w:rPr>
                <w:rFonts w:cs="Arial"/>
                <w:sz w:val="22"/>
                <w:szCs w:val="22"/>
              </w:rPr>
              <w:t>4.0</w:t>
            </w:r>
          </w:p>
        </w:tc>
        <w:tc>
          <w:tcPr>
            <w:tcW w:w="980" w:type="dxa"/>
          </w:tcPr>
          <w:p w14:paraId="4C8DD516" w14:textId="13689547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3.6, 4.5</w:t>
            </w:r>
          </w:p>
        </w:tc>
      </w:tr>
      <w:tr w:rsidR="005C71C5" w:rsidRPr="003A57C3" w14:paraId="55C75B1C" w14:textId="78347D3D" w:rsidTr="003A1FD8">
        <w:tc>
          <w:tcPr>
            <w:tcW w:w="6574" w:type="dxa"/>
          </w:tcPr>
          <w:p w14:paraId="6096F876" w14:textId="77777777" w:rsidR="000B69FD" w:rsidRPr="003A57C3" w:rsidRDefault="000B69FD" w:rsidP="003A57C3">
            <w:pPr>
              <w:rPr>
                <w:sz w:val="22"/>
                <w:szCs w:val="22"/>
              </w:rPr>
            </w:pPr>
            <w:r w:rsidRPr="003A57C3">
              <w:rPr>
                <w:sz w:val="22"/>
                <w:szCs w:val="22"/>
              </w:rPr>
              <w:t>Loss of therapeutic alliance</w:t>
            </w:r>
          </w:p>
        </w:tc>
        <w:tc>
          <w:tcPr>
            <w:tcW w:w="906" w:type="dxa"/>
          </w:tcPr>
          <w:p w14:paraId="1AC6C02E" w14:textId="3A94C54D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3A57C3">
              <w:rPr>
                <w:rFonts w:cs="Arial"/>
                <w:sz w:val="22"/>
                <w:szCs w:val="22"/>
              </w:rPr>
              <w:t>4.0</w:t>
            </w:r>
          </w:p>
        </w:tc>
        <w:tc>
          <w:tcPr>
            <w:tcW w:w="980" w:type="dxa"/>
          </w:tcPr>
          <w:p w14:paraId="10B57B9C" w14:textId="2E337F9D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3.6, 4.4</w:t>
            </w:r>
          </w:p>
        </w:tc>
      </w:tr>
      <w:tr w:rsidR="005C71C5" w:rsidRPr="003A57C3" w14:paraId="3027AC72" w14:textId="1D53B942" w:rsidTr="003A1FD8">
        <w:tc>
          <w:tcPr>
            <w:tcW w:w="6574" w:type="dxa"/>
          </w:tcPr>
          <w:p w14:paraId="5BFF1610" w14:textId="77777777" w:rsidR="000B69FD" w:rsidRPr="003A57C3" w:rsidRDefault="000B69FD" w:rsidP="003A57C3">
            <w:pPr>
              <w:rPr>
                <w:sz w:val="22"/>
                <w:szCs w:val="22"/>
              </w:rPr>
            </w:pPr>
            <w:r w:rsidRPr="003A57C3">
              <w:rPr>
                <w:sz w:val="22"/>
                <w:szCs w:val="22"/>
              </w:rPr>
              <w:t>Discomfort in having EOL discussion</w:t>
            </w:r>
          </w:p>
        </w:tc>
        <w:tc>
          <w:tcPr>
            <w:tcW w:w="906" w:type="dxa"/>
          </w:tcPr>
          <w:p w14:paraId="63FE5C4C" w14:textId="318D3A41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3A57C3">
              <w:rPr>
                <w:rFonts w:cs="Arial"/>
                <w:sz w:val="22"/>
                <w:szCs w:val="22"/>
              </w:rPr>
              <w:t>3.</w:t>
            </w: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980" w:type="dxa"/>
          </w:tcPr>
          <w:p w14:paraId="2FF6EB8D" w14:textId="08B37411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3.0, 3.9</w:t>
            </w:r>
          </w:p>
        </w:tc>
      </w:tr>
      <w:tr w:rsidR="005C71C5" w:rsidRPr="003A57C3" w14:paraId="550AEB08" w14:textId="2EB73A25" w:rsidTr="003A1FD8">
        <w:tc>
          <w:tcPr>
            <w:tcW w:w="6574" w:type="dxa"/>
          </w:tcPr>
          <w:p w14:paraId="7D0F6D46" w14:textId="77777777" w:rsidR="000B69FD" w:rsidRPr="003A57C3" w:rsidRDefault="000B69FD" w:rsidP="003A57C3">
            <w:pPr>
              <w:rPr>
                <w:sz w:val="22"/>
                <w:szCs w:val="22"/>
              </w:rPr>
            </w:pPr>
            <w:r w:rsidRPr="003A57C3">
              <w:rPr>
                <w:sz w:val="22"/>
                <w:szCs w:val="22"/>
              </w:rPr>
              <w:t>Desire to avoid lawsuit</w:t>
            </w:r>
          </w:p>
        </w:tc>
        <w:tc>
          <w:tcPr>
            <w:tcW w:w="906" w:type="dxa"/>
          </w:tcPr>
          <w:p w14:paraId="53E00ACB" w14:textId="1B79EE8F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3A57C3">
              <w:rPr>
                <w:rFonts w:cs="Arial"/>
                <w:sz w:val="22"/>
                <w:szCs w:val="22"/>
              </w:rPr>
              <w:t>3.2</w:t>
            </w:r>
          </w:p>
        </w:tc>
        <w:tc>
          <w:tcPr>
            <w:tcW w:w="980" w:type="dxa"/>
          </w:tcPr>
          <w:p w14:paraId="463E6094" w14:textId="67787555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2.7, 3.6</w:t>
            </w:r>
          </w:p>
        </w:tc>
      </w:tr>
      <w:tr w:rsidR="005C71C5" w:rsidRPr="003A57C3" w14:paraId="2FEF269E" w14:textId="620BDE03" w:rsidTr="003A1FD8">
        <w:tc>
          <w:tcPr>
            <w:tcW w:w="8630" w:type="dxa"/>
            <w:gridSpan w:val="3"/>
          </w:tcPr>
          <w:p w14:paraId="7C510788" w14:textId="22A17CBD" w:rsidR="005C71C5" w:rsidRPr="003A57C3" w:rsidRDefault="005C71C5" w:rsidP="003A57C3">
            <w:pPr>
              <w:rPr>
                <w:b/>
                <w:sz w:val="22"/>
                <w:szCs w:val="22"/>
              </w:rPr>
            </w:pPr>
            <w:r w:rsidRPr="003A57C3">
              <w:rPr>
                <w:b/>
                <w:sz w:val="22"/>
                <w:szCs w:val="22"/>
              </w:rPr>
              <w:t>Barriers related to the System or External factors</w:t>
            </w:r>
            <w:r>
              <w:rPr>
                <w:b/>
                <w:sz w:val="22"/>
                <w:szCs w:val="22"/>
              </w:rPr>
              <w:tab/>
            </w:r>
          </w:p>
        </w:tc>
      </w:tr>
      <w:tr w:rsidR="005C71C5" w:rsidRPr="003A57C3" w14:paraId="766BEAC7" w14:textId="77777777" w:rsidTr="003A1FD8">
        <w:tc>
          <w:tcPr>
            <w:tcW w:w="6574" w:type="dxa"/>
          </w:tcPr>
          <w:p w14:paraId="78A0F925" w14:textId="77777777" w:rsidR="000B69FD" w:rsidRPr="003A57C3" w:rsidRDefault="000B69FD" w:rsidP="003A57C3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</w:tcPr>
          <w:p w14:paraId="528307C3" w14:textId="690531C3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0B69FD">
              <w:rPr>
                <w:rFonts w:cs="Arial"/>
                <w:b/>
                <w:sz w:val="22"/>
                <w:szCs w:val="22"/>
              </w:rPr>
              <w:t>Mean</w:t>
            </w:r>
          </w:p>
        </w:tc>
        <w:tc>
          <w:tcPr>
            <w:tcW w:w="980" w:type="dxa"/>
          </w:tcPr>
          <w:p w14:paraId="07CD9F7B" w14:textId="07530419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0B69FD">
              <w:rPr>
                <w:rFonts w:cs="Arial"/>
                <w:b/>
                <w:sz w:val="22"/>
                <w:szCs w:val="22"/>
              </w:rPr>
              <w:t>95% CI</w:t>
            </w:r>
          </w:p>
        </w:tc>
      </w:tr>
      <w:tr w:rsidR="005C71C5" w:rsidRPr="003A57C3" w14:paraId="1ADA8892" w14:textId="4B9AE291" w:rsidTr="003A1FD8">
        <w:tc>
          <w:tcPr>
            <w:tcW w:w="6574" w:type="dxa"/>
          </w:tcPr>
          <w:p w14:paraId="04A95ADC" w14:textId="77777777" w:rsidR="000B69FD" w:rsidRPr="003A57C3" w:rsidRDefault="000B69FD" w:rsidP="003A57C3">
            <w:pPr>
              <w:rPr>
                <w:sz w:val="22"/>
                <w:szCs w:val="22"/>
              </w:rPr>
            </w:pPr>
            <w:r w:rsidRPr="003A57C3">
              <w:rPr>
                <w:sz w:val="22"/>
                <w:szCs w:val="22"/>
              </w:rPr>
              <w:t>Lack of awareness of what other members of care team said</w:t>
            </w:r>
          </w:p>
        </w:tc>
        <w:tc>
          <w:tcPr>
            <w:tcW w:w="906" w:type="dxa"/>
          </w:tcPr>
          <w:p w14:paraId="700F6D21" w14:textId="7301F1A2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3A57C3">
              <w:rPr>
                <w:rFonts w:cs="Arial"/>
                <w:sz w:val="22"/>
                <w:szCs w:val="22"/>
              </w:rPr>
              <w:t>5.4</w:t>
            </w:r>
          </w:p>
        </w:tc>
        <w:tc>
          <w:tcPr>
            <w:tcW w:w="980" w:type="dxa"/>
          </w:tcPr>
          <w:p w14:paraId="0FF2BFC0" w14:textId="68709801" w:rsidR="000B69FD" w:rsidRPr="003A57C3" w:rsidRDefault="005C71C5" w:rsidP="000B69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5.1, 5.7</w:t>
            </w:r>
          </w:p>
        </w:tc>
      </w:tr>
      <w:tr w:rsidR="005C71C5" w:rsidRPr="003A57C3" w14:paraId="2B244476" w14:textId="6EB2F1E1" w:rsidTr="003A1FD8">
        <w:tc>
          <w:tcPr>
            <w:tcW w:w="6574" w:type="dxa"/>
          </w:tcPr>
          <w:p w14:paraId="4CB60D00" w14:textId="77777777" w:rsidR="000B69FD" w:rsidRPr="003A57C3" w:rsidRDefault="000B69FD" w:rsidP="003A57C3">
            <w:pPr>
              <w:rPr>
                <w:sz w:val="22"/>
                <w:szCs w:val="22"/>
              </w:rPr>
            </w:pPr>
            <w:r w:rsidRPr="003A57C3">
              <w:rPr>
                <w:sz w:val="22"/>
                <w:szCs w:val="22"/>
              </w:rPr>
              <w:t>Lack of time to have conversation</w:t>
            </w:r>
          </w:p>
        </w:tc>
        <w:tc>
          <w:tcPr>
            <w:tcW w:w="906" w:type="dxa"/>
          </w:tcPr>
          <w:p w14:paraId="7F1D892B" w14:textId="0B298851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3A57C3">
              <w:rPr>
                <w:rFonts w:cs="Arial"/>
                <w:sz w:val="22"/>
                <w:szCs w:val="22"/>
              </w:rPr>
              <w:t>5.3</w:t>
            </w:r>
          </w:p>
        </w:tc>
        <w:tc>
          <w:tcPr>
            <w:tcW w:w="980" w:type="dxa"/>
          </w:tcPr>
          <w:p w14:paraId="61F6295E" w14:textId="42844D08" w:rsidR="000B69FD" w:rsidRPr="003A57C3" w:rsidRDefault="005C71C5" w:rsidP="000B69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4.9, 5.7</w:t>
            </w:r>
          </w:p>
        </w:tc>
      </w:tr>
      <w:tr w:rsidR="005C71C5" w:rsidRPr="003A57C3" w14:paraId="53279484" w14:textId="3B9DD2E4" w:rsidTr="003A1FD8">
        <w:tc>
          <w:tcPr>
            <w:tcW w:w="6574" w:type="dxa"/>
          </w:tcPr>
          <w:p w14:paraId="296336DD" w14:textId="77777777" w:rsidR="000B69FD" w:rsidRPr="003A57C3" w:rsidRDefault="000B69FD" w:rsidP="003A57C3">
            <w:pPr>
              <w:rPr>
                <w:sz w:val="22"/>
                <w:szCs w:val="22"/>
              </w:rPr>
            </w:pPr>
            <w:r w:rsidRPr="003A57C3">
              <w:rPr>
                <w:sz w:val="22"/>
                <w:szCs w:val="22"/>
              </w:rPr>
              <w:t>Lack of availability of SDM</w:t>
            </w:r>
          </w:p>
        </w:tc>
        <w:tc>
          <w:tcPr>
            <w:tcW w:w="906" w:type="dxa"/>
          </w:tcPr>
          <w:p w14:paraId="5E3C8783" w14:textId="07421E00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3A57C3">
              <w:rPr>
                <w:rFonts w:cs="Arial"/>
                <w:sz w:val="22"/>
                <w:szCs w:val="22"/>
              </w:rPr>
              <w:t>5.3</w:t>
            </w:r>
          </w:p>
        </w:tc>
        <w:tc>
          <w:tcPr>
            <w:tcW w:w="980" w:type="dxa"/>
          </w:tcPr>
          <w:p w14:paraId="30B04334" w14:textId="688C109C" w:rsidR="000B69FD" w:rsidRPr="003A57C3" w:rsidRDefault="005C71C5" w:rsidP="000B69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5.0, 5.5</w:t>
            </w:r>
          </w:p>
        </w:tc>
      </w:tr>
      <w:tr w:rsidR="005C71C5" w:rsidRPr="003A57C3" w14:paraId="37ADB1DF" w14:textId="750EFB94" w:rsidTr="003A1FD8">
        <w:tc>
          <w:tcPr>
            <w:tcW w:w="6574" w:type="dxa"/>
          </w:tcPr>
          <w:p w14:paraId="30796352" w14:textId="77777777" w:rsidR="000B69FD" w:rsidRPr="003A57C3" w:rsidRDefault="000B69FD" w:rsidP="003A57C3">
            <w:pPr>
              <w:rPr>
                <w:sz w:val="22"/>
                <w:szCs w:val="22"/>
              </w:rPr>
            </w:pPr>
            <w:r w:rsidRPr="003A57C3">
              <w:rPr>
                <w:sz w:val="22"/>
                <w:szCs w:val="22"/>
              </w:rPr>
              <w:t>Disagreement among HCT about GOC</w:t>
            </w:r>
          </w:p>
        </w:tc>
        <w:tc>
          <w:tcPr>
            <w:tcW w:w="906" w:type="dxa"/>
          </w:tcPr>
          <w:p w14:paraId="3BE412B0" w14:textId="363290EF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3A57C3">
              <w:rPr>
                <w:rFonts w:cs="Arial"/>
                <w:sz w:val="22"/>
                <w:szCs w:val="22"/>
              </w:rPr>
              <w:t>5.1</w:t>
            </w:r>
          </w:p>
        </w:tc>
        <w:tc>
          <w:tcPr>
            <w:tcW w:w="980" w:type="dxa"/>
          </w:tcPr>
          <w:p w14:paraId="5AD646DD" w14:textId="60660F4E" w:rsidR="000B69FD" w:rsidRPr="003A57C3" w:rsidRDefault="005C71C5" w:rsidP="000B69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4.8, 5.5</w:t>
            </w:r>
          </w:p>
        </w:tc>
      </w:tr>
      <w:tr w:rsidR="005C71C5" w:rsidRPr="003A57C3" w14:paraId="4A4BA606" w14:textId="69696DEA" w:rsidTr="003A1FD8">
        <w:tc>
          <w:tcPr>
            <w:tcW w:w="6574" w:type="dxa"/>
          </w:tcPr>
          <w:p w14:paraId="1D8D79E0" w14:textId="77777777" w:rsidR="000B69FD" w:rsidRPr="003A57C3" w:rsidRDefault="000B69FD" w:rsidP="003A57C3">
            <w:pPr>
              <w:rPr>
                <w:sz w:val="22"/>
                <w:szCs w:val="22"/>
              </w:rPr>
            </w:pPr>
            <w:r w:rsidRPr="003A57C3">
              <w:rPr>
                <w:sz w:val="22"/>
                <w:szCs w:val="22"/>
              </w:rPr>
              <w:t>Uncertainty of who is the SDM</w:t>
            </w:r>
          </w:p>
        </w:tc>
        <w:tc>
          <w:tcPr>
            <w:tcW w:w="906" w:type="dxa"/>
          </w:tcPr>
          <w:p w14:paraId="57895340" w14:textId="04C5D7F2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3A57C3">
              <w:rPr>
                <w:rFonts w:cs="Arial"/>
                <w:sz w:val="22"/>
                <w:szCs w:val="22"/>
              </w:rPr>
              <w:t>5.1</w:t>
            </w:r>
          </w:p>
        </w:tc>
        <w:tc>
          <w:tcPr>
            <w:tcW w:w="980" w:type="dxa"/>
          </w:tcPr>
          <w:p w14:paraId="0CAA9DDA" w14:textId="46660CFC" w:rsidR="000B69FD" w:rsidRPr="003A57C3" w:rsidRDefault="005C71C5" w:rsidP="000B69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4.8, 5.4</w:t>
            </w:r>
          </w:p>
        </w:tc>
      </w:tr>
      <w:tr w:rsidR="005C71C5" w:rsidRPr="003A57C3" w14:paraId="2CE071C4" w14:textId="087660A2" w:rsidTr="003A1FD8">
        <w:tc>
          <w:tcPr>
            <w:tcW w:w="6574" w:type="dxa"/>
          </w:tcPr>
          <w:p w14:paraId="532D23F9" w14:textId="77777777" w:rsidR="000B69FD" w:rsidRPr="003A57C3" w:rsidRDefault="000B69FD" w:rsidP="003A57C3">
            <w:pPr>
              <w:rPr>
                <w:sz w:val="22"/>
                <w:szCs w:val="22"/>
              </w:rPr>
            </w:pPr>
            <w:r w:rsidRPr="003A57C3">
              <w:rPr>
                <w:sz w:val="22"/>
                <w:szCs w:val="22"/>
              </w:rPr>
              <w:t>Lack of pre-existing relationship w patient/family</w:t>
            </w:r>
          </w:p>
        </w:tc>
        <w:tc>
          <w:tcPr>
            <w:tcW w:w="906" w:type="dxa"/>
          </w:tcPr>
          <w:p w14:paraId="05C9E19A" w14:textId="78AEB75A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3A57C3">
              <w:rPr>
                <w:rFonts w:cs="Arial"/>
                <w:sz w:val="22"/>
                <w:szCs w:val="22"/>
              </w:rPr>
              <w:t>4.8</w:t>
            </w:r>
          </w:p>
        </w:tc>
        <w:tc>
          <w:tcPr>
            <w:tcW w:w="980" w:type="dxa"/>
          </w:tcPr>
          <w:p w14:paraId="4065CF50" w14:textId="540CFDBB" w:rsidR="000B69FD" w:rsidRPr="003A57C3" w:rsidRDefault="005C71C5" w:rsidP="000B69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4.4, 5.2</w:t>
            </w:r>
          </w:p>
        </w:tc>
      </w:tr>
      <w:tr w:rsidR="005C71C5" w:rsidRPr="003A57C3" w14:paraId="1DCE2F39" w14:textId="1CCF0D33" w:rsidTr="003A1FD8">
        <w:tc>
          <w:tcPr>
            <w:tcW w:w="6574" w:type="dxa"/>
          </w:tcPr>
          <w:p w14:paraId="3979351C" w14:textId="77777777" w:rsidR="000B69FD" w:rsidRPr="003A57C3" w:rsidRDefault="000B69FD" w:rsidP="003A57C3">
            <w:pPr>
              <w:rPr>
                <w:sz w:val="22"/>
                <w:szCs w:val="22"/>
              </w:rPr>
            </w:pPr>
            <w:r w:rsidRPr="003A57C3">
              <w:rPr>
                <w:sz w:val="22"/>
                <w:szCs w:val="22"/>
              </w:rPr>
              <w:t>Lack of appropriate location</w:t>
            </w:r>
          </w:p>
        </w:tc>
        <w:tc>
          <w:tcPr>
            <w:tcW w:w="906" w:type="dxa"/>
          </w:tcPr>
          <w:p w14:paraId="79F742E4" w14:textId="265748B8" w:rsidR="000B69FD" w:rsidRPr="003A57C3" w:rsidRDefault="000B69FD" w:rsidP="000B69FD">
            <w:pPr>
              <w:jc w:val="center"/>
              <w:rPr>
                <w:rFonts w:cs="Arial"/>
                <w:sz w:val="22"/>
                <w:szCs w:val="22"/>
              </w:rPr>
            </w:pPr>
            <w:r w:rsidRPr="003A57C3">
              <w:rPr>
                <w:rFonts w:cs="Arial"/>
                <w:sz w:val="22"/>
                <w:szCs w:val="22"/>
              </w:rPr>
              <w:t>4.6</w:t>
            </w:r>
          </w:p>
        </w:tc>
        <w:tc>
          <w:tcPr>
            <w:tcW w:w="980" w:type="dxa"/>
          </w:tcPr>
          <w:p w14:paraId="4E3A2EE6" w14:textId="116ED524" w:rsidR="000B69FD" w:rsidRPr="003A57C3" w:rsidRDefault="005C71C5" w:rsidP="000B69FD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4.2, 5.1</w:t>
            </w:r>
          </w:p>
        </w:tc>
      </w:tr>
      <w:tr w:rsidR="005C71C5" w:rsidRPr="003A57C3" w14:paraId="4C69A928" w14:textId="29261170" w:rsidTr="003A1FD8">
        <w:tc>
          <w:tcPr>
            <w:tcW w:w="8630" w:type="dxa"/>
            <w:gridSpan w:val="3"/>
          </w:tcPr>
          <w:p w14:paraId="3477AE09" w14:textId="1CC8BA9F" w:rsidR="005C71C5" w:rsidRPr="003A57C3" w:rsidRDefault="005C71C5" w:rsidP="003A57C3">
            <w:pPr>
              <w:rPr>
                <w:b/>
                <w:sz w:val="22"/>
                <w:szCs w:val="22"/>
              </w:rPr>
            </w:pPr>
            <w:r w:rsidRPr="003A57C3">
              <w:rPr>
                <w:b/>
                <w:sz w:val="22"/>
                <w:szCs w:val="22"/>
              </w:rPr>
              <w:t>Barriers Related to Physician roles (Nurses Only)</w:t>
            </w:r>
          </w:p>
        </w:tc>
      </w:tr>
      <w:tr w:rsidR="005C71C5" w:rsidRPr="003A57C3" w14:paraId="47FF8CE8" w14:textId="77777777" w:rsidTr="003A1FD8">
        <w:tc>
          <w:tcPr>
            <w:tcW w:w="6574" w:type="dxa"/>
          </w:tcPr>
          <w:p w14:paraId="28A366BD" w14:textId="77777777" w:rsidR="000B69FD" w:rsidRPr="003A57C3" w:rsidRDefault="000B69FD" w:rsidP="003A57C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14:paraId="1FA92226" w14:textId="29BFD5A0" w:rsidR="000B69FD" w:rsidRPr="003A57C3" w:rsidRDefault="000B69FD" w:rsidP="000B69FD">
            <w:pPr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0B69FD">
              <w:rPr>
                <w:rFonts w:cs="Arial"/>
                <w:b/>
                <w:sz w:val="22"/>
                <w:szCs w:val="22"/>
              </w:rPr>
              <w:t>Mean</w:t>
            </w:r>
          </w:p>
        </w:tc>
        <w:tc>
          <w:tcPr>
            <w:tcW w:w="980" w:type="dxa"/>
          </w:tcPr>
          <w:p w14:paraId="368FDC34" w14:textId="3F7316CE" w:rsidR="000B69FD" w:rsidRPr="003A57C3" w:rsidRDefault="000B69FD" w:rsidP="000B69FD">
            <w:pPr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0B69FD">
              <w:rPr>
                <w:rFonts w:cs="Arial"/>
                <w:b/>
                <w:sz w:val="22"/>
                <w:szCs w:val="22"/>
              </w:rPr>
              <w:t>95% CI</w:t>
            </w:r>
          </w:p>
        </w:tc>
      </w:tr>
      <w:tr w:rsidR="005C71C5" w:rsidRPr="003A57C3" w14:paraId="08CA800F" w14:textId="6E5C5985" w:rsidTr="003A1FD8">
        <w:tc>
          <w:tcPr>
            <w:tcW w:w="6574" w:type="dxa"/>
          </w:tcPr>
          <w:p w14:paraId="0C8B3A3A" w14:textId="77777777" w:rsidR="000B69FD" w:rsidRPr="003A57C3" w:rsidRDefault="000B69FD" w:rsidP="003A57C3">
            <w:pPr>
              <w:rPr>
                <w:color w:val="000000" w:themeColor="text1"/>
                <w:sz w:val="22"/>
                <w:szCs w:val="22"/>
              </w:rPr>
            </w:pPr>
            <w:r w:rsidRPr="003A57C3">
              <w:rPr>
                <w:color w:val="000000" w:themeColor="text1"/>
                <w:sz w:val="22"/>
                <w:szCs w:val="22"/>
              </w:rPr>
              <w:t>Lack of time</w:t>
            </w:r>
          </w:p>
        </w:tc>
        <w:tc>
          <w:tcPr>
            <w:tcW w:w="906" w:type="dxa"/>
          </w:tcPr>
          <w:p w14:paraId="54457C9D" w14:textId="02E03662" w:rsidR="000B69FD" w:rsidRPr="003A57C3" w:rsidRDefault="000B69FD" w:rsidP="000B69FD">
            <w:pPr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3A57C3">
              <w:rPr>
                <w:rFonts w:cs="Arial"/>
                <w:bCs/>
                <w:color w:val="000000" w:themeColor="text1"/>
                <w:sz w:val="22"/>
                <w:szCs w:val="22"/>
              </w:rPr>
              <w:t>5.</w:t>
            </w: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80" w:type="dxa"/>
          </w:tcPr>
          <w:p w14:paraId="67E343BE" w14:textId="63F37043" w:rsidR="000B69FD" w:rsidRPr="003A57C3" w:rsidRDefault="005C71C5" w:rsidP="000B69FD">
            <w:pPr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5.2, 6.3</w:t>
            </w:r>
          </w:p>
        </w:tc>
      </w:tr>
      <w:tr w:rsidR="005C71C5" w:rsidRPr="003A57C3" w14:paraId="30208FE2" w14:textId="14AAB6C1" w:rsidTr="003A1FD8">
        <w:tc>
          <w:tcPr>
            <w:tcW w:w="6574" w:type="dxa"/>
          </w:tcPr>
          <w:p w14:paraId="5B9F7DF0" w14:textId="77777777" w:rsidR="000B69FD" w:rsidRPr="003A57C3" w:rsidRDefault="000B69FD" w:rsidP="003A57C3">
            <w:pPr>
              <w:rPr>
                <w:color w:val="000000" w:themeColor="text1"/>
                <w:sz w:val="22"/>
                <w:szCs w:val="22"/>
              </w:rPr>
            </w:pPr>
            <w:r w:rsidRPr="003A57C3">
              <w:rPr>
                <w:color w:val="000000" w:themeColor="text1"/>
                <w:sz w:val="22"/>
                <w:szCs w:val="22"/>
              </w:rPr>
              <w:t>Lack of communication skills</w:t>
            </w:r>
          </w:p>
        </w:tc>
        <w:tc>
          <w:tcPr>
            <w:tcW w:w="906" w:type="dxa"/>
          </w:tcPr>
          <w:p w14:paraId="10AF4CC3" w14:textId="00D28CE5" w:rsidR="000B69FD" w:rsidRPr="003A57C3" w:rsidRDefault="000B69FD" w:rsidP="000B69FD">
            <w:pPr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3A57C3">
              <w:rPr>
                <w:rFonts w:cs="Arial"/>
                <w:bCs/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980" w:type="dxa"/>
          </w:tcPr>
          <w:p w14:paraId="7431BEB6" w14:textId="0D269E4C" w:rsidR="000B69FD" w:rsidRPr="003A57C3" w:rsidRDefault="005C71C5" w:rsidP="000B69FD">
            <w:pPr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4.6, 5.8</w:t>
            </w:r>
          </w:p>
        </w:tc>
      </w:tr>
      <w:tr w:rsidR="005C71C5" w:rsidRPr="003A57C3" w14:paraId="252DD1D0" w14:textId="336E3997" w:rsidTr="003A1FD8">
        <w:tc>
          <w:tcPr>
            <w:tcW w:w="6574" w:type="dxa"/>
          </w:tcPr>
          <w:p w14:paraId="6C3CB009" w14:textId="77777777" w:rsidR="000B69FD" w:rsidRPr="003A57C3" w:rsidRDefault="000B69FD" w:rsidP="003A57C3">
            <w:pPr>
              <w:rPr>
                <w:color w:val="000000" w:themeColor="text1"/>
                <w:sz w:val="22"/>
                <w:szCs w:val="22"/>
              </w:rPr>
            </w:pPr>
            <w:r w:rsidRPr="003A57C3">
              <w:rPr>
                <w:color w:val="000000" w:themeColor="text1"/>
                <w:sz w:val="22"/>
                <w:szCs w:val="22"/>
              </w:rPr>
              <w:t>Multiple physicians looking after single patient</w:t>
            </w:r>
          </w:p>
        </w:tc>
        <w:tc>
          <w:tcPr>
            <w:tcW w:w="906" w:type="dxa"/>
          </w:tcPr>
          <w:p w14:paraId="6F3A286D" w14:textId="0D317E65" w:rsidR="000B69FD" w:rsidRPr="003A57C3" w:rsidRDefault="000B69FD" w:rsidP="000B69FD">
            <w:pPr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3A57C3">
              <w:rPr>
                <w:rFonts w:cs="Arial"/>
                <w:bCs/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980" w:type="dxa"/>
          </w:tcPr>
          <w:p w14:paraId="26A417DF" w14:textId="1D9388ED" w:rsidR="000B69FD" w:rsidRPr="003A57C3" w:rsidRDefault="005C71C5" w:rsidP="000B69FD">
            <w:pPr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4.7, 5.7</w:t>
            </w:r>
          </w:p>
        </w:tc>
      </w:tr>
      <w:tr w:rsidR="005C71C5" w:rsidRPr="003A57C3" w14:paraId="2FE6020E" w14:textId="00347A77" w:rsidTr="003A1FD8">
        <w:tc>
          <w:tcPr>
            <w:tcW w:w="6574" w:type="dxa"/>
          </w:tcPr>
          <w:p w14:paraId="69D6E7E9" w14:textId="77777777" w:rsidR="000B69FD" w:rsidRPr="003A57C3" w:rsidRDefault="000B69FD" w:rsidP="003A57C3">
            <w:pPr>
              <w:rPr>
                <w:color w:val="000000" w:themeColor="text1"/>
                <w:sz w:val="22"/>
                <w:szCs w:val="22"/>
              </w:rPr>
            </w:pPr>
            <w:r w:rsidRPr="003A57C3">
              <w:rPr>
                <w:color w:val="000000" w:themeColor="text1"/>
                <w:sz w:val="22"/>
                <w:szCs w:val="22"/>
              </w:rPr>
              <w:t>Attitudes or beliefs about life sustaining therapy</w:t>
            </w:r>
          </w:p>
        </w:tc>
        <w:tc>
          <w:tcPr>
            <w:tcW w:w="906" w:type="dxa"/>
          </w:tcPr>
          <w:p w14:paraId="748BBD31" w14:textId="18B37AD6" w:rsidR="000B69FD" w:rsidRPr="003A57C3" w:rsidRDefault="000B69FD" w:rsidP="000B69FD">
            <w:pPr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3A57C3">
              <w:rPr>
                <w:rFonts w:cs="Arial"/>
                <w:bCs/>
                <w:color w:val="000000" w:themeColor="text1"/>
                <w:sz w:val="22"/>
                <w:szCs w:val="22"/>
              </w:rPr>
              <w:t>5.0</w:t>
            </w:r>
          </w:p>
        </w:tc>
        <w:tc>
          <w:tcPr>
            <w:tcW w:w="980" w:type="dxa"/>
          </w:tcPr>
          <w:p w14:paraId="784AE066" w14:textId="3FF8B23B" w:rsidR="000B69FD" w:rsidRPr="003A57C3" w:rsidRDefault="005C71C5" w:rsidP="000B69FD">
            <w:pPr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4.4, 5.6</w:t>
            </w:r>
          </w:p>
        </w:tc>
      </w:tr>
      <w:tr w:rsidR="005C71C5" w:rsidRPr="003A57C3" w14:paraId="72B9D559" w14:textId="6B8F9999" w:rsidTr="003A1FD8">
        <w:tc>
          <w:tcPr>
            <w:tcW w:w="6574" w:type="dxa"/>
          </w:tcPr>
          <w:p w14:paraId="25E9934D" w14:textId="77777777" w:rsidR="000B69FD" w:rsidRPr="003A57C3" w:rsidRDefault="000B69FD" w:rsidP="003A57C3">
            <w:pPr>
              <w:rPr>
                <w:color w:val="000000" w:themeColor="text1"/>
                <w:sz w:val="22"/>
                <w:szCs w:val="22"/>
              </w:rPr>
            </w:pPr>
            <w:r w:rsidRPr="003A57C3">
              <w:rPr>
                <w:color w:val="000000" w:themeColor="text1"/>
                <w:sz w:val="22"/>
                <w:szCs w:val="22"/>
              </w:rPr>
              <w:t>Desire to avoid conflict or strong emotions</w:t>
            </w:r>
          </w:p>
        </w:tc>
        <w:tc>
          <w:tcPr>
            <w:tcW w:w="906" w:type="dxa"/>
          </w:tcPr>
          <w:p w14:paraId="0CC4BE01" w14:textId="38E48DE6" w:rsidR="000B69FD" w:rsidRPr="003A57C3" w:rsidRDefault="000B69FD" w:rsidP="000B69FD">
            <w:pPr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3A57C3">
              <w:rPr>
                <w:rFonts w:cs="Arial"/>
                <w:bCs/>
                <w:color w:val="000000" w:themeColor="text1"/>
                <w:sz w:val="22"/>
                <w:szCs w:val="22"/>
              </w:rPr>
              <w:t>5.</w:t>
            </w: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80" w:type="dxa"/>
          </w:tcPr>
          <w:p w14:paraId="7F04640F" w14:textId="42DA5BDF" w:rsidR="000B69FD" w:rsidRPr="003A57C3" w:rsidRDefault="005C71C5" w:rsidP="000B69FD">
            <w:pPr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4.5, 5.6</w:t>
            </w:r>
          </w:p>
        </w:tc>
      </w:tr>
      <w:tr w:rsidR="005C71C5" w:rsidRPr="003A57C3" w14:paraId="0F2D7628" w14:textId="667F9FCA" w:rsidTr="003A1FD8">
        <w:tc>
          <w:tcPr>
            <w:tcW w:w="6574" w:type="dxa"/>
          </w:tcPr>
          <w:p w14:paraId="5E3A9EE2" w14:textId="77777777" w:rsidR="000B69FD" w:rsidRPr="003A57C3" w:rsidRDefault="000B69FD" w:rsidP="003A57C3">
            <w:pPr>
              <w:rPr>
                <w:color w:val="000000" w:themeColor="text1"/>
                <w:sz w:val="22"/>
                <w:szCs w:val="22"/>
              </w:rPr>
            </w:pPr>
            <w:r w:rsidRPr="003A57C3">
              <w:rPr>
                <w:color w:val="000000" w:themeColor="text1"/>
                <w:sz w:val="22"/>
                <w:szCs w:val="22"/>
              </w:rPr>
              <w:t xml:space="preserve">Inpatient Admitting Oncologists’ Expertise is in another cancer </w:t>
            </w:r>
          </w:p>
        </w:tc>
        <w:tc>
          <w:tcPr>
            <w:tcW w:w="906" w:type="dxa"/>
          </w:tcPr>
          <w:p w14:paraId="09EE1F25" w14:textId="15D2DE15" w:rsidR="000B69FD" w:rsidRPr="003A57C3" w:rsidRDefault="000B69FD" w:rsidP="000B69FD">
            <w:pPr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3A57C3">
              <w:rPr>
                <w:rFonts w:cs="Arial"/>
                <w:bCs/>
                <w:color w:val="000000" w:themeColor="text1"/>
                <w:sz w:val="22"/>
                <w:szCs w:val="22"/>
              </w:rPr>
              <w:t>4.5</w:t>
            </w:r>
          </w:p>
        </w:tc>
        <w:tc>
          <w:tcPr>
            <w:tcW w:w="980" w:type="dxa"/>
          </w:tcPr>
          <w:p w14:paraId="4921EA77" w14:textId="0E4ED9AA" w:rsidR="000B69FD" w:rsidRPr="003A57C3" w:rsidRDefault="005C71C5" w:rsidP="000B69FD">
            <w:pPr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3.9, 5.2</w:t>
            </w:r>
          </w:p>
        </w:tc>
      </w:tr>
      <w:tr w:rsidR="005C71C5" w:rsidRPr="003A57C3" w14:paraId="42742D5B" w14:textId="352CA827" w:rsidTr="003A1FD8">
        <w:tc>
          <w:tcPr>
            <w:tcW w:w="6574" w:type="dxa"/>
          </w:tcPr>
          <w:p w14:paraId="5E1A9A58" w14:textId="77777777" w:rsidR="000B69FD" w:rsidRPr="003A57C3" w:rsidRDefault="000B69FD" w:rsidP="003A57C3">
            <w:pPr>
              <w:rPr>
                <w:color w:val="000000" w:themeColor="text1"/>
                <w:sz w:val="22"/>
                <w:szCs w:val="22"/>
              </w:rPr>
            </w:pPr>
            <w:r w:rsidRPr="003A57C3">
              <w:rPr>
                <w:color w:val="000000" w:themeColor="text1"/>
                <w:sz w:val="22"/>
                <w:szCs w:val="22"/>
              </w:rPr>
              <w:t>In-hospital physicians feel role more appropriate for GP</w:t>
            </w:r>
          </w:p>
        </w:tc>
        <w:tc>
          <w:tcPr>
            <w:tcW w:w="906" w:type="dxa"/>
          </w:tcPr>
          <w:p w14:paraId="3DA01C8D" w14:textId="3B42CEB5" w:rsidR="000B69FD" w:rsidRPr="003A57C3" w:rsidRDefault="000B69FD" w:rsidP="000B69FD">
            <w:pPr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 w:rsidRPr="003A57C3">
              <w:rPr>
                <w:rFonts w:cs="Arial"/>
                <w:bCs/>
                <w:color w:val="000000" w:themeColor="text1"/>
                <w:sz w:val="22"/>
                <w:szCs w:val="22"/>
              </w:rPr>
              <w:t>4.2</w:t>
            </w:r>
          </w:p>
        </w:tc>
        <w:tc>
          <w:tcPr>
            <w:tcW w:w="980" w:type="dxa"/>
          </w:tcPr>
          <w:p w14:paraId="0D3BC09B" w14:textId="0200F49A" w:rsidR="000B69FD" w:rsidRPr="003A57C3" w:rsidRDefault="005C71C5" w:rsidP="000B69FD">
            <w:pPr>
              <w:jc w:val="center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Cs/>
                <w:color w:val="000000" w:themeColor="text1"/>
                <w:sz w:val="22"/>
                <w:szCs w:val="22"/>
              </w:rPr>
              <w:t>3.4, 5.0</w:t>
            </w:r>
          </w:p>
        </w:tc>
      </w:tr>
    </w:tbl>
    <w:p w14:paraId="70794606" w14:textId="77777777" w:rsidR="00420A9A" w:rsidRPr="00B468D8" w:rsidRDefault="00420A9A" w:rsidP="003A57C3">
      <w:bookmarkStart w:id="0" w:name="_GoBack"/>
      <w:bookmarkEnd w:id="0"/>
    </w:p>
    <w:sectPr w:rsidR="00420A9A" w:rsidRPr="00B468D8" w:rsidSect="007607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4B"/>
    <w:rsid w:val="000B69FD"/>
    <w:rsid w:val="000F59BB"/>
    <w:rsid w:val="00391FD1"/>
    <w:rsid w:val="003A1FD8"/>
    <w:rsid w:val="003A57C3"/>
    <w:rsid w:val="003F0843"/>
    <w:rsid w:val="003F1EF4"/>
    <w:rsid w:val="00420A9A"/>
    <w:rsid w:val="004A6B4B"/>
    <w:rsid w:val="004F50A4"/>
    <w:rsid w:val="00527437"/>
    <w:rsid w:val="005C71C5"/>
    <w:rsid w:val="006E022D"/>
    <w:rsid w:val="007115CA"/>
    <w:rsid w:val="007607AD"/>
    <w:rsid w:val="007E4CE5"/>
    <w:rsid w:val="00913905"/>
    <w:rsid w:val="00922D14"/>
    <w:rsid w:val="009755E2"/>
    <w:rsid w:val="009E1DAA"/>
    <w:rsid w:val="009F1111"/>
    <w:rsid w:val="00A06AFC"/>
    <w:rsid w:val="00B468D8"/>
    <w:rsid w:val="00B54C6D"/>
    <w:rsid w:val="00E20253"/>
    <w:rsid w:val="00E61675"/>
    <w:rsid w:val="00E74612"/>
    <w:rsid w:val="00F00096"/>
    <w:rsid w:val="00F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8678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1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61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6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Piggott</dc:creator>
  <cp:keywords/>
  <dc:description/>
  <cp:lastModifiedBy>Katrina Piggott</cp:lastModifiedBy>
  <cp:revision>6</cp:revision>
  <dcterms:created xsi:type="dcterms:W3CDTF">2017-10-04T19:48:00Z</dcterms:created>
  <dcterms:modified xsi:type="dcterms:W3CDTF">2018-07-24T19:59:00Z</dcterms:modified>
</cp:coreProperties>
</file>