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42" w:rsidRDefault="00632D42" w:rsidP="00195BC7">
      <w:pPr>
        <w:spacing w:line="480" w:lineRule="auto"/>
        <w:rPr>
          <w:rFonts w:ascii="Times New Roman" w:hAnsi="Times New Roman"/>
          <w:b/>
          <w:sz w:val="24"/>
          <w:szCs w:val="24"/>
        </w:rPr>
        <w:sectPr w:rsidR="00632D42" w:rsidSect="007F79C8">
          <w:type w:val="continuous"/>
          <w:pgSz w:w="11906" w:h="16838"/>
          <w:pgMar w:top="1440" w:right="1440" w:bottom="1701" w:left="1440" w:header="720" w:footer="720" w:gutter="0"/>
          <w:cols w:space="720"/>
          <w:docGrid w:linePitch="360"/>
        </w:sectPr>
      </w:pPr>
      <w:r>
        <w:rPr>
          <w:rFonts w:ascii="Times New Roman" w:hAnsi="Times New Roman" w:hint="eastAsia"/>
          <w:b/>
          <w:sz w:val="24"/>
          <w:szCs w:val="24"/>
        </w:rPr>
        <w:t xml:space="preserve">Additional file 1: Table S1. </w:t>
      </w:r>
      <w:r w:rsidRPr="00632D42">
        <w:rPr>
          <w:rFonts w:ascii="Times New Roman" w:hAnsi="Times New Roman"/>
          <w:sz w:val="24"/>
          <w:szCs w:val="24"/>
        </w:rPr>
        <w:t xml:space="preserve">Genes identified as up-regulated by overexpression of </w:t>
      </w:r>
      <w:proofErr w:type="spellStart"/>
      <w:r w:rsidRPr="00632D42">
        <w:rPr>
          <w:rFonts w:ascii="Times New Roman" w:hAnsi="Times New Roman"/>
          <w:i/>
          <w:sz w:val="24"/>
          <w:szCs w:val="24"/>
        </w:rPr>
        <w:t>frhAGB</w:t>
      </w:r>
      <w:proofErr w:type="spellEnd"/>
      <w:r w:rsidRPr="00632D42">
        <w:rPr>
          <w:rFonts w:ascii="Times New Roman" w:hAnsi="Times New Roman"/>
          <w:sz w:val="24"/>
          <w:szCs w:val="24"/>
        </w:rPr>
        <w:t xml:space="preserve"> genes based on the transcriptome analysis</w:t>
      </w:r>
      <w:r w:rsidRPr="00632D42">
        <w:rPr>
          <w:rFonts w:ascii="Times New Roman" w:hAnsi="Times New Roman" w:hint="eastAsia"/>
          <w:sz w:val="24"/>
          <w:szCs w:val="24"/>
        </w:rPr>
        <w:t>.</w:t>
      </w:r>
      <w:r>
        <w:rPr>
          <w:rFonts w:ascii="Times New Roman" w:hAnsi="Times New Roman" w:hint="eastAsia"/>
          <w:b/>
          <w:sz w:val="24"/>
          <w:szCs w:val="24"/>
        </w:rPr>
        <w:t xml:space="preserve"> Table S2. </w:t>
      </w:r>
      <w:r w:rsidRPr="00632D42">
        <w:rPr>
          <w:rFonts w:ascii="Times New Roman" w:hAnsi="Times New Roman"/>
          <w:sz w:val="24"/>
          <w:szCs w:val="24"/>
        </w:rPr>
        <w:t xml:space="preserve">Genes identified as down-regulated by overexpression of </w:t>
      </w:r>
      <w:proofErr w:type="spellStart"/>
      <w:r w:rsidRPr="00632D42">
        <w:rPr>
          <w:rFonts w:ascii="Times New Roman" w:hAnsi="Times New Roman"/>
          <w:i/>
          <w:sz w:val="24"/>
          <w:szCs w:val="24"/>
        </w:rPr>
        <w:t>frhAGB</w:t>
      </w:r>
      <w:proofErr w:type="spellEnd"/>
      <w:r w:rsidRPr="00632D42">
        <w:rPr>
          <w:rFonts w:ascii="Times New Roman" w:hAnsi="Times New Roman"/>
          <w:sz w:val="24"/>
          <w:szCs w:val="24"/>
        </w:rPr>
        <w:t xml:space="preserve"> genes based on the transcriptome analysis</w:t>
      </w:r>
      <w:r w:rsidRPr="00632D42">
        <w:rPr>
          <w:rFonts w:ascii="Times New Roman" w:hAnsi="Times New Roman" w:hint="eastAsia"/>
          <w:sz w:val="24"/>
          <w:szCs w:val="24"/>
        </w:rPr>
        <w:t>.</w:t>
      </w:r>
      <w:r>
        <w:rPr>
          <w:rFonts w:ascii="Times New Roman" w:hAnsi="Times New Roman" w:hint="eastAsia"/>
          <w:sz w:val="24"/>
          <w:szCs w:val="24"/>
        </w:rPr>
        <w:t xml:space="preserve"> </w:t>
      </w:r>
      <w:r w:rsidRPr="00632D42">
        <w:rPr>
          <w:rFonts w:ascii="Times New Roman" w:hAnsi="Times New Roman" w:hint="eastAsia"/>
          <w:b/>
          <w:sz w:val="24"/>
          <w:szCs w:val="24"/>
        </w:rPr>
        <w:t>Figure S1.</w:t>
      </w:r>
      <w:r>
        <w:rPr>
          <w:rFonts w:ascii="Times New Roman" w:hAnsi="Times New Roman" w:hint="eastAsia"/>
          <w:sz w:val="24"/>
          <w:szCs w:val="24"/>
        </w:rPr>
        <w:t xml:space="preserve"> </w:t>
      </w:r>
      <w:proofErr w:type="gramStart"/>
      <w:r w:rsidRPr="00D80FC7">
        <w:rPr>
          <w:rFonts w:ascii="Times New Roman" w:hAnsi="Times New Roman"/>
          <w:sz w:val="24"/>
          <w:szCs w:val="24"/>
        </w:rPr>
        <w:t>Construction of</w:t>
      </w:r>
      <w:r w:rsidR="003A5546">
        <w:rPr>
          <w:rFonts w:ascii="Times New Roman" w:hAnsi="Times New Roman" w:hint="eastAsia"/>
          <w:sz w:val="24"/>
          <w:szCs w:val="24"/>
        </w:rPr>
        <w:t xml:space="preserve"> the</w:t>
      </w:r>
      <w:r w:rsidR="00522182">
        <w:rPr>
          <w:rFonts w:ascii="Times New Roman" w:hAnsi="Times New Roman" w:hint="eastAsia"/>
          <w:sz w:val="24"/>
          <w:szCs w:val="24"/>
        </w:rPr>
        <w:t xml:space="preserve"> </w:t>
      </w:r>
      <w:r w:rsidRPr="00D80FC7">
        <w:rPr>
          <w:rFonts w:ascii="Times New Roman" w:hAnsi="Times New Roman"/>
          <w:sz w:val="24"/>
          <w:szCs w:val="24"/>
        </w:rPr>
        <w:t xml:space="preserve">FO </w:t>
      </w:r>
      <w:r w:rsidR="00A045CE">
        <w:rPr>
          <w:rFonts w:ascii="Times New Roman" w:hAnsi="Times New Roman" w:hint="eastAsia"/>
          <w:sz w:val="24"/>
          <w:szCs w:val="24"/>
        </w:rPr>
        <w:t>strain</w:t>
      </w:r>
      <w:r>
        <w:rPr>
          <w:rFonts w:ascii="Times New Roman" w:hAnsi="Times New Roman" w:hint="eastAsia"/>
          <w:sz w:val="24"/>
          <w:szCs w:val="24"/>
        </w:rPr>
        <w:t>.</w:t>
      </w:r>
      <w:proofErr w:type="gramEnd"/>
      <w:r>
        <w:rPr>
          <w:rFonts w:ascii="Times New Roman" w:hAnsi="Times New Roman" w:hint="eastAsia"/>
          <w:sz w:val="24"/>
          <w:szCs w:val="24"/>
        </w:rPr>
        <w:t xml:space="preserve"> </w:t>
      </w:r>
      <w:r w:rsidRPr="00632D42">
        <w:rPr>
          <w:rFonts w:ascii="Times New Roman" w:hAnsi="Times New Roman" w:hint="eastAsia"/>
          <w:b/>
          <w:sz w:val="24"/>
          <w:szCs w:val="24"/>
        </w:rPr>
        <w:t>Figure S2.</w:t>
      </w:r>
      <w:r>
        <w:rPr>
          <w:rFonts w:ascii="Times New Roman" w:hAnsi="Times New Roman" w:hint="eastAsia"/>
          <w:sz w:val="24"/>
          <w:szCs w:val="24"/>
        </w:rPr>
        <w:t xml:space="preserve"> </w:t>
      </w:r>
      <w:r w:rsidRPr="00D80FC7">
        <w:rPr>
          <w:rFonts w:ascii="Times New Roman" w:hAnsi="Times New Roman"/>
          <w:sz w:val="24"/>
          <w:szCs w:val="24"/>
        </w:rPr>
        <w:t>Protein level of Mfh2 in the wild-type and FO</w:t>
      </w:r>
      <w:r w:rsidR="00522182">
        <w:rPr>
          <w:rFonts w:ascii="Times New Roman" w:hAnsi="Times New Roman" w:hint="eastAsia"/>
          <w:sz w:val="24"/>
          <w:szCs w:val="24"/>
        </w:rPr>
        <w:t xml:space="preserve"> </w:t>
      </w:r>
      <w:r w:rsidRPr="00D80FC7">
        <w:rPr>
          <w:rFonts w:ascii="Times New Roman" w:hAnsi="Times New Roman"/>
          <w:sz w:val="24"/>
          <w:szCs w:val="24"/>
        </w:rPr>
        <w:t>strains</w:t>
      </w:r>
      <w:bookmarkStart w:id="0" w:name="_GoBack"/>
      <w:bookmarkEnd w:id="0"/>
      <w:r w:rsidRPr="00D80FC7">
        <w:rPr>
          <w:rFonts w:ascii="Times New Roman" w:hAnsi="Times New Roman"/>
          <w:sz w:val="24"/>
          <w:szCs w:val="24"/>
        </w:rPr>
        <w:t>.</w:t>
      </w:r>
      <w:r>
        <w:rPr>
          <w:rFonts w:ascii="Times New Roman" w:hAnsi="Times New Roman" w:hint="eastAsia"/>
          <w:sz w:val="24"/>
          <w:szCs w:val="24"/>
        </w:rPr>
        <w:t xml:space="preserve"> </w:t>
      </w:r>
    </w:p>
    <w:p w:rsidR="00195BC7" w:rsidRPr="00957FC8" w:rsidRDefault="00195BC7" w:rsidP="00195BC7">
      <w:pPr>
        <w:spacing w:line="480" w:lineRule="auto"/>
        <w:rPr>
          <w:rFonts w:ascii="Times New Roman" w:hAnsi="Times New Roman"/>
          <w:b/>
          <w:sz w:val="24"/>
          <w:szCs w:val="24"/>
        </w:rPr>
      </w:pPr>
      <w:r w:rsidRPr="0043479F">
        <w:rPr>
          <w:rFonts w:ascii="Times New Roman" w:hAnsi="Times New Roman"/>
          <w:b/>
          <w:sz w:val="24"/>
          <w:szCs w:val="24"/>
        </w:rPr>
        <w:lastRenderedPageBreak/>
        <w:t xml:space="preserve">Table </w:t>
      </w:r>
      <w:r w:rsidR="009E0699">
        <w:rPr>
          <w:rFonts w:ascii="Times New Roman" w:hAnsi="Times New Roman" w:hint="eastAsia"/>
          <w:b/>
          <w:sz w:val="24"/>
          <w:szCs w:val="24"/>
        </w:rPr>
        <w:t>S</w:t>
      </w:r>
      <w:r w:rsidRPr="0043479F">
        <w:rPr>
          <w:rFonts w:ascii="Times New Roman" w:hAnsi="Times New Roman"/>
          <w:b/>
          <w:sz w:val="24"/>
          <w:szCs w:val="24"/>
        </w:rPr>
        <w:t xml:space="preserve">1 </w:t>
      </w:r>
      <w:r w:rsidRPr="00957FC8">
        <w:rPr>
          <w:rFonts w:ascii="Times New Roman" w:hAnsi="Times New Roman"/>
          <w:b/>
          <w:sz w:val="24"/>
          <w:szCs w:val="24"/>
        </w:rPr>
        <w:t xml:space="preserve">Genes identified as up-regulated by overexpression of </w:t>
      </w:r>
      <w:proofErr w:type="spellStart"/>
      <w:r w:rsidRPr="00957FC8">
        <w:rPr>
          <w:rFonts w:ascii="Times New Roman" w:hAnsi="Times New Roman"/>
          <w:b/>
          <w:i/>
          <w:sz w:val="24"/>
          <w:szCs w:val="24"/>
        </w:rPr>
        <w:t>frhAGB</w:t>
      </w:r>
      <w:proofErr w:type="spellEnd"/>
      <w:r w:rsidRPr="00957FC8">
        <w:rPr>
          <w:rFonts w:ascii="Times New Roman" w:hAnsi="Times New Roman"/>
          <w:b/>
          <w:sz w:val="24"/>
          <w:szCs w:val="24"/>
        </w:rPr>
        <w:t xml:space="preserve"> genes based on the transcriptome analysis</w:t>
      </w:r>
      <w:r w:rsidRPr="00957FC8">
        <w:rPr>
          <w:rFonts w:ascii="Times New Roman" w:hAnsi="Times New Roman" w:hint="eastAsia"/>
          <w:b/>
          <w:sz w:val="24"/>
          <w:szCs w:val="24"/>
        </w:rPr>
        <w:t>.</w:t>
      </w:r>
    </w:p>
    <w:tbl>
      <w:tblPr>
        <w:tblW w:w="13612" w:type="dxa"/>
        <w:tblInd w:w="6" w:type="dxa"/>
        <w:tblCellMar>
          <w:left w:w="0" w:type="dxa"/>
          <w:right w:w="0" w:type="dxa"/>
        </w:tblCellMar>
        <w:tblLook w:val="04A0"/>
      </w:tblPr>
      <w:tblGrid>
        <w:gridCol w:w="1705"/>
        <w:gridCol w:w="6521"/>
        <w:gridCol w:w="2410"/>
        <w:gridCol w:w="1984"/>
        <w:gridCol w:w="992"/>
      </w:tblGrid>
      <w:tr w:rsidR="00195BC7" w:rsidRPr="00D80FC7" w:rsidTr="00D80FC7">
        <w:trPr>
          <w:trHeight w:val="79"/>
        </w:trPr>
        <w:tc>
          <w:tcPr>
            <w:tcW w:w="1705" w:type="dxa"/>
            <w:tcBorders>
              <w:top w:val="single" w:sz="4" w:space="0" w:color="000000"/>
              <w:left w:val="nil"/>
              <w:bottom w:val="single" w:sz="4" w:space="0" w:color="000000"/>
              <w:right w:val="nil"/>
            </w:tcBorders>
            <w:shd w:val="clear" w:color="auto" w:fill="auto"/>
            <w:tcMar>
              <w:top w:w="4" w:type="dxa"/>
              <w:left w:w="4" w:type="dxa"/>
              <w:bottom w:w="0" w:type="dxa"/>
              <w:right w:w="4" w:type="dxa"/>
            </w:tcMar>
            <w:hideMark/>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bCs/>
                <w:kern w:val="24"/>
                <w:sz w:val="24"/>
                <w:szCs w:val="24"/>
              </w:rPr>
              <w:t>Locus tag</w:t>
            </w:r>
          </w:p>
        </w:tc>
        <w:tc>
          <w:tcPr>
            <w:tcW w:w="6521" w:type="dxa"/>
            <w:tcBorders>
              <w:top w:val="single" w:sz="4" w:space="0" w:color="000000"/>
              <w:left w:val="nil"/>
              <w:bottom w:val="single" w:sz="4" w:space="0" w:color="000000"/>
              <w:right w:val="nil"/>
            </w:tcBorders>
            <w:shd w:val="clear" w:color="auto" w:fill="auto"/>
            <w:tcMar>
              <w:top w:w="4" w:type="dxa"/>
              <w:left w:w="4" w:type="dxa"/>
              <w:bottom w:w="0" w:type="dxa"/>
              <w:right w:w="4" w:type="dxa"/>
            </w:tcMar>
            <w:hideMark/>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Annotation</w:t>
            </w:r>
          </w:p>
        </w:tc>
        <w:tc>
          <w:tcPr>
            <w:tcW w:w="2410" w:type="dxa"/>
            <w:tcBorders>
              <w:top w:val="single" w:sz="4" w:space="0" w:color="000000"/>
              <w:left w:val="nil"/>
              <w:bottom w:val="single" w:sz="4" w:space="0" w:color="000000"/>
              <w:right w:val="nil"/>
            </w:tcBorders>
            <w:shd w:val="clear" w:color="auto" w:fill="auto"/>
            <w:tcMar>
              <w:top w:w="4" w:type="dxa"/>
              <w:left w:w="4" w:type="dxa"/>
              <w:bottom w:w="0" w:type="dxa"/>
              <w:right w:w="4" w:type="dxa"/>
            </w:tcMar>
            <w:hideMark/>
          </w:tcPr>
          <w:p w:rsidR="00195BC7" w:rsidRPr="0043479F" w:rsidRDefault="00195BC7" w:rsidP="00195BC7">
            <w:pPr>
              <w:widowControl/>
              <w:autoSpaceDE/>
              <w:autoSpaceDN/>
              <w:spacing w:line="480" w:lineRule="auto"/>
              <w:textAlignment w:val="center"/>
              <w:rPr>
                <w:rFonts w:ascii="Times New Roman" w:eastAsia="Gulim" w:hAnsi="Times New Roman"/>
                <w:bCs/>
                <w:kern w:val="24"/>
                <w:sz w:val="24"/>
                <w:szCs w:val="24"/>
              </w:rPr>
            </w:pPr>
            <w:r w:rsidRPr="0043479F">
              <w:rPr>
                <w:rFonts w:ascii="Times New Roman" w:eastAsia="Gulim" w:hAnsi="Times New Roman"/>
                <w:bCs/>
                <w:kern w:val="24"/>
                <w:sz w:val="24"/>
                <w:szCs w:val="24"/>
              </w:rPr>
              <w:t>Mean intensity ratio</w:t>
            </w:r>
          </w:p>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hAnsi="Times New Roman"/>
                <w:sz w:val="24"/>
                <w:szCs w:val="24"/>
              </w:rPr>
              <w:t>(log</w:t>
            </w:r>
            <w:r w:rsidRPr="0043479F">
              <w:rPr>
                <w:rFonts w:ascii="Times New Roman" w:hAnsi="Times New Roman"/>
                <w:sz w:val="24"/>
                <w:szCs w:val="24"/>
                <w:vertAlign w:val="subscript"/>
              </w:rPr>
              <w:t>2</w:t>
            </w:r>
            <w:r w:rsidRPr="0043479F">
              <w:rPr>
                <w:rFonts w:ascii="Times New Roman" w:hAnsi="Times New Roman"/>
                <w:sz w:val="24"/>
                <w:szCs w:val="24"/>
              </w:rPr>
              <w:t xml:space="preserve"> </w:t>
            </w:r>
            <w:r w:rsidRPr="0043479F">
              <w:rPr>
                <w:rFonts w:ascii="Times New Roman" w:eastAsia="Gulim" w:hAnsi="Times New Roman"/>
                <w:sz w:val="24"/>
                <w:szCs w:val="24"/>
              </w:rPr>
              <w:t>± SD</w:t>
            </w:r>
            <w:r w:rsidRPr="0043479F">
              <w:rPr>
                <w:rFonts w:ascii="Times New Roman" w:hAnsi="Times New Roman"/>
                <w:sz w:val="24"/>
                <w:szCs w:val="24"/>
              </w:rPr>
              <w:t>)</w:t>
            </w:r>
            <w:r w:rsidRPr="0043479F">
              <w:rPr>
                <w:rFonts w:ascii="Times New Roman" w:hAnsi="Times New Roman"/>
                <w:sz w:val="24"/>
                <w:szCs w:val="24"/>
                <w:vertAlign w:val="superscript"/>
              </w:rPr>
              <w:t>a</w:t>
            </w:r>
          </w:p>
        </w:tc>
        <w:tc>
          <w:tcPr>
            <w:tcW w:w="1984" w:type="dxa"/>
            <w:tcBorders>
              <w:top w:val="single" w:sz="4" w:space="0" w:color="000000"/>
              <w:left w:val="nil"/>
              <w:bottom w:val="single" w:sz="4" w:space="0" w:color="000000"/>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bCs/>
                <w:kern w:val="24"/>
                <w:sz w:val="24"/>
                <w:szCs w:val="24"/>
              </w:rPr>
            </w:pPr>
            <w:r w:rsidRPr="0043479F">
              <w:rPr>
                <w:rFonts w:ascii="Times New Roman" w:eastAsia="Gulim" w:hAnsi="Times New Roman"/>
                <w:bCs/>
                <w:kern w:val="24"/>
                <w:sz w:val="24"/>
                <w:szCs w:val="24"/>
              </w:rPr>
              <w:t>Expression ratio</w:t>
            </w:r>
          </w:p>
          <w:p w:rsidR="00195BC7" w:rsidRPr="0043479F" w:rsidRDefault="00195BC7" w:rsidP="00195BC7">
            <w:pPr>
              <w:widowControl/>
              <w:autoSpaceDE/>
              <w:autoSpaceDN/>
              <w:spacing w:line="480" w:lineRule="auto"/>
              <w:textAlignment w:val="center"/>
              <w:rPr>
                <w:rFonts w:ascii="Times New Roman" w:eastAsia="Gulim" w:hAnsi="Times New Roman"/>
                <w:bCs/>
                <w:kern w:val="24"/>
                <w:sz w:val="24"/>
                <w:szCs w:val="24"/>
              </w:rPr>
            </w:pPr>
            <w:r w:rsidRPr="0043479F">
              <w:rPr>
                <w:rFonts w:ascii="Times New Roman" w:eastAsia="Gulim" w:hAnsi="Times New Roman"/>
                <w:bCs/>
                <w:kern w:val="24"/>
                <w:sz w:val="24"/>
                <w:szCs w:val="24"/>
              </w:rPr>
              <w:t>(FO/wild-type)</w:t>
            </w:r>
            <w:r w:rsidRPr="0043479F">
              <w:rPr>
                <w:rFonts w:ascii="Times New Roman" w:eastAsia="Gulim" w:hAnsi="Times New Roman"/>
                <w:bCs/>
                <w:kern w:val="24"/>
                <w:sz w:val="24"/>
                <w:szCs w:val="24"/>
                <w:vertAlign w:val="superscript"/>
              </w:rPr>
              <w:t>b</w:t>
            </w:r>
          </w:p>
        </w:tc>
        <w:tc>
          <w:tcPr>
            <w:tcW w:w="992" w:type="dxa"/>
            <w:tcBorders>
              <w:top w:val="single" w:sz="4" w:space="0" w:color="000000"/>
              <w:left w:val="nil"/>
              <w:bottom w:val="single" w:sz="4" w:space="0" w:color="000000"/>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bCs/>
                <w:kern w:val="24"/>
                <w:sz w:val="24"/>
                <w:szCs w:val="24"/>
              </w:rPr>
            </w:pPr>
            <w:r w:rsidRPr="0043479F">
              <w:rPr>
                <w:rFonts w:ascii="Times New Roman" w:eastAsia="Gulim" w:hAnsi="Times New Roman"/>
                <w:bCs/>
                <w:i/>
                <w:kern w:val="24"/>
                <w:sz w:val="24"/>
                <w:szCs w:val="24"/>
              </w:rPr>
              <w:t>P-</w:t>
            </w:r>
            <w:r w:rsidRPr="0043479F">
              <w:rPr>
                <w:rFonts w:ascii="Times New Roman" w:eastAsia="Gulim" w:hAnsi="Times New Roman"/>
                <w:bCs/>
                <w:kern w:val="24"/>
                <w:sz w:val="24"/>
                <w:szCs w:val="24"/>
              </w:rPr>
              <w:t>value</w:t>
            </w:r>
            <w:r w:rsidRPr="0043479F">
              <w:rPr>
                <w:rFonts w:ascii="Times New Roman" w:hAnsi="Times New Roman"/>
                <w:sz w:val="24"/>
                <w:szCs w:val="24"/>
                <w:vertAlign w:val="superscript"/>
              </w:rPr>
              <w:t xml:space="preserve"> a</w:t>
            </w:r>
          </w:p>
        </w:tc>
      </w:tr>
      <w:tr w:rsidR="00195BC7" w:rsidRPr="00D80FC7" w:rsidTr="00D80FC7">
        <w:trPr>
          <w:trHeight w:val="79"/>
        </w:trPr>
        <w:tc>
          <w:tcPr>
            <w:tcW w:w="1705" w:type="dxa"/>
            <w:tcBorders>
              <w:top w:val="single" w:sz="4" w:space="0" w:color="000000"/>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TON_0014</w:t>
            </w:r>
          </w:p>
        </w:tc>
        <w:tc>
          <w:tcPr>
            <w:tcW w:w="6521" w:type="dxa"/>
            <w:tcBorders>
              <w:top w:val="single" w:sz="4" w:space="0" w:color="000000"/>
              <w:left w:val="nil"/>
              <w:bottom w:val="nil"/>
              <w:right w:val="nil"/>
            </w:tcBorders>
            <w:shd w:val="clear" w:color="auto" w:fill="auto"/>
            <w:tcMar>
              <w:top w:w="4" w:type="dxa"/>
              <w:left w:w="4" w:type="dxa"/>
              <w:bottom w:w="0" w:type="dxa"/>
              <w:right w:w="4" w:type="dxa"/>
            </w:tcMar>
            <w:vAlign w:val="center"/>
          </w:tcPr>
          <w:p w:rsidR="00195BC7" w:rsidRPr="007F79C8" w:rsidRDefault="00195BC7" w:rsidP="00195BC7">
            <w:pPr>
              <w:widowControl/>
              <w:autoSpaceDE/>
              <w:autoSpaceDN/>
              <w:spacing w:line="480" w:lineRule="auto"/>
              <w:textAlignment w:val="center"/>
              <w:rPr>
                <w:rFonts w:ascii="Times New Roman" w:hAnsi="Times New Roman"/>
                <w:sz w:val="24"/>
                <w:szCs w:val="24"/>
                <w:lang w:val="da-DK"/>
              </w:rPr>
            </w:pPr>
            <w:r w:rsidRPr="007F79C8">
              <w:rPr>
                <w:rFonts w:ascii="Times New Roman" w:hAnsi="Times New Roman"/>
                <w:sz w:val="24"/>
                <w:szCs w:val="24"/>
                <w:lang w:val="da-DK"/>
              </w:rPr>
              <w:t>ABC transporter tungsten-binding protein</w:t>
            </w:r>
          </w:p>
        </w:tc>
        <w:tc>
          <w:tcPr>
            <w:tcW w:w="2410" w:type="dxa"/>
            <w:tcBorders>
              <w:top w:val="single" w:sz="4" w:space="0" w:color="000000"/>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1.3 ± 0.1</w:t>
            </w:r>
          </w:p>
        </w:tc>
        <w:tc>
          <w:tcPr>
            <w:tcW w:w="1984" w:type="dxa"/>
            <w:tcBorders>
              <w:top w:val="single" w:sz="4" w:space="0" w:color="000000"/>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2.4</w:t>
            </w:r>
          </w:p>
        </w:tc>
        <w:tc>
          <w:tcPr>
            <w:tcW w:w="992" w:type="dxa"/>
            <w:tcBorders>
              <w:top w:val="single" w:sz="4" w:space="0" w:color="000000"/>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r w:rsidR="00195BC7" w:rsidRPr="00D80FC7" w:rsidTr="00D80FC7">
        <w:trPr>
          <w:trHeight w:val="79"/>
        </w:trPr>
        <w:tc>
          <w:tcPr>
            <w:tcW w:w="1705" w:type="dxa"/>
            <w:tcBorders>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hAnsi="Times New Roman"/>
                <w:sz w:val="24"/>
                <w:szCs w:val="24"/>
              </w:rPr>
              <w:t>TON_0015</w:t>
            </w:r>
          </w:p>
        </w:tc>
        <w:tc>
          <w:tcPr>
            <w:tcW w:w="6521" w:type="dxa"/>
            <w:tcBorders>
              <w:left w:val="nil"/>
              <w:bottom w:val="nil"/>
              <w:right w:val="nil"/>
            </w:tcBorders>
            <w:shd w:val="clear" w:color="auto" w:fill="auto"/>
            <w:tcMar>
              <w:top w:w="4" w:type="dxa"/>
              <w:left w:w="4" w:type="dxa"/>
              <w:bottom w:w="0" w:type="dxa"/>
              <w:right w:w="4" w:type="dxa"/>
            </w:tcMar>
            <w:vAlign w:val="center"/>
          </w:tcPr>
          <w:p w:rsidR="00195BC7" w:rsidRPr="0043479F" w:rsidRDefault="00195BC7" w:rsidP="00A626B8">
            <w:pPr>
              <w:widowControl/>
              <w:autoSpaceDE/>
              <w:autoSpaceDN/>
              <w:spacing w:line="480" w:lineRule="auto"/>
              <w:jc w:val="left"/>
              <w:textAlignment w:val="center"/>
              <w:rPr>
                <w:rFonts w:ascii="Times New Roman" w:eastAsia="Gulim" w:hAnsi="Times New Roman"/>
                <w:sz w:val="24"/>
                <w:szCs w:val="24"/>
              </w:rPr>
            </w:pPr>
            <w:r w:rsidRPr="0043479F">
              <w:rPr>
                <w:rFonts w:ascii="Times New Roman" w:hAnsi="Times New Roman"/>
                <w:sz w:val="24"/>
                <w:szCs w:val="24"/>
              </w:rPr>
              <w:t>Binding-protein-dependent transport systems inner membrane component</w:t>
            </w:r>
          </w:p>
        </w:tc>
        <w:tc>
          <w:tcPr>
            <w:tcW w:w="2410" w:type="dxa"/>
            <w:tcBorders>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1.2 ± 0.4</w:t>
            </w:r>
          </w:p>
        </w:tc>
        <w:tc>
          <w:tcPr>
            <w:tcW w:w="1984" w:type="dxa"/>
            <w:tcBorders>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2.3</w:t>
            </w:r>
          </w:p>
        </w:tc>
        <w:tc>
          <w:tcPr>
            <w:tcW w:w="992" w:type="dxa"/>
            <w:tcBorders>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0.02</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hAnsi="Times New Roman"/>
                <w:sz w:val="24"/>
                <w:szCs w:val="24"/>
              </w:rPr>
              <w:t>TON_0016</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hAnsi="Times New Roman"/>
                <w:sz w:val="24"/>
                <w:szCs w:val="24"/>
              </w:rPr>
              <w:t>Molybdenum-pterin binding domain</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1.3 ± 0.4</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2.5</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0.01</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TON_0049</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Subtilisin-like serine protease precursor</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1.4 ± 0.1</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2.7</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TON_0209</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proofErr w:type="spellStart"/>
            <w:r w:rsidRPr="0043479F">
              <w:rPr>
                <w:rFonts w:ascii="Times New Roman" w:hAnsi="Times New Roman"/>
                <w:sz w:val="24"/>
                <w:szCs w:val="24"/>
              </w:rPr>
              <w:t>Metallophosphoesterase</w:t>
            </w:r>
            <w:proofErr w:type="spellEnd"/>
            <w:r w:rsidRPr="0043479F">
              <w:rPr>
                <w:rFonts w:ascii="Times New Roman" w:hAnsi="Times New Roman"/>
                <w:sz w:val="24"/>
                <w:szCs w:val="24"/>
              </w:rPr>
              <w:t>, calcineurin superfamily</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1.2 ± 0.1</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2.3</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hAnsi="Times New Roman"/>
                <w:sz w:val="24"/>
                <w:szCs w:val="24"/>
              </w:rPr>
              <w:t>TON_0260</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hAnsi="Times New Roman"/>
                <w:sz w:val="24"/>
                <w:szCs w:val="24"/>
              </w:rPr>
              <w:t>Cobalt/zinc/cadmium cation efflux pump protein</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1.5 ± 0.2</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2.9</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TON_0656</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Iron(II) transport protein A</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1.4 ± 0.3</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2.7</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0.03</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TON_0657</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Iron(II) transport protein B</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2.1 ± 0.3</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4.2</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0.01</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TON_0658</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proofErr w:type="spellStart"/>
            <w:r w:rsidRPr="0043479F">
              <w:rPr>
                <w:rFonts w:ascii="Times New Roman" w:hAnsi="Times New Roman"/>
                <w:sz w:val="24"/>
                <w:szCs w:val="24"/>
              </w:rPr>
              <w:t>LexA</w:t>
            </w:r>
            <w:proofErr w:type="spellEnd"/>
            <w:r w:rsidRPr="0043479F">
              <w:rPr>
                <w:rFonts w:ascii="Times New Roman" w:hAnsi="Times New Roman"/>
                <w:sz w:val="24"/>
                <w:szCs w:val="24"/>
              </w:rPr>
              <w:t>-related DNA-binding protein</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1.2 ± 0.2</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2.3</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TON_0786</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A626B8">
            <w:pPr>
              <w:widowControl/>
              <w:autoSpaceDE/>
              <w:autoSpaceDN/>
              <w:spacing w:line="480" w:lineRule="auto"/>
              <w:jc w:val="left"/>
              <w:textAlignment w:val="center"/>
              <w:rPr>
                <w:rFonts w:ascii="Times New Roman" w:hAnsi="Times New Roman"/>
                <w:sz w:val="24"/>
                <w:szCs w:val="24"/>
              </w:rPr>
            </w:pPr>
            <w:proofErr w:type="spellStart"/>
            <w:r w:rsidRPr="0043479F">
              <w:rPr>
                <w:rFonts w:ascii="Times New Roman" w:hAnsi="Times New Roman"/>
                <w:sz w:val="24"/>
                <w:szCs w:val="24"/>
              </w:rPr>
              <w:t>Peroxiredoxin</w:t>
            </w:r>
            <w:proofErr w:type="spellEnd"/>
            <w:r w:rsidRPr="0043479F">
              <w:rPr>
                <w:rFonts w:ascii="Times New Roman" w:hAnsi="Times New Roman"/>
                <w:sz w:val="24"/>
                <w:szCs w:val="24"/>
              </w:rPr>
              <w:t xml:space="preserve">, </w:t>
            </w:r>
            <w:proofErr w:type="spellStart"/>
            <w:r w:rsidRPr="0043479F">
              <w:rPr>
                <w:rFonts w:ascii="Times New Roman" w:hAnsi="Times New Roman"/>
                <w:sz w:val="24"/>
                <w:szCs w:val="24"/>
              </w:rPr>
              <w:t>bacterioferritin</w:t>
            </w:r>
            <w:proofErr w:type="spellEnd"/>
            <w:r w:rsidRPr="0043479F">
              <w:rPr>
                <w:rFonts w:ascii="Times New Roman" w:hAnsi="Times New Roman"/>
                <w:sz w:val="24"/>
                <w:szCs w:val="24"/>
              </w:rPr>
              <w:t xml:space="preserve"> </w:t>
            </w:r>
            <w:proofErr w:type="spellStart"/>
            <w:r w:rsidRPr="0043479F">
              <w:rPr>
                <w:rFonts w:ascii="Times New Roman" w:hAnsi="Times New Roman"/>
                <w:sz w:val="24"/>
                <w:szCs w:val="24"/>
              </w:rPr>
              <w:t>comigratory</w:t>
            </w:r>
            <w:proofErr w:type="spellEnd"/>
            <w:r w:rsidRPr="0043479F">
              <w:rPr>
                <w:rFonts w:ascii="Times New Roman" w:hAnsi="Times New Roman"/>
                <w:sz w:val="24"/>
                <w:szCs w:val="24"/>
              </w:rPr>
              <w:t xml:space="preserve"> protein homolog, </w:t>
            </w:r>
            <w:proofErr w:type="spellStart"/>
            <w:r w:rsidRPr="0043479F">
              <w:rPr>
                <w:rFonts w:ascii="Times New Roman" w:hAnsi="Times New Roman"/>
                <w:sz w:val="24"/>
                <w:szCs w:val="24"/>
              </w:rPr>
              <w:t>AhpC</w:t>
            </w:r>
            <w:proofErr w:type="spellEnd"/>
            <w:r w:rsidRPr="0043479F">
              <w:rPr>
                <w:rFonts w:ascii="Times New Roman" w:hAnsi="Times New Roman"/>
                <w:sz w:val="24"/>
                <w:szCs w:val="24"/>
              </w:rPr>
              <w:t>/</w:t>
            </w:r>
            <w:proofErr w:type="spellStart"/>
            <w:r w:rsidRPr="0043479F">
              <w:rPr>
                <w:rFonts w:ascii="Times New Roman" w:hAnsi="Times New Roman"/>
                <w:sz w:val="24"/>
                <w:szCs w:val="24"/>
              </w:rPr>
              <w:t>TSA</w:t>
            </w:r>
            <w:proofErr w:type="spellEnd"/>
            <w:r w:rsidRPr="0043479F">
              <w:rPr>
                <w:rFonts w:ascii="Times New Roman" w:hAnsi="Times New Roman"/>
                <w:sz w:val="24"/>
                <w:szCs w:val="24"/>
              </w:rPr>
              <w:t xml:space="preserve"> family</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1.3 ± 0.5</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2.5</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0.01</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TON_0847</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Alkyl hydroperoxide reductase subunit c</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2.0 ± 0.3</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4.1</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lastRenderedPageBreak/>
              <w:t>TON_0853</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 xml:space="preserve">Putative thiamin biosynthesis protein </w:t>
            </w:r>
            <w:proofErr w:type="spellStart"/>
            <w:r w:rsidRPr="0043479F">
              <w:rPr>
                <w:rFonts w:ascii="Times New Roman" w:hAnsi="Times New Roman"/>
                <w:sz w:val="24"/>
                <w:szCs w:val="24"/>
              </w:rPr>
              <w:t>thiI</w:t>
            </w:r>
            <w:proofErr w:type="spellEnd"/>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1.2 ± 0.1</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2.3</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TON_0854</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 xml:space="preserve">Molybdopterin biosynthesis protein </w:t>
            </w:r>
            <w:proofErr w:type="spellStart"/>
            <w:r w:rsidRPr="0043479F">
              <w:rPr>
                <w:rFonts w:ascii="Times New Roman" w:hAnsi="Times New Roman"/>
                <w:sz w:val="24"/>
                <w:szCs w:val="24"/>
              </w:rPr>
              <w:t>moeb</w:t>
            </w:r>
            <w:proofErr w:type="spellEnd"/>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1.0 ± 0.1</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2.0</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TON_0971</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Secreted protein containing cell-adhesion domains</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2.0 ± 0.6</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4.1</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0.01</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TON_1110</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Methylmalonyl-</w:t>
            </w:r>
            <w:proofErr w:type="spellStart"/>
            <w:r w:rsidRPr="0043479F">
              <w:rPr>
                <w:rFonts w:ascii="Times New Roman" w:hAnsi="Times New Roman"/>
                <w:sz w:val="24"/>
                <w:szCs w:val="24"/>
              </w:rPr>
              <w:t>CoA</w:t>
            </w:r>
            <w:proofErr w:type="spellEnd"/>
            <w:r w:rsidRPr="0043479F">
              <w:rPr>
                <w:rFonts w:ascii="Times New Roman" w:hAnsi="Times New Roman"/>
                <w:sz w:val="24"/>
                <w:szCs w:val="24"/>
              </w:rPr>
              <w:t xml:space="preserve"> mutase, N-terminus of large subunit</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1.1 ± 0.9</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2.1</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0.14</w:t>
            </w:r>
          </w:p>
        </w:tc>
      </w:tr>
      <w:tr w:rsidR="00195BC7" w:rsidRPr="0043479F"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TON_1213</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Polysaccharide deacetylase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1.1 ± 0.3</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2.2</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TON_1274</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Membrane-bound metal-dependent hydrolase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1.1 ± 0.3</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2.1</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0.01</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hAnsi="Times New Roman"/>
                <w:sz w:val="24"/>
                <w:szCs w:val="24"/>
              </w:rPr>
              <w:t>TON_1353</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A626B8">
            <w:pPr>
              <w:widowControl/>
              <w:autoSpaceDE/>
              <w:autoSpaceDN/>
              <w:spacing w:line="480" w:lineRule="auto"/>
              <w:jc w:val="left"/>
              <w:textAlignment w:val="center"/>
              <w:rPr>
                <w:rFonts w:ascii="Times New Roman" w:eastAsia="Gulim" w:hAnsi="Times New Roman"/>
                <w:sz w:val="24"/>
                <w:szCs w:val="24"/>
              </w:rPr>
            </w:pPr>
            <w:proofErr w:type="spellStart"/>
            <w:r w:rsidRPr="0043479F">
              <w:rPr>
                <w:rFonts w:ascii="Times New Roman" w:hAnsi="Times New Roman"/>
                <w:sz w:val="24"/>
                <w:szCs w:val="24"/>
              </w:rPr>
              <w:t>cmo</w:t>
            </w:r>
            <w:proofErr w:type="spellEnd"/>
            <w:r w:rsidRPr="0043479F">
              <w:rPr>
                <w:rFonts w:ascii="Times New Roman" w:hAnsi="Times New Roman"/>
                <w:sz w:val="24"/>
                <w:szCs w:val="24"/>
              </w:rPr>
              <w:t xml:space="preserve"> tungsten-containing aldehyde ferredoxin oxidoreductase cofactor modifying protein</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1.2 ± 0.2</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2.3</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r w:rsidR="00195BC7" w:rsidRPr="0043479F"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TON_1355</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Subtilisin-like serine protease precursor</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1.3 ± 0.5</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2.5</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0.01</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TON_1493</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Universal stress protein</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1.1 ± 0.4</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2.1</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0.01</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TON_1655</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Histone macroH2A-related protein (C-terminus)</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1.4 ± 0.7</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2.6</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0.04</w:t>
            </w:r>
          </w:p>
        </w:tc>
      </w:tr>
      <w:tr w:rsidR="00195BC7" w:rsidRPr="00D80FC7" w:rsidTr="00D80FC7">
        <w:trPr>
          <w:trHeight w:val="79"/>
        </w:trPr>
        <w:tc>
          <w:tcPr>
            <w:tcW w:w="1705"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TON_1656</w:t>
            </w:r>
          </w:p>
        </w:tc>
        <w:tc>
          <w:tcPr>
            <w:tcW w:w="6521"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 xml:space="preserve">Daunorubicin resistance ATP-binding protein </w:t>
            </w:r>
            <w:proofErr w:type="spellStart"/>
            <w:r w:rsidRPr="0043479F">
              <w:rPr>
                <w:rFonts w:ascii="Times New Roman" w:hAnsi="Times New Roman"/>
                <w:sz w:val="24"/>
                <w:szCs w:val="24"/>
              </w:rPr>
              <w:t>drrA</w:t>
            </w:r>
            <w:proofErr w:type="spellEnd"/>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1.1 ± 0.6</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2.2</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0.06</w:t>
            </w:r>
          </w:p>
        </w:tc>
      </w:tr>
      <w:tr w:rsidR="00195BC7" w:rsidRPr="00D80FC7" w:rsidTr="00D80FC7">
        <w:trPr>
          <w:trHeight w:val="79"/>
        </w:trPr>
        <w:tc>
          <w:tcPr>
            <w:tcW w:w="1705" w:type="dxa"/>
            <w:tcBorders>
              <w:top w:val="nil"/>
              <w:left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hAnsi="Times New Roman"/>
                <w:sz w:val="24"/>
                <w:szCs w:val="24"/>
              </w:rPr>
              <w:t>TON_1877</w:t>
            </w:r>
          </w:p>
        </w:tc>
        <w:tc>
          <w:tcPr>
            <w:tcW w:w="6521" w:type="dxa"/>
            <w:tcBorders>
              <w:top w:val="nil"/>
              <w:left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hAnsi="Times New Roman"/>
                <w:sz w:val="24"/>
                <w:szCs w:val="24"/>
              </w:rPr>
              <w:t xml:space="preserve">Chaperonin </w:t>
            </w:r>
            <w:r w:rsidRPr="0043479F">
              <w:rPr>
                <w:rFonts w:ascii="Times New Roman" w:hAnsi="Times New Roman"/>
                <w:sz w:val="24"/>
                <w:szCs w:val="24"/>
              </w:rPr>
              <w:sym w:font="Symbol" w:char="F062"/>
            </w:r>
            <w:r w:rsidRPr="0043479F">
              <w:rPr>
                <w:rFonts w:ascii="Times New Roman" w:hAnsi="Times New Roman"/>
                <w:sz w:val="24"/>
                <w:szCs w:val="24"/>
              </w:rPr>
              <w:t xml:space="preserve"> subunit</w:t>
            </w:r>
          </w:p>
        </w:tc>
        <w:tc>
          <w:tcPr>
            <w:tcW w:w="2410" w:type="dxa"/>
            <w:tcBorders>
              <w:top w:val="nil"/>
              <w:left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1.7 ± 0.7</w:t>
            </w:r>
          </w:p>
        </w:tc>
        <w:tc>
          <w:tcPr>
            <w:tcW w:w="1984" w:type="dxa"/>
            <w:tcBorders>
              <w:top w:val="nil"/>
              <w:left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3.2</w:t>
            </w:r>
          </w:p>
        </w:tc>
        <w:tc>
          <w:tcPr>
            <w:tcW w:w="992" w:type="dxa"/>
            <w:tcBorders>
              <w:top w:val="nil"/>
              <w:left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0.08</w:t>
            </w:r>
          </w:p>
        </w:tc>
      </w:tr>
      <w:tr w:rsidR="00195BC7" w:rsidRPr="00D80FC7" w:rsidTr="00D80FC7">
        <w:trPr>
          <w:trHeight w:val="79"/>
        </w:trPr>
        <w:tc>
          <w:tcPr>
            <w:tcW w:w="1705" w:type="dxa"/>
            <w:tcBorders>
              <w:top w:val="nil"/>
              <w:left w:val="nil"/>
              <w:bottom w:val="single" w:sz="4" w:space="0" w:color="auto"/>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hAnsi="Times New Roman"/>
                <w:sz w:val="24"/>
                <w:szCs w:val="24"/>
              </w:rPr>
              <w:t>TON_1950</w:t>
            </w:r>
          </w:p>
        </w:tc>
        <w:tc>
          <w:tcPr>
            <w:tcW w:w="6521" w:type="dxa"/>
            <w:tcBorders>
              <w:top w:val="nil"/>
              <w:left w:val="nil"/>
              <w:bottom w:val="single" w:sz="4" w:space="0" w:color="auto"/>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hAnsi="Times New Roman"/>
                <w:sz w:val="24"/>
                <w:szCs w:val="24"/>
              </w:rPr>
              <w:t xml:space="preserve">4-hydroxybenzoate </w:t>
            </w:r>
            <w:proofErr w:type="spellStart"/>
            <w:r w:rsidRPr="0043479F">
              <w:rPr>
                <w:rFonts w:ascii="Times New Roman" w:hAnsi="Times New Roman"/>
                <w:sz w:val="24"/>
                <w:szCs w:val="24"/>
              </w:rPr>
              <w:t>octaprenyltransferase</w:t>
            </w:r>
            <w:proofErr w:type="spellEnd"/>
          </w:p>
        </w:tc>
        <w:tc>
          <w:tcPr>
            <w:tcW w:w="2410" w:type="dxa"/>
            <w:tcBorders>
              <w:top w:val="nil"/>
              <w:left w:val="nil"/>
              <w:bottom w:val="single" w:sz="4" w:space="0" w:color="auto"/>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1.4 ± 0.1</w:t>
            </w:r>
          </w:p>
        </w:tc>
        <w:tc>
          <w:tcPr>
            <w:tcW w:w="1984" w:type="dxa"/>
            <w:tcBorders>
              <w:top w:val="nil"/>
              <w:left w:val="nil"/>
              <w:bottom w:val="single" w:sz="4" w:space="0" w:color="auto"/>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2.6</w:t>
            </w:r>
          </w:p>
        </w:tc>
        <w:tc>
          <w:tcPr>
            <w:tcW w:w="992" w:type="dxa"/>
            <w:tcBorders>
              <w:top w:val="nil"/>
              <w:left w:val="nil"/>
              <w:bottom w:val="single" w:sz="4" w:space="0" w:color="auto"/>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bl>
    <w:p w:rsidR="00195BC7" w:rsidRPr="0043479F" w:rsidRDefault="00195BC7" w:rsidP="00195BC7">
      <w:pPr>
        <w:spacing w:line="480" w:lineRule="auto"/>
        <w:rPr>
          <w:rFonts w:ascii="Times New Roman" w:hAnsi="Times New Roman"/>
          <w:sz w:val="24"/>
          <w:szCs w:val="24"/>
        </w:rPr>
      </w:pPr>
      <w:proofErr w:type="spellStart"/>
      <w:r w:rsidRPr="0043479F">
        <w:rPr>
          <w:rFonts w:ascii="Times New Roman" w:hAnsi="Times New Roman"/>
          <w:sz w:val="24"/>
          <w:szCs w:val="24"/>
          <w:vertAlign w:val="superscript"/>
        </w:rPr>
        <w:t>a</w:t>
      </w:r>
      <w:r w:rsidRPr="0043479F">
        <w:rPr>
          <w:rFonts w:ascii="Times New Roman" w:hAnsi="Times New Roman"/>
          <w:sz w:val="24"/>
          <w:szCs w:val="24"/>
        </w:rPr>
        <w:t>These</w:t>
      </w:r>
      <w:proofErr w:type="spellEnd"/>
      <w:r w:rsidRPr="0043479F">
        <w:rPr>
          <w:rFonts w:ascii="Times New Roman" w:hAnsi="Times New Roman"/>
          <w:sz w:val="24"/>
          <w:szCs w:val="24"/>
        </w:rPr>
        <w:t xml:space="preserve"> values were calculated as previously described </w:t>
      </w:r>
      <w:r w:rsidR="000F13A7" w:rsidRPr="0043479F">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{"citationItems":[{"id":"ITEM-1","itemData":{"DOI":"10.1007/s00253-017-8234-4","ISSN":"14320614","abstract":"The F420-reducing hydrogenase of methanogens functions in methanogenesis by providing reduced coenzyme F420 (F420H2) as an electron donor. In non-methanogens, however, their physiological function has not been identified yet. In this study, we constructed an $Δ$frhA mutant, whose frhA gene encoding the hydrogenase $α$ subunit was deleted, in the non-methanogenic Thermococcus onnurineus NA1 as a model organism. There was no significant difference in the formate-dependent growth between the mutant and the wild-type strains. Interestingly, the mutation in the frhA gene affected the expression of genes involved in various cellular functions such as H2 oxidation, chemotactic signal transduction, and carbon monoxide (CO) metabolism. Among these genes, the CO oxidation gene cluster, enabling CO-dependent growth and H2 production, showed a 2.8- to 7.0-fold upregulation by microarray-based whole transcriptome expression profiling. The levels of proteins produced by this gene cluster were also significantly increased not only under the formate condition but also under the CO condition. In a controlled bioreactor, where 100{%} CO was continuously fed, the $Δ$frhA mutant exhibited significant increases in cell growth (2.8-fold) and H2 production (3.4-fold). These findings strongly imply that this hydrogenase is functional in non-methanogens and is related to various cellular metabolic processes through an unidentified mechanism. An understanding of the mechanism by which the frhA gene deletion affected the expression of other genes will provide insights that can be applied to the development of strategies for the enhancement of H2 production using CO as a substrate.","author":[{"dropping-particle":"","family":"Lee","given":"Seong Hyuk","non-dropping-particle":"","parse-names":false,"suffix":""},{"dropping-particle":"","family":"Kim","given":"Min Sik","non-dropping-particle":"","parse-names":false,"suffix":""},{"dropping-particle":"","family":"Kim","given":"Yun Jae","non-dropping-particle":"","parse-names":false,"suffix":""},{"dropping-particle":"","family":"Kim","given":"Tae Wan","non-dropping-particle":"","parse-names":false,"suffix":""},{"dropping-particle":"","family":"Kang","given":"Sung Gyun","non-dropping-particle":"","parse-names":false,"suffix":""},{"dropping-particle":"","family":"Lee","given":"Hyun Sook","non-dropping-particle":"","parse-names":false,"suffix":""}],"container-title":"Applied Microbiology and Biotechnology","id":"ITEM-1","issued":{"date-parts":[["2017"]]},"title":"Transcriptomic profiling and its implications for the H2production of a non-methanogen deficient in the frhAGB-encoding hydrogenase","type":"article-journal"},"uris":["http://www.mendeley.com/documents/?uuid=415c4543-5541-4e24-8223-8c67addbbc46"]}],"mendeley":{"formattedCitation":"(Lee et al., 2017)","plainTextFormattedCitation":"(Lee et al., 2017)","previouslyFormattedCitation":"(Lee et al. 2017)"},"properties":{"noteIndex":0},"schema":"https://github.com/citation-style-language/schema/raw/master/csl-citation.json"}</w:instrText>
      </w:r>
      <w:r w:rsidR="000F13A7" w:rsidRPr="0043479F">
        <w:rPr>
          <w:rFonts w:ascii="Times New Roman" w:hAnsi="Times New Roman"/>
          <w:sz w:val="24"/>
          <w:szCs w:val="24"/>
        </w:rPr>
        <w:fldChar w:fldCharType="separate"/>
      </w:r>
      <w:r w:rsidRPr="00F51E74">
        <w:rPr>
          <w:rFonts w:ascii="Times New Roman" w:hAnsi="Times New Roman"/>
          <w:noProof/>
          <w:sz w:val="24"/>
          <w:szCs w:val="24"/>
        </w:rPr>
        <w:t>(Lee et al., 2017)</w:t>
      </w:r>
      <w:r w:rsidR="000F13A7" w:rsidRPr="0043479F">
        <w:rPr>
          <w:rFonts w:ascii="Times New Roman" w:hAnsi="Times New Roman"/>
          <w:sz w:val="24"/>
          <w:szCs w:val="24"/>
        </w:rPr>
        <w:fldChar w:fldCharType="end"/>
      </w:r>
      <w:r w:rsidRPr="0043479F">
        <w:rPr>
          <w:rFonts w:ascii="Times New Roman" w:hAnsi="Times New Roman"/>
          <w:sz w:val="24"/>
          <w:szCs w:val="24"/>
        </w:rPr>
        <w:t>.</w:t>
      </w:r>
    </w:p>
    <w:p w:rsidR="00195BC7" w:rsidRPr="0043479F" w:rsidRDefault="00195BC7" w:rsidP="00195BC7">
      <w:pPr>
        <w:spacing w:line="480" w:lineRule="auto"/>
        <w:rPr>
          <w:rFonts w:ascii="Times New Roman" w:hAnsi="Times New Roman"/>
          <w:noProof/>
          <w:sz w:val="24"/>
          <w:szCs w:val="24"/>
        </w:rPr>
      </w:pPr>
      <w:proofErr w:type="spellStart"/>
      <w:proofErr w:type="gramStart"/>
      <w:r w:rsidRPr="0043479F">
        <w:rPr>
          <w:rFonts w:ascii="Times New Roman" w:hAnsi="Times New Roman"/>
          <w:sz w:val="24"/>
          <w:szCs w:val="24"/>
          <w:vertAlign w:val="superscript"/>
        </w:rPr>
        <w:t>b</w:t>
      </w:r>
      <w:r w:rsidRPr="0043479F">
        <w:rPr>
          <w:rFonts w:ascii="Times New Roman" w:hAnsi="Times New Roman"/>
          <w:sz w:val="24"/>
          <w:szCs w:val="24"/>
        </w:rPr>
        <w:t>Genes</w:t>
      </w:r>
      <w:proofErr w:type="spellEnd"/>
      <w:proofErr w:type="gramEnd"/>
      <w:r w:rsidRPr="0043479F">
        <w:rPr>
          <w:rFonts w:ascii="Times New Roman" w:hAnsi="Times New Roman"/>
          <w:sz w:val="24"/>
          <w:szCs w:val="24"/>
        </w:rPr>
        <w:t xml:space="preserve"> identified as up-regulated transcripts with a expression ratio ≥2 were selected, but to escape bias by overexpression of the</w:t>
      </w:r>
      <w:r w:rsidRPr="0043479F">
        <w:rPr>
          <w:rFonts w:ascii="Times New Roman" w:hAnsi="Times New Roman"/>
          <w:i/>
          <w:sz w:val="24"/>
          <w:szCs w:val="24"/>
        </w:rPr>
        <w:t xml:space="preserve"> </w:t>
      </w:r>
      <w:proofErr w:type="spellStart"/>
      <w:r w:rsidRPr="0043479F">
        <w:rPr>
          <w:rFonts w:ascii="Times New Roman" w:hAnsi="Times New Roman"/>
          <w:i/>
          <w:sz w:val="24"/>
          <w:szCs w:val="24"/>
        </w:rPr>
        <w:t>hmg</w:t>
      </w:r>
      <w:proofErr w:type="spellEnd"/>
      <w:r w:rsidRPr="0043479F">
        <w:rPr>
          <w:rFonts w:ascii="Times New Roman" w:hAnsi="Times New Roman"/>
          <w:sz w:val="24"/>
          <w:szCs w:val="24"/>
        </w:rPr>
        <w:t xml:space="preserve"> gene </w:t>
      </w:r>
      <w:r w:rsidRPr="0043479F">
        <w:rPr>
          <w:rFonts w:ascii="Times New Roman" w:hAnsi="Times New Roman"/>
          <w:sz w:val="24"/>
          <w:szCs w:val="24"/>
        </w:rPr>
        <w:lastRenderedPageBreak/>
        <w:t xml:space="preserve">encoding </w:t>
      </w:r>
      <w:proofErr w:type="spellStart"/>
      <w:r w:rsidRPr="0043479F">
        <w:rPr>
          <w:rFonts w:ascii="Times New Roman" w:hAnsi="Times New Roman"/>
          <w:sz w:val="24"/>
          <w:szCs w:val="24"/>
        </w:rPr>
        <w:t>hydroxymethylglutaryl</w:t>
      </w:r>
      <w:proofErr w:type="spellEnd"/>
      <w:r w:rsidRPr="0043479F">
        <w:rPr>
          <w:rFonts w:ascii="Times New Roman" w:hAnsi="Times New Roman"/>
          <w:sz w:val="24"/>
          <w:szCs w:val="24"/>
        </w:rPr>
        <w:t xml:space="preserve"> (</w:t>
      </w:r>
      <w:proofErr w:type="spellStart"/>
      <w:r w:rsidRPr="0043479F">
        <w:rPr>
          <w:rFonts w:ascii="Times New Roman" w:hAnsi="Times New Roman"/>
          <w:sz w:val="24"/>
          <w:szCs w:val="24"/>
        </w:rPr>
        <w:t>HMG</w:t>
      </w:r>
      <w:proofErr w:type="spellEnd"/>
      <w:r w:rsidRPr="0043479F">
        <w:rPr>
          <w:rFonts w:ascii="Times New Roman" w:hAnsi="Times New Roman"/>
          <w:sz w:val="24"/>
          <w:szCs w:val="24"/>
        </w:rPr>
        <w:t>)-</w:t>
      </w:r>
      <w:proofErr w:type="spellStart"/>
      <w:r w:rsidRPr="0043479F">
        <w:rPr>
          <w:rFonts w:ascii="Times New Roman" w:hAnsi="Times New Roman"/>
          <w:sz w:val="24"/>
          <w:szCs w:val="24"/>
        </w:rPr>
        <w:t>CoA</w:t>
      </w:r>
      <w:proofErr w:type="spellEnd"/>
      <w:r w:rsidRPr="0043479F">
        <w:rPr>
          <w:rFonts w:ascii="Times New Roman" w:hAnsi="Times New Roman"/>
          <w:sz w:val="24"/>
          <w:szCs w:val="24"/>
        </w:rPr>
        <w:t xml:space="preserve"> reductase, up-regulated genes (≥2 fold changes) of the </w:t>
      </w:r>
      <w:r w:rsidRPr="0043479F">
        <w:rPr>
          <w:rFonts w:ascii="Times New Roman" w:hAnsi="Times New Roman"/>
          <w:sz w:val="24"/>
          <w:szCs w:val="24"/>
        </w:rPr>
        <w:sym w:font="Symbol" w:char="F044"/>
      </w:r>
      <w:proofErr w:type="spellStart"/>
      <w:r w:rsidRPr="0043479F">
        <w:rPr>
          <w:rFonts w:ascii="Times New Roman" w:hAnsi="Times New Roman"/>
          <w:i/>
          <w:sz w:val="24"/>
          <w:szCs w:val="24"/>
        </w:rPr>
        <w:t>frhA</w:t>
      </w:r>
      <w:proofErr w:type="spellEnd"/>
      <w:r w:rsidRPr="0043479F">
        <w:rPr>
          <w:rFonts w:ascii="Times New Roman" w:hAnsi="Times New Roman"/>
          <w:sz w:val="24"/>
          <w:szCs w:val="24"/>
        </w:rPr>
        <w:t xml:space="preserve"> mutant strain (Lee et al. 2017) were excluded. All four data points of each transcript were used to measure of expression ratio that were determined by </w:t>
      </w:r>
      <w:r w:rsidRPr="0043479F">
        <w:rPr>
          <w:rFonts w:ascii="Times New Roman" w:hAnsi="Times New Roman"/>
          <w:noProof/>
          <w:sz w:val="24"/>
          <w:szCs w:val="24"/>
        </w:rPr>
        <w:t xml:space="preserve">dividing each transcripts level of wild-type per FO strain. </w:t>
      </w:r>
    </w:p>
    <w:p w:rsidR="00195BC7" w:rsidRPr="0043479F" w:rsidRDefault="00195BC7" w:rsidP="00195BC7">
      <w:pPr>
        <w:spacing w:line="480" w:lineRule="auto"/>
        <w:rPr>
          <w:rFonts w:ascii="Times New Roman" w:hAnsi="Times New Roman"/>
          <w:b/>
          <w:color w:val="FF0000"/>
          <w:sz w:val="24"/>
          <w:szCs w:val="24"/>
        </w:rPr>
        <w:sectPr w:rsidR="00195BC7" w:rsidRPr="0043479F" w:rsidSect="007F79C8">
          <w:type w:val="continuous"/>
          <w:pgSz w:w="16838" w:h="11906" w:orient="landscape"/>
          <w:pgMar w:top="1440" w:right="1440" w:bottom="1440" w:left="1701" w:header="720" w:footer="720" w:gutter="0"/>
          <w:cols w:space="720"/>
          <w:docGrid w:linePitch="360"/>
        </w:sectPr>
      </w:pPr>
    </w:p>
    <w:p w:rsidR="00522182" w:rsidRDefault="00522182" w:rsidP="00195BC7">
      <w:pPr>
        <w:spacing w:line="480" w:lineRule="auto"/>
        <w:rPr>
          <w:rFonts w:ascii="Times New Roman" w:hAnsi="Times New Roman"/>
          <w:b/>
          <w:sz w:val="24"/>
          <w:szCs w:val="24"/>
        </w:rPr>
        <w:sectPr w:rsidR="00522182" w:rsidSect="007F79C8">
          <w:type w:val="continuous"/>
          <w:pgSz w:w="16838" w:h="11906" w:orient="landscape"/>
          <w:pgMar w:top="1440" w:right="1440" w:bottom="1440" w:left="1701" w:header="851" w:footer="992" w:gutter="0"/>
          <w:cols w:space="425"/>
          <w:docGrid w:linePitch="360"/>
        </w:sectPr>
      </w:pPr>
    </w:p>
    <w:p w:rsidR="00195BC7" w:rsidRPr="00957FC8" w:rsidRDefault="00195BC7" w:rsidP="00195BC7">
      <w:pPr>
        <w:spacing w:line="480" w:lineRule="auto"/>
        <w:rPr>
          <w:rFonts w:ascii="Times New Roman" w:hAnsi="Times New Roman"/>
          <w:b/>
          <w:sz w:val="24"/>
          <w:szCs w:val="24"/>
        </w:rPr>
      </w:pPr>
      <w:r w:rsidRPr="0043479F">
        <w:rPr>
          <w:rFonts w:ascii="Times New Roman" w:hAnsi="Times New Roman"/>
          <w:b/>
          <w:sz w:val="24"/>
          <w:szCs w:val="24"/>
        </w:rPr>
        <w:lastRenderedPageBreak/>
        <w:t xml:space="preserve">Table </w:t>
      </w:r>
      <w:r w:rsidR="009E0699">
        <w:rPr>
          <w:rFonts w:ascii="Times New Roman" w:hAnsi="Times New Roman" w:hint="eastAsia"/>
          <w:b/>
          <w:sz w:val="24"/>
          <w:szCs w:val="24"/>
        </w:rPr>
        <w:t>S</w:t>
      </w:r>
      <w:r w:rsidRPr="0043479F">
        <w:rPr>
          <w:rFonts w:ascii="Times New Roman" w:hAnsi="Times New Roman"/>
          <w:b/>
          <w:sz w:val="24"/>
          <w:szCs w:val="24"/>
        </w:rPr>
        <w:t xml:space="preserve">2 </w:t>
      </w:r>
      <w:r w:rsidRPr="00957FC8">
        <w:rPr>
          <w:rFonts w:ascii="Times New Roman" w:hAnsi="Times New Roman"/>
          <w:b/>
          <w:sz w:val="24"/>
          <w:szCs w:val="24"/>
        </w:rPr>
        <w:t xml:space="preserve">Genes identified as down-regulated by overexpression of </w:t>
      </w:r>
      <w:proofErr w:type="spellStart"/>
      <w:r w:rsidRPr="00957FC8">
        <w:rPr>
          <w:rFonts w:ascii="Times New Roman" w:hAnsi="Times New Roman"/>
          <w:b/>
          <w:i/>
          <w:sz w:val="24"/>
          <w:szCs w:val="24"/>
        </w:rPr>
        <w:t>frhAGB</w:t>
      </w:r>
      <w:proofErr w:type="spellEnd"/>
      <w:r w:rsidRPr="00957FC8">
        <w:rPr>
          <w:rFonts w:ascii="Times New Roman" w:hAnsi="Times New Roman"/>
          <w:b/>
          <w:sz w:val="24"/>
          <w:szCs w:val="24"/>
        </w:rPr>
        <w:t xml:space="preserve"> genes based on the transcriptome analysis</w:t>
      </w:r>
      <w:r w:rsidRPr="00957FC8">
        <w:rPr>
          <w:rFonts w:ascii="Times New Roman" w:hAnsi="Times New Roman" w:hint="eastAsia"/>
          <w:b/>
          <w:sz w:val="24"/>
          <w:szCs w:val="24"/>
        </w:rPr>
        <w:t>.</w:t>
      </w:r>
    </w:p>
    <w:tbl>
      <w:tblPr>
        <w:tblW w:w="13612" w:type="dxa"/>
        <w:tblInd w:w="6" w:type="dxa"/>
        <w:tblCellMar>
          <w:left w:w="0" w:type="dxa"/>
          <w:right w:w="0" w:type="dxa"/>
        </w:tblCellMar>
        <w:tblLook w:val="04A0"/>
      </w:tblPr>
      <w:tblGrid>
        <w:gridCol w:w="1699"/>
        <w:gridCol w:w="6527"/>
        <w:gridCol w:w="2410"/>
        <w:gridCol w:w="1984"/>
        <w:gridCol w:w="992"/>
      </w:tblGrid>
      <w:tr w:rsidR="00195BC7" w:rsidRPr="0043479F" w:rsidTr="00D80FC7">
        <w:trPr>
          <w:trHeight w:val="79"/>
        </w:trPr>
        <w:tc>
          <w:tcPr>
            <w:tcW w:w="1699" w:type="dxa"/>
            <w:tcBorders>
              <w:top w:val="single" w:sz="4" w:space="0" w:color="000000"/>
              <w:left w:val="nil"/>
              <w:bottom w:val="single" w:sz="4" w:space="0" w:color="000000"/>
              <w:right w:val="nil"/>
            </w:tcBorders>
            <w:shd w:val="clear" w:color="auto" w:fill="auto"/>
            <w:tcMar>
              <w:top w:w="4" w:type="dxa"/>
              <w:left w:w="4" w:type="dxa"/>
              <w:bottom w:w="0" w:type="dxa"/>
              <w:right w:w="4" w:type="dxa"/>
            </w:tcMar>
            <w:hideMark/>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bCs/>
                <w:kern w:val="24"/>
                <w:sz w:val="24"/>
                <w:szCs w:val="24"/>
              </w:rPr>
              <w:t>Locus tag</w:t>
            </w:r>
          </w:p>
        </w:tc>
        <w:tc>
          <w:tcPr>
            <w:tcW w:w="6527" w:type="dxa"/>
            <w:tcBorders>
              <w:top w:val="single" w:sz="4" w:space="0" w:color="000000"/>
              <w:left w:val="nil"/>
              <w:bottom w:val="single" w:sz="4" w:space="0" w:color="000000"/>
              <w:right w:val="nil"/>
            </w:tcBorders>
            <w:shd w:val="clear" w:color="auto" w:fill="auto"/>
            <w:tcMar>
              <w:top w:w="4" w:type="dxa"/>
              <w:left w:w="4" w:type="dxa"/>
              <w:bottom w:w="0" w:type="dxa"/>
              <w:right w:w="4" w:type="dxa"/>
            </w:tcMar>
            <w:hideMark/>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Annotation</w:t>
            </w:r>
          </w:p>
        </w:tc>
        <w:tc>
          <w:tcPr>
            <w:tcW w:w="2410" w:type="dxa"/>
            <w:tcBorders>
              <w:top w:val="single" w:sz="4" w:space="0" w:color="000000"/>
              <w:left w:val="nil"/>
              <w:bottom w:val="single" w:sz="4" w:space="0" w:color="000000"/>
              <w:right w:val="nil"/>
            </w:tcBorders>
            <w:shd w:val="clear" w:color="auto" w:fill="auto"/>
            <w:tcMar>
              <w:top w:w="4" w:type="dxa"/>
              <w:left w:w="4" w:type="dxa"/>
              <w:bottom w:w="0" w:type="dxa"/>
              <w:right w:w="4" w:type="dxa"/>
            </w:tcMar>
            <w:hideMark/>
          </w:tcPr>
          <w:p w:rsidR="00195BC7" w:rsidRPr="0043479F" w:rsidRDefault="00195BC7" w:rsidP="00195BC7">
            <w:pPr>
              <w:widowControl/>
              <w:autoSpaceDE/>
              <w:autoSpaceDN/>
              <w:spacing w:line="480" w:lineRule="auto"/>
              <w:textAlignment w:val="center"/>
              <w:rPr>
                <w:rFonts w:ascii="Times New Roman" w:eastAsia="Gulim" w:hAnsi="Times New Roman"/>
                <w:bCs/>
                <w:kern w:val="24"/>
                <w:sz w:val="24"/>
                <w:szCs w:val="24"/>
              </w:rPr>
            </w:pPr>
            <w:r w:rsidRPr="0043479F">
              <w:rPr>
                <w:rFonts w:ascii="Times New Roman" w:eastAsia="Gulim" w:hAnsi="Times New Roman"/>
                <w:bCs/>
                <w:kern w:val="24"/>
                <w:sz w:val="24"/>
                <w:szCs w:val="24"/>
              </w:rPr>
              <w:t>Mean intensity ratio</w:t>
            </w:r>
          </w:p>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hAnsi="Times New Roman"/>
                <w:sz w:val="24"/>
                <w:szCs w:val="24"/>
              </w:rPr>
              <w:t>(log</w:t>
            </w:r>
            <w:r w:rsidRPr="0043479F">
              <w:rPr>
                <w:rFonts w:ascii="Times New Roman" w:hAnsi="Times New Roman"/>
                <w:sz w:val="24"/>
                <w:szCs w:val="24"/>
                <w:vertAlign w:val="subscript"/>
              </w:rPr>
              <w:t>2</w:t>
            </w:r>
            <w:r w:rsidRPr="0043479F">
              <w:rPr>
                <w:rFonts w:ascii="Times New Roman" w:hAnsi="Times New Roman"/>
                <w:sz w:val="24"/>
                <w:szCs w:val="24"/>
              </w:rPr>
              <w:t xml:space="preserve"> </w:t>
            </w:r>
            <w:r w:rsidRPr="0043479F">
              <w:rPr>
                <w:rFonts w:ascii="Times New Roman" w:eastAsia="Gulim" w:hAnsi="Times New Roman"/>
                <w:sz w:val="24"/>
                <w:szCs w:val="24"/>
              </w:rPr>
              <w:t>± SD</w:t>
            </w:r>
            <w:r w:rsidRPr="0043479F">
              <w:rPr>
                <w:rFonts w:ascii="Times New Roman" w:hAnsi="Times New Roman"/>
                <w:sz w:val="24"/>
                <w:szCs w:val="24"/>
              </w:rPr>
              <w:t>)</w:t>
            </w:r>
            <w:r w:rsidRPr="0043479F">
              <w:rPr>
                <w:rFonts w:ascii="Times New Roman" w:hAnsi="Times New Roman"/>
                <w:sz w:val="24"/>
                <w:szCs w:val="24"/>
                <w:vertAlign w:val="superscript"/>
              </w:rPr>
              <w:t>a</w:t>
            </w:r>
          </w:p>
        </w:tc>
        <w:tc>
          <w:tcPr>
            <w:tcW w:w="1984" w:type="dxa"/>
            <w:tcBorders>
              <w:top w:val="single" w:sz="4" w:space="0" w:color="000000"/>
              <w:left w:val="nil"/>
              <w:bottom w:val="single" w:sz="4" w:space="0" w:color="000000"/>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bCs/>
                <w:kern w:val="24"/>
                <w:sz w:val="24"/>
                <w:szCs w:val="24"/>
              </w:rPr>
            </w:pPr>
            <w:r w:rsidRPr="0043479F">
              <w:rPr>
                <w:rFonts w:ascii="Times New Roman" w:eastAsia="Gulim" w:hAnsi="Times New Roman"/>
                <w:bCs/>
                <w:kern w:val="24"/>
                <w:sz w:val="24"/>
                <w:szCs w:val="24"/>
              </w:rPr>
              <w:t>Expression ratio</w:t>
            </w:r>
          </w:p>
          <w:p w:rsidR="00195BC7" w:rsidRPr="0043479F" w:rsidRDefault="00195BC7" w:rsidP="00195BC7">
            <w:pPr>
              <w:widowControl/>
              <w:autoSpaceDE/>
              <w:autoSpaceDN/>
              <w:spacing w:line="480" w:lineRule="auto"/>
              <w:textAlignment w:val="center"/>
              <w:rPr>
                <w:rFonts w:ascii="Times New Roman" w:eastAsia="Gulim" w:hAnsi="Times New Roman"/>
                <w:bCs/>
                <w:kern w:val="24"/>
                <w:sz w:val="24"/>
                <w:szCs w:val="24"/>
              </w:rPr>
            </w:pPr>
            <w:r w:rsidRPr="0043479F">
              <w:rPr>
                <w:rFonts w:ascii="Times New Roman" w:eastAsia="Gulim" w:hAnsi="Times New Roman"/>
                <w:bCs/>
                <w:kern w:val="24"/>
                <w:sz w:val="24"/>
                <w:szCs w:val="24"/>
              </w:rPr>
              <w:t>(wild-type/FO)</w:t>
            </w:r>
            <w:r w:rsidRPr="0043479F">
              <w:rPr>
                <w:rFonts w:ascii="Times New Roman" w:eastAsia="Gulim" w:hAnsi="Times New Roman"/>
                <w:bCs/>
                <w:kern w:val="24"/>
                <w:sz w:val="24"/>
                <w:szCs w:val="24"/>
                <w:vertAlign w:val="superscript"/>
              </w:rPr>
              <w:t>b</w:t>
            </w:r>
          </w:p>
        </w:tc>
        <w:tc>
          <w:tcPr>
            <w:tcW w:w="992" w:type="dxa"/>
            <w:tcBorders>
              <w:top w:val="single" w:sz="4" w:space="0" w:color="000000"/>
              <w:left w:val="nil"/>
              <w:bottom w:val="single" w:sz="4" w:space="0" w:color="000000"/>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bCs/>
                <w:kern w:val="24"/>
                <w:sz w:val="24"/>
                <w:szCs w:val="24"/>
              </w:rPr>
            </w:pPr>
            <w:r w:rsidRPr="0043479F">
              <w:rPr>
                <w:rFonts w:ascii="Times New Roman" w:eastAsia="Gulim" w:hAnsi="Times New Roman"/>
                <w:bCs/>
                <w:i/>
                <w:kern w:val="24"/>
                <w:sz w:val="24"/>
                <w:szCs w:val="24"/>
              </w:rPr>
              <w:t>P-</w:t>
            </w:r>
            <w:r w:rsidRPr="0043479F">
              <w:rPr>
                <w:rFonts w:ascii="Times New Roman" w:eastAsia="Gulim" w:hAnsi="Times New Roman"/>
                <w:bCs/>
                <w:kern w:val="24"/>
                <w:sz w:val="24"/>
                <w:szCs w:val="24"/>
              </w:rPr>
              <w:t>value</w:t>
            </w:r>
            <w:r w:rsidRPr="0043479F">
              <w:rPr>
                <w:rFonts w:ascii="Times New Roman" w:hAnsi="Times New Roman"/>
                <w:sz w:val="24"/>
                <w:szCs w:val="24"/>
                <w:vertAlign w:val="superscript"/>
              </w:rPr>
              <w:t xml:space="preserve"> a</w:t>
            </w:r>
          </w:p>
        </w:tc>
      </w:tr>
      <w:tr w:rsidR="00195BC7" w:rsidRPr="00D80FC7" w:rsidTr="00D80FC7">
        <w:trPr>
          <w:trHeight w:val="79"/>
        </w:trPr>
        <w:tc>
          <w:tcPr>
            <w:tcW w:w="1699" w:type="dxa"/>
            <w:tcBorders>
              <w:top w:val="single" w:sz="4" w:space="0" w:color="000000"/>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TON_0153</w:t>
            </w:r>
          </w:p>
        </w:tc>
        <w:tc>
          <w:tcPr>
            <w:tcW w:w="6527" w:type="dxa"/>
            <w:tcBorders>
              <w:top w:val="single" w:sz="4" w:space="0" w:color="000000"/>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Hypothetical alpha-amylase</w:t>
            </w:r>
          </w:p>
        </w:tc>
        <w:tc>
          <w:tcPr>
            <w:tcW w:w="2410" w:type="dxa"/>
            <w:tcBorders>
              <w:top w:val="single" w:sz="4" w:space="0" w:color="000000"/>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1.4</w:t>
            </w:r>
            <w:r w:rsidRPr="0043479F">
              <w:rPr>
                <w:rFonts w:ascii="Times New Roman" w:hAnsi="Times New Roman"/>
                <w:sz w:val="24"/>
                <w:szCs w:val="24"/>
              </w:rPr>
              <w:t xml:space="preserve"> </w:t>
            </w:r>
            <w:r w:rsidRPr="0043479F">
              <w:rPr>
                <w:rFonts w:ascii="Times New Roman" w:eastAsia="Gulim" w:hAnsi="Times New Roman"/>
                <w:sz w:val="24"/>
                <w:szCs w:val="24"/>
              </w:rPr>
              <w:t>± 0.1</w:t>
            </w:r>
          </w:p>
        </w:tc>
        <w:tc>
          <w:tcPr>
            <w:tcW w:w="1984" w:type="dxa"/>
            <w:tcBorders>
              <w:top w:val="single" w:sz="4" w:space="0" w:color="000000"/>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0.4</w:t>
            </w:r>
          </w:p>
        </w:tc>
        <w:tc>
          <w:tcPr>
            <w:tcW w:w="992" w:type="dxa"/>
            <w:tcBorders>
              <w:top w:val="single" w:sz="4" w:space="0" w:color="000000"/>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r w:rsidR="00195BC7" w:rsidRPr="00D10A91" w:rsidTr="00D80FC7">
        <w:trPr>
          <w:trHeight w:val="79"/>
        </w:trPr>
        <w:tc>
          <w:tcPr>
            <w:tcW w:w="1699" w:type="dxa"/>
            <w:tcBorders>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hAnsi="Times New Roman"/>
                <w:sz w:val="24"/>
                <w:szCs w:val="24"/>
              </w:rPr>
              <w:t>TON_0430</w:t>
            </w:r>
          </w:p>
        </w:tc>
        <w:tc>
          <w:tcPr>
            <w:tcW w:w="6527" w:type="dxa"/>
            <w:tcBorders>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 xml:space="preserve">Hypothetical </w:t>
            </w:r>
            <w:proofErr w:type="spellStart"/>
            <w:r w:rsidRPr="0043479F">
              <w:rPr>
                <w:rFonts w:ascii="Times New Roman" w:eastAsia="Gulim" w:hAnsi="Times New Roman"/>
                <w:sz w:val="24"/>
                <w:szCs w:val="24"/>
              </w:rPr>
              <w:t>metallophosphoesterase</w:t>
            </w:r>
            <w:proofErr w:type="spellEnd"/>
          </w:p>
        </w:tc>
        <w:tc>
          <w:tcPr>
            <w:tcW w:w="2410" w:type="dxa"/>
            <w:tcBorders>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1.5</w:t>
            </w:r>
            <w:r w:rsidRPr="0043479F">
              <w:rPr>
                <w:rFonts w:ascii="Times New Roman" w:hAnsi="Times New Roman"/>
                <w:sz w:val="24"/>
                <w:szCs w:val="24"/>
              </w:rPr>
              <w:t xml:space="preserve"> </w:t>
            </w:r>
            <w:r w:rsidRPr="0043479F">
              <w:rPr>
                <w:rFonts w:ascii="Times New Roman" w:eastAsia="Gulim" w:hAnsi="Times New Roman"/>
                <w:sz w:val="24"/>
                <w:szCs w:val="24"/>
              </w:rPr>
              <w:t>± 0.2</w:t>
            </w:r>
          </w:p>
        </w:tc>
        <w:tc>
          <w:tcPr>
            <w:tcW w:w="1984" w:type="dxa"/>
            <w:tcBorders>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0.4</w:t>
            </w:r>
          </w:p>
        </w:tc>
        <w:tc>
          <w:tcPr>
            <w:tcW w:w="992" w:type="dxa"/>
            <w:tcBorders>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hAnsi="Times New Roman"/>
                <w:sz w:val="24"/>
                <w:szCs w:val="24"/>
              </w:rPr>
              <w:t>TON_0495</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 xml:space="preserve">Membrane bound hydrogenase, </w:t>
            </w:r>
            <w:proofErr w:type="spellStart"/>
            <w:r w:rsidRPr="0043479F">
              <w:rPr>
                <w:rFonts w:ascii="Times New Roman" w:eastAsia="Gulim" w:hAnsi="Times New Roman"/>
                <w:sz w:val="24"/>
                <w:szCs w:val="24"/>
              </w:rPr>
              <w:t>MbxD</w:t>
            </w:r>
            <w:proofErr w:type="spellEnd"/>
            <w:r w:rsidRPr="0043479F">
              <w:rPr>
                <w:rFonts w:ascii="Times New Roman" w:eastAsia="Gulim" w:hAnsi="Times New Roman"/>
                <w:sz w:val="24"/>
                <w:szCs w:val="24"/>
              </w:rPr>
              <w:t xml:space="preserve"> subunit</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1.0</w:t>
            </w:r>
            <w:r w:rsidRPr="0043479F">
              <w:rPr>
                <w:rFonts w:ascii="Times New Roman" w:hAnsi="Times New Roman"/>
                <w:sz w:val="24"/>
                <w:szCs w:val="24"/>
              </w:rPr>
              <w:t xml:space="preserve"> </w:t>
            </w:r>
            <w:r w:rsidRPr="0043479F">
              <w:rPr>
                <w:rFonts w:ascii="Times New Roman" w:eastAsia="Gulim" w:hAnsi="Times New Roman"/>
                <w:sz w:val="24"/>
                <w:szCs w:val="24"/>
              </w:rPr>
              <w:t>± 0.2</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0.5</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0.01</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TON_0496</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 xml:space="preserve">Membrane bound hydrogenase, </w:t>
            </w:r>
            <w:proofErr w:type="spellStart"/>
            <w:r w:rsidRPr="0043479F">
              <w:rPr>
                <w:rFonts w:ascii="Times New Roman" w:hAnsi="Times New Roman"/>
                <w:sz w:val="24"/>
                <w:szCs w:val="24"/>
              </w:rPr>
              <w:t>MbxC</w:t>
            </w:r>
            <w:proofErr w:type="spellEnd"/>
            <w:r w:rsidRPr="0043479F">
              <w:rPr>
                <w:rFonts w:ascii="Times New Roman" w:hAnsi="Times New Roman"/>
                <w:sz w:val="24"/>
                <w:szCs w:val="24"/>
              </w:rPr>
              <w:t xml:space="preserve"> subunit</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1.1</w:t>
            </w:r>
            <w:r w:rsidRPr="0043479F">
              <w:rPr>
                <w:rFonts w:ascii="Times New Roman" w:hAnsi="Times New Roman"/>
                <w:sz w:val="24"/>
                <w:szCs w:val="24"/>
              </w:rPr>
              <w:t xml:space="preserve"> </w:t>
            </w:r>
            <w:r w:rsidRPr="0043479F">
              <w:rPr>
                <w:rFonts w:ascii="Times New Roman" w:eastAsia="Gulim" w:hAnsi="Times New Roman"/>
                <w:sz w:val="24"/>
                <w:szCs w:val="24"/>
              </w:rPr>
              <w:t>± 0.2</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0.5</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0.01</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TON_0535</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 xml:space="preserve">Cytosolic </w:t>
            </w:r>
            <w:proofErr w:type="spellStart"/>
            <w:r w:rsidRPr="0043479F">
              <w:rPr>
                <w:rFonts w:ascii="Times New Roman" w:hAnsi="Times New Roman"/>
                <w:sz w:val="24"/>
                <w:szCs w:val="24"/>
              </w:rPr>
              <w:t>NiFe</w:t>
            </w:r>
            <w:proofErr w:type="spellEnd"/>
            <w:r w:rsidRPr="0043479F">
              <w:rPr>
                <w:rFonts w:ascii="Times New Roman" w:hAnsi="Times New Roman"/>
                <w:sz w:val="24"/>
                <w:szCs w:val="24"/>
              </w:rPr>
              <w:t>-hydrogenase, delta subunit</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eastAsia="Gulim" w:hAnsi="Times New Roman"/>
                <w:sz w:val="24"/>
                <w:szCs w:val="24"/>
              </w:rPr>
              <w:t>1.3</w:t>
            </w:r>
            <w:r w:rsidRPr="0043479F">
              <w:rPr>
                <w:rFonts w:ascii="Times New Roman" w:hAnsi="Times New Roman"/>
                <w:sz w:val="24"/>
                <w:szCs w:val="24"/>
              </w:rPr>
              <w:t xml:space="preserve"> </w:t>
            </w:r>
            <w:r w:rsidRPr="0043479F">
              <w:rPr>
                <w:rFonts w:ascii="Times New Roman" w:eastAsia="Gulim" w:hAnsi="Times New Roman"/>
                <w:sz w:val="24"/>
                <w:szCs w:val="24"/>
              </w:rPr>
              <w:t>± 0.2</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0.4</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0.00</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43479F">
              <w:rPr>
                <w:rFonts w:ascii="Times New Roman" w:hAnsi="Times New Roman"/>
                <w:sz w:val="24"/>
                <w:szCs w:val="24"/>
              </w:rPr>
              <w:t>TON_0675</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proofErr w:type="spellStart"/>
            <w:r w:rsidRPr="0043479F">
              <w:rPr>
                <w:rFonts w:ascii="Times New Roman" w:eastAsia="Gulim" w:hAnsi="Times New Roman"/>
                <w:sz w:val="24"/>
                <w:szCs w:val="24"/>
              </w:rPr>
              <w:t>tRNA</w:t>
            </w:r>
            <w:proofErr w:type="spellEnd"/>
            <w:r w:rsidRPr="0043479F">
              <w:rPr>
                <w:rFonts w:ascii="Times New Roman" w:eastAsia="Gulim" w:hAnsi="Times New Roman"/>
                <w:sz w:val="24"/>
                <w:szCs w:val="24"/>
              </w:rPr>
              <w:t xml:space="preserve"> </w:t>
            </w:r>
            <w:proofErr w:type="spellStart"/>
            <w:r w:rsidRPr="0043479F">
              <w:rPr>
                <w:rFonts w:ascii="Times New Roman" w:eastAsia="Gulim" w:hAnsi="Times New Roman"/>
                <w:sz w:val="24"/>
                <w:szCs w:val="24"/>
              </w:rPr>
              <w:t>m1G</w:t>
            </w:r>
            <w:proofErr w:type="spellEnd"/>
            <w:r w:rsidRPr="0043479F">
              <w:rPr>
                <w:rFonts w:ascii="Times New Roman" w:eastAsia="Gulim" w:hAnsi="Times New Roman"/>
                <w:sz w:val="24"/>
                <w:szCs w:val="24"/>
              </w:rPr>
              <w:t xml:space="preserve"> methyltransferase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1.3</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0.4</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0.4</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0.00</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TON_0798</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proofErr w:type="spellStart"/>
            <w:r w:rsidRPr="00D10A91">
              <w:rPr>
                <w:rFonts w:ascii="Times New Roman" w:hAnsi="Times New Roman"/>
                <w:sz w:val="24"/>
                <w:szCs w:val="24"/>
              </w:rPr>
              <w:t>P</w:t>
            </w:r>
            <w:r w:rsidRPr="0043479F">
              <w:rPr>
                <w:rFonts w:ascii="Times New Roman" w:hAnsi="Times New Roman"/>
                <w:sz w:val="24"/>
                <w:szCs w:val="24"/>
              </w:rPr>
              <w:t>hosphopantothenoylcysteine</w:t>
            </w:r>
            <w:proofErr w:type="spellEnd"/>
            <w:r w:rsidRPr="0043479F">
              <w:rPr>
                <w:rFonts w:ascii="Times New Roman" w:hAnsi="Times New Roman"/>
                <w:sz w:val="24"/>
                <w:szCs w:val="24"/>
              </w:rPr>
              <w:t xml:space="preserve"> synthetase/decarboxylase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1.1</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0.3</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0.5</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0.00</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TON_0836</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w:t>
            </w:r>
            <w:r w:rsidRPr="0043479F">
              <w:rPr>
                <w:rFonts w:ascii="Times New Roman" w:hAnsi="Times New Roman"/>
                <w:sz w:val="24"/>
                <w:szCs w:val="24"/>
              </w:rPr>
              <w:t>ranscriptional regulatory protein</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1.5</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0.3</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0.4</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0.00</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TON_0886</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Hypothetical histidinol-phosphate aminotransferase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1.0</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0.3</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0.5</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0.01</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TON_0887</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Hypothetical hydrolase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1.5</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0.8</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0.4</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0.04</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TON_0889</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ATPase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1.6</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1.1</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0.3</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0.03</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TON_1042</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DEAD/DEAH box RNA helicase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1.4</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0.5</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0.4</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0.00</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TON_1072</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C</w:t>
            </w:r>
            <w:r w:rsidRPr="0043479F">
              <w:rPr>
                <w:rFonts w:ascii="Times New Roman" w:hAnsi="Times New Roman"/>
                <w:sz w:val="24"/>
                <w:szCs w:val="24"/>
              </w:rPr>
              <w:t>hromosome segregation ATPase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1.2</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0.6</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0.4</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0.01</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lastRenderedPageBreak/>
              <w:t>TON_1337</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Hypothetical hydrogenase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1.3</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0.5</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0.4</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0.03</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TON_1344</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proofErr w:type="spellStart"/>
            <w:r w:rsidRPr="00D10A91">
              <w:rPr>
                <w:rFonts w:ascii="Times New Roman" w:hAnsi="Times New Roman"/>
                <w:sz w:val="24"/>
                <w:szCs w:val="24"/>
              </w:rPr>
              <w:t>D</w:t>
            </w:r>
            <w:r w:rsidRPr="0043479F">
              <w:rPr>
                <w:rFonts w:ascii="Times New Roman" w:hAnsi="Times New Roman"/>
                <w:sz w:val="24"/>
                <w:szCs w:val="24"/>
              </w:rPr>
              <w:t>ephospho-CoA</w:t>
            </w:r>
            <w:proofErr w:type="spellEnd"/>
            <w:r w:rsidRPr="0043479F">
              <w:rPr>
                <w:rFonts w:ascii="Times New Roman" w:hAnsi="Times New Roman"/>
                <w:sz w:val="24"/>
                <w:szCs w:val="24"/>
              </w:rPr>
              <w:t xml:space="preserve"> kinase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1.1</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0.3</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0.5</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0.00</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TON_1375</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proofErr w:type="spellStart"/>
            <w:r w:rsidRPr="00D10A91">
              <w:rPr>
                <w:rFonts w:ascii="Times New Roman" w:hAnsi="Times New Roman"/>
                <w:sz w:val="24"/>
                <w:szCs w:val="24"/>
              </w:rPr>
              <w:t>F</w:t>
            </w:r>
            <w:r w:rsidRPr="0043479F">
              <w:rPr>
                <w:rFonts w:ascii="Times New Roman" w:hAnsi="Times New Roman"/>
                <w:sz w:val="24"/>
                <w:szCs w:val="24"/>
              </w:rPr>
              <w:t>erredoxin:NADP</w:t>
            </w:r>
            <w:proofErr w:type="spellEnd"/>
            <w:r w:rsidRPr="0043479F">
              <w:rPr>
                <w:rFonts w:ascii="Times New Roman" w:hAnsi="Times New Roman"/>
                <w:sz w:val="24"/>
                <w:szCs w:val="24"/>
              </w:rPr>
              <w:t xml:space="preserve"> oxidoreductase, beta subunit</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1.1</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0.3</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0.5</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0.00</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TON_1380</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proofErr w:type="spellStart"/>
            <w:r w:rsidRPr="0043479F">
              <w:rPr>
                <w:rFonts w:ascii="Times New Roman" w:hAnsi="Times New Roman"/>
                <w:sz w:val="24"/>
                <w:szCs w:val="24"/>
              </w:rPr>
              <w:t>UvrD</w:t>
            </w:r>
            <w:proofErr w:type="spellEnd"/>
            <w:r w:rsidRPr="0043479F">
              <w:rPr>
                <w:rFonts w:ascii="Times New Roman" w:hAnsi="Times New Roman"/>
                <w:sz w:val="24"/>
                <w:szCs w:val="24"/>
              </w:rPr>
              <w:t xml:space="preserve">/REP </w:t>
            </w:r>
            <w:proofErr w:type="spellStart"/>
            <w:r w:rsidRPr="0043479F">
              <w:rPr>
                <w:rFonts w:ascii="Times New Roman" w:hAnsi="Times New Roman"/>
                <w:sz w:val="24"/>
                <w:szCs w:val="24"/>
              </w:rPr>
              <w:t>helicase</w:t>
            </w:r>
            <w:proofErr w:type="spellEnd"/>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1.0</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0.3</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0.5</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0.01</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TON_1407</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proofErr w:type="spellStart"/>
            <w:r w:rsidRPr="0043479F">
              <w:rPr>
                <w:rFonts w:ascii="Times New Roman" w:hAnsi="Times New Roman"/>
                <w:sz w:val="24"/>
                <w:szCs w:val="24"/>
              </w:rPr>
              <w:t>RadB</w:t>
            </w:r>
            <w:proofErr w:type="spellEnd"/>
            <w:r w:rsidRPr="0043479F">
              <w:rPr>
                <w:rFonts w:ascii="Times New Roman" w:hAnsi="Times New Roman"/>
                <w:sz w:val="24"/>
                <w:szCs w:val="24"/>
              </w:rPr>
              <w:t xml:space="preserve"> recombinase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1.5</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0.8</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0.4</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0.03</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TON_1422</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DNA double-strand break repair ATPase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1.0</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1.0</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0.5</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0.1</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hAnsi="Times New Roman"/>
                <w:sz w:val="24"/>
                <w:szCs w:val="24"/>
              </w:rPr>
              <w:t>TON_1663</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T</w:t>
            </w:r>
            <w:r w:rsidRPr="0043479F">
              <w:rPr>
                <w:rFonts w:ascii="Times New Roman" w:eastAsia="Gulim" w:hAnsi="Times New Roman"/>
                <w:sz w:val="24"/>
                <w:szCs w:val="24"/>
              </w:rPr>
              <w:t>ranscription regulator</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1.1</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1.0</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0.5</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0.07</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hAnsi="Times New Roman"/>
                <w:sz w:val="24"/>
                <w:szCs w:val="24"/>
              </w:rPr>
              <w:t>TON_1669</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O</w:t>
            </w:r>
            <w:r w:rsidRPr="0043479F">
              <w:rPr>
                <w:rFonts w:ascii="Times New Roman" w:eastAsia="Gulim" w:hAnsi="Times New Roman"/>
                <w:sz w:val="24"/>
                <w:szCs w:val="24"/>
              </w:rPr>
              <w:t>ligopeptide transporter</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1.7</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0.9</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0.3</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0.02</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TON_1670</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 xml:space="preserve">Cell division </w:t>
            </w:r>
            <w:proofErr w:type="spellStart"/>
            <w:r w:rsidRPr="0043479F">
              <w:rPr>
                <w:rFonts w:ascii="Times New Roman" w:hAnsi="Times New Roman"/>
                <w:sz w:val="24"/>
                <w:szCs w:val="24"/>
              </w:rPr>
              <w:t>GTPase</w:t>
            </w:r>
            <w:proofErr w:type="spellEnd"/>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1.5</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0.5</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0.4</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0.01</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TON_1703</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43479F">
              <w:rPr>
                <w:rFonts w:ascii="Times New Roman" w:hAnsi="Times New Roman"/>
                <w:sz w:val="24"/>
                <w:szCs w:val="24"/>
              </w:rPr>
              <w:t>Predicted permease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1.2</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1.1</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0.4</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0.1</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TON_1707</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keepNext/>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sat sulfate adenylyltransferase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1.2</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0.4</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0.4</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0.02</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TON_1772</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keepNext/>
              <w:widowControl/>
              <w:autoSpaceDE/>
              <w:autoSpaceDN/>
              <w:spacing w:line="480" w:lineRule="auto"/>
              <w:textAlignment w:val="center"/>
              <w:rPr>
                <w:rFonts w:ascii="Times New Roman" w:hAnsi="Times New Roman"/>
                <w:sz w:val="24"/>
                <w:szCs w:val="24"/>
              </w:rPr>
            </w:pPr>
            <w:proofErr w:type="spellStart"/>
            <w:r w:rsidRPr="00D10A91">
              <w:rPr>
                <w:rFonts w:ascii="Times New Roman" w:hAnsi="Times New Roman"/>
                <w:sz w:val="24"/>
                <w:szCs w:val="24"/>
              </w:rPr>
              <w:t>glnA</w:t>
            </w:r>
            <w:proofErr w:type="spellEnd"/>
            <w:r w:rsidRPr="00D10A91">
              <w:rPr>
                <w:rFonts w:ascii="Times New Roman" w:hAnsi="Times New Roman"/>
                <w:sz w:val="24"/>
                <w:szCs w:val="24"/>
              </w:rPr>
              <w:t xml:space="preserve"> glutamine synthetase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1.4</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0.1</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0.4</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0.00</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TON_1796</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proofErr w:type="spellStart"/>
            <w:r w:rsidRPr="00D10A91">
              <w:rPr>
                <w:rFonts w:ascii="Times New Roman" w:hAnsi="Times New Roman"/>
                <w:sz w:val="24"/>
                <w:szCs w:val="24"/>
              </w:rPr>
              <w:t>C</w:t>
            </w:r>
            <w:r w:rsidRPr="0043479F">
              <w:rPr>
                <w:rFonts w:ascii="Times New Roman" w:hAnsi="Times New Roman"/>
                <w:sz w:val="24"/>
                <w:szCs w:val="24"/>
              </w:rPr>
              <w:t>yclomaltodextrinase</w:t>
            </w:r>
            <w:proofErr w:type="spellEnd"/>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1.1</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0.1</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0.5</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0.00</w:t>
            </w:r>
          </w:p>
        </w:tc>
      </w:tr>
      <w:tr w:rsidR="00195BC7" w:rsidRPr="00D10A91"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TON_1857</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M</w:t>
            </w:r>
            <w:r w:rsidRPr="0043479F">
              <w:rPr>
                <w:rFonts w:ascii="Times New Roman" w:hAnsi="Times New Roman"/>
                <w:sz w:val="24"/>
                <w:szCs w:val="24"/>
              </w:rPr>
              <w:t>embrane-bound galactosyl-transferase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1.6</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1.2</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0.3</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0.07</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TON_1858</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P</w:t>
            </w:r>
            <w:r w:rsidRPr="0043479F">
              <w:rPr>
                <w:rFonts w:ascii="Times New Roman" w:hAnsi="Times New Roman"/>
                <w:sz w:val="24"/>
                <w:szCs w:val="24"/>
              </w:rPr>
              <w:t xml:space="preserve">hosphatidylinositol </w:t>
            </w:r>
            <w:proofErr w:type="spellStart"/>
            <w:r w:rsidRPr="0043479F">
              <w:rPr>
                <w:rFonts w:ascii="Times New Roman" w:hAnsi="Times New Roman"/>
                <w:sz w:val="24"/>
                <w:szCs w:val="24"/>
              </w:rPr>
              <w:t>glycantransferase</w:t>
            </w:r>
            <w:proofErr w:type="spellEnd"/>
            <w:r w:rsidRPr="0043479F">
              <w:rPr>
                <w:rFonts w:ascii="Times New Roman" w:hAnsi="Times New Roman"/>
                <w:sz w:val="24"/>
                <w:szCs w:val="24"/>
              </w:rPr>
              <w:t>-class A</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1.5</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0.8</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0.4</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0.05</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TON_1859</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sym w:font="Symbol" w:char="F062"/>
            </w:r>
            <w:r w:rsidRPr="0043479F">
              <w:rPr>
                <w:rFonts w:ascii="Times New Roman" w:hAnsi="Times New Roman"/>
                <w:sz w:val="24"/>
                <w:szCs w:val="24"/>
              </w:rPr>
              <w:t>-1,4-galactosyltransferase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1.6</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1.2</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0.3</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0.06</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lastRenderedPageBreak/>
              <w:t>TON_1860</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C</w:t>
            </w:r>
            <w:r w:rsidRPr="0043479F">
              <w:rPr>
                <w:rFonts w:ascii="Times New Roman" w:hAnsi="Times New Roman"/>
                <w:sz w:val="24"/>
                <w:szCs w:val="24"/>
              </w:rPr>
              <w:t>apsular polysaccharide biosynthesis protein</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2.0</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1.6</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0.2</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0.1</w:t>
            </w:r>
          </w:p>
        </w:tc>
      </w:tr>
      <w:tr w:rsidR="00195BC7" w:rsidRPr="00D80FC7" w:rsidTr="00D80FC7">
        <w:trPr>
          <w:trHeight w:val="79"/>
        </w:trPr>
        <w:tc>
          <w:tcPr>
            <w:tcW w:w="1699"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TON_1861</w:t>
            </w:r>
          </w:p>
        </w:tc>
        <w:tc>
          <w:tcPr>
            <w:tcW w:w="6527" w:type="dxa"/>
            <w:tcBorders>
              <w:top w:val="nil"/>
              <w:left w:val="nil"/>
              <w:bottom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hAnsi="Times New Roman"/>
                <w:sz w:val="24"/>
                <w:szCs w:val="24"/>
              </w:rPr>
            </w:pPr>
            <w:r w:rsidRPr="00D10A91">
              <w:rPr>
                <w:rFonts w:ascii="Times New Roman" w:hAnsi="Times New Roman"/>
                <w:sz w:val="24"/>
                <w:szCs w:val="24"/>
              </w:rPr>
              <w:t>G</w:t>
            </w:r>
            <w:r w:rsidRPr="0043479F">
              <w:rPr>
                <w:rFonts w:ascii="Times New Roman" w:hAnsi="Times New Roman"/>
                <w:sz w:val="24"/>
                <w:szCs w:val="24"/>
              </w:rPr>
              <w:t>lycosyltransferase</w:t>
            </w:r>
          </w:p>
        </w:tc>
        <w:tc>
          <w:tcPr>
            <w:tcW w:w="2410" w:type="dxa"/>
            <w:tcBorders>
              <w:top w:val="nil"/>
              <w:left w:val="nil"/>
              <w:bottom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1.6</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0.8</w:t>
            </w:r>
          </w:p>
        </w:tc>
        <w:tc>
          <w:tcPr>
            <w:tcW w:w="1984"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0.3</w:t>
            </w:r>
          </w:p>
        </w:tc>
        <w:tc>
          <w:tcPr>
            <w:tcW w:w="992" w:type="dxa"/>
            <w:tcBorders>
              <w:top w:val="nil"/>
              <w:left w:val="nil"/>
              <w:bottom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0.02</w:t>
            </w:r>
          </w:p>
        </w:tc>
      </w:tr>
      <w:tr w:rsidR="00195BC7" w:rsidRPr="00D80FC7" w:rsidTr="00D80FC7">
        <w:trPr>
          <w:trHeight w:val="79"/>
        </w:trPr>
        <w:tc>
          <w:tcPr>
            <w:tcW w:w="1699" w:type="dxa"/>
            <w:tcBorders>
              <w:top w:val="nil"/>
              <w:left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hAnsi="Times New Roman"/>
                <w:sz w:val="24"/>
                <w:szCs w:val="24"/>
              </w:rPr>
              <w:t>TON_1862</w:t>
            </w:r>
          </w:p>
        </w:tc>
        <w:tc>
          <w:tcPr>
            <w:tcW w:w="6527" w:type="dxa"/>
            <w:tcBorders>
              <w:top w:val="nil"/>
              <w:left w:val="nil"/>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43479F">
              <w:rPr>
                <w:rFonts w:ascii="Times New Roman" w:eastAsia="Gulim" w:hAnsi="Times New Roman"/>
                <w:kern w:val="24"/>
                <w:sz w:val="24"/>
                <w:szCs w:val="24"/>
              </w:rPr>
              <w:t>Glycosyl transferase</w:t>
            </w:r>
          </w:p>
        </w:tc>
        <w:tc>
          <w:tcPr>
            <w:tcW w:w="2410" w:type="dxa"/>
            <w:tcBorders>
              <w:top w:val="nil"/>
              <w:left w:val="nil"/>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3.0</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0.7</w:t>
            </w:r>
          </w:p>
        </w:tc>
        <w:tc>
          <w:tcPr>
            <w:tcW w:w="1984" w:type="dxa"/>
            <w:tcBorders>
              <w:top w:val="nil"/>
              <w:left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0.1</w:t>
            </w:r>
          </w:p>
        </w:tc>
        <w:tc>
          <w:tcPr>
            <w:tcW w:w="992" w:type="dxa"/>
            <w:tcBorders>
              <w:top w:val="nil"/>
              <w:left w:val="nil"/>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0.02</w:t>
            </w:r>
          </w:p>
        </w:tc>
      </w:tr>
      <w:tr w:rsidR="00195BC7" w:rsidRPr="00D80FC7" w:rsidTr="00D80FC7">
        <w:trPr>
          <w:trHeight w:val="79"/>
        </w:trPr>
        <w:tc>
          <w:tcPr>
            <w:tcW w:w="1699" w:type="dxa"/>
            <w:tcBorders>
              <w:top w:val="nil"/>
              <w:left w:val="nil"/>
              <w:bottom w:val="single" w:sz="4" w:space="0" w:color="auto"/>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hAnsi="Times New Roman"/>
                <w:sz w:val="24"/>
                <w:szCs w:val="24"/>
              </w:rPr>
              <w:t>TON_1873</w:t>
            </w:r>
          </w:p>
        </w:tc>
        <w:tc>
          <w:tcPr>
            <w:tcW w:w="6527" w:type="dxa"/>
            <w:tcBorders>
              <w:top w:val="nil"/>
              <w:left w:val="nil"/>
              <w:bottom w:val="single" w:sz="4" w:space="0" w:color="auto"/>
              <w:right w:val="nil"/>
            </w:tcBorders>
            <w:shd w:val="clear" w:color="auto" w:fill="auto"/>
            <w:tcMar>
              <w:top w:w="4" w:type="dxa"/>
              <w:left w:w="4" w:type="dxa"/>
              <w:bottom w:w="0" w:type="dxa"/>
              <w:right w:w="4" w:type="dxa"/>
            </w:tcMar>
            <w:vAlign w:val="cente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I</w:t>
            </w:r>
            <w:r w:rsidRPr="0043479F">
              <w:rPr>
                <w:rFonts w:ascii="Times New Roman" w:eastAsia="Gulim" w:hAnsi="Times New Roman"/>
                <w:sz w:val="24"/>
                <w:szCs w:val="24"/>
              </w:rPr>
              <w:t>ron(III) ABC transporter, permease protein</w:t>
            </w:r>
          </w:p>
        </w:tc>
        <w:tc>
          <w:tcPr>
            <w:tcW w:w="2410" w:type="dxa"/>
            <w:tcBorders>
              <w:top w:val="nil"/>
              <w:left w:val="nil"/>
              <w:bottom w:val="single" w:sz="4" w:space="0" w:color="auto"/>
              <w:right w:val="nil"/>
            </w:tcBorders>
            <w:shd w:val="clear" w:color="auto" w:fill="auto"/>
            <w:tcMar>
              <w:top w:w="4" w:type="dxa"/>
              <w:left w:w="4" w:type="dxa"/>
              <w:bottom w:w="0" w:type="dxa"/>
              <w:right w:w="4" w:type="dxa"/>
            </w:tcMar>
          </w:tcPr>
          <w:p w:rsidR="00195BC7" w:rsidRPr="0043479F" w:rsidRDefault="00195BC7" w:rsidP="00195BC7">
            <w:pPr>
              <w:widowControl/>
              <w:autoSpaceDE/>
              <w:autoSpaceDN/>
              <w:spacing w:line="480" w:lineRule="auto"/>
              <w:textAlignment w:val="center"/>
              <w:rPr>
                <w:rFonts w:ascii="Times New Roman" w:eastAsia="Gulim" w:hAnsi="Times New Roman"/>
                <w:sz w:val="24"/>
                <w:szCs w:val="24"/>
              </w:rPr>
            </w:pPr>
            <w:r w:rsidRPr="00D10A91">
              <w:rPr>
                <w:rFonts w:ascii="Times New Roman" w:eastAsia="Gulim" w:hAnsi="Times New Roman"/>
                <w:sz w:val="24"/>
                <w:szCs w:val="24"/>
              </w:rPr>
              <w:t>1.1</w:t>
            </w:r>
            <w:r w:rsidRPr="0043479F">
              <w:rPr>
                <w:rFonts w:ascii="Times New Roman" w:hAnsi="Times New Roman"/>
                <w:sz w:val="24"/>
                <w:szCs w:val="24"/>
              </w:rPr>
              <w:t xml:space="preserve"> </w:t>
            </w:r>
            <w:r w:rsidRPr="0043479F">
              <w:rPr>
                <w:rFonts w:ascii="Times New Roman" w:eastAsia="Gulim" w:hAnsi="Times New Roman"/>
                <w:sz w:val="24"/>
                <w:szCs w:val="24"/>
              </w:rPr>
              <w:t>±</w:t>
            </w:r>
            <w:r w:rsidRPr="00D10A91">
              <w:rPr>
                <w:rFonts w:ascii="Times New Roman" w:eastAsia="Gulim" w:hAnsi="Times New Roman"/>
                <w:sz w:val="24"/>
                <w:szCs w:val="24"/>
              </w:rPr>
              <w:t xml:space="preserve"> 0.6</w:t>
            </w:r>
          </w:p>
        </w:tc>
        <w:tc>
          <w:tcPr>
            <w:tcW w:w="1984" w:type="dxa"/>
            <w:tcBorders>
              <w:top w:val="nil"/>
              <w:left w:val="nil"/>
              <w:bottom w:val="single" w:sz="4" w:space="0" w:color="auto"/>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0.5</w:t>
            </w:r>
          </w:p>
        </w:tc>
        <w:tc>
          <w:tcPr>
            <w:tcW w:w="992" w:type="dxa"/>
            <w:tcBorders>
              <w:top w:val="nil"/>
              <w:left w:val="nil"/>
              <w:bottom w:val="single" w:sz="4" w:space="0" w:color="auto"/>
              <w:right w:val="nil"/>
            </w:tcBorders>
          </w:tcPr>
          <w:p w:rsidR="00195BC7" w:rsidRPr="0043479F" w:rsidRDefault="00195BC7" w:rsidP="00195BC7">
            <w:pPr>
              <w:widowControl/>
              <w:autoSpaceDE/>
              <w:autoSpaceDN/>
              <w:spacing w:line="480" w:lineRule="auto"/>
              <w:textAlignment w:val="center"/>
              <w:rPr>
                <w:rFonts w:ascii="Times New Roman" w:eastAsia="Gulim" w:hAnsi="Times New Roman"/>
                <w:kern w:val="24"/>
                <w:sz w:val="24"/>
                <w:szCs w:val="24"/>
              </w:rPr>
            </w:pPr>
            <w:r w:rsidRPr="00D10A91">
              <w:rPr>
                <w:rFonts w:ascii="Times New Roman" w:eastAsia="Gulim" w:hAnsi="Times New Roman"/>
                <w:kern w:val="24"/>
                <w:sz w:val="24"/>
                <w:szCs w:val="24"/>
              </w:rPr>
              <w:t>0.02</w:t>
            </w:r>
          </w:p>
        </w:tc>
      </w:tr>
    </w:tbl>
    <w:p w:rsidR="00195BC7" w:rsidRPr="0043479F" w:rsidRDefault="00195BC7" w:rsidP="00195BC7">
      <w:pPr>
        <w:spacing w:line="480" w:lineRule="auto"/>
        <w:rPr>
          <w:rFonts w:ascii="Times New Roman" w:hAnsi="Times New Roman"/>
          <w:sz w:val="24"/>
          <w:szCs w:val="24"/>
        </w:rPr>
      </w:pPr>
      <w:proofErr w:type="spellStart"/>
      <w:r w:rsidRPr="00D10A91">
        <w:rPr>
          <w:rFonts w:ascii="Times New Roman" w:hAnsi="Times New Roman"/>
          <w:sz w:val="24"/>
          <w:szCs w:val="24"/>
          <w:vertAlign w:val="superscript"/>
        </w:rPr>
        <w:t>a</w:t>
      </w:r>
      <w:r w:rsidRPr="00D10A91">
        <w:rPr>
          <w:rFonts w:ascii="Times New Roman" w:hAnsi="Times New Roman"/>
          <w:sz w:val="24"/>
          <w:szCs w:val="24"/>
        </w:rPr>
        <w:t>These</w:t>
      </w:r>
      <w:proofErr w:type="spellEnd"/>
      <w:r w:rsidRPr="00D10A91">
        <w:rPr>
          <w:rFonts w:ascii="Times New Roman" w:hAnsi="Times New Roman"/>
          <w:sz w:val="24"/>
          <w:szCs w:val="24"/>
        </w:rPr>
        <w:t xml:space="preserve"> values were calculated as previously described </w:t>
      </w:r>
      <w:r w:rsidR="000F13A7" w:rsidRPr="0043479F">
        <w:rPr>
          <w:rFonts w:ascii="Times New Roman" w:hAnsi="Times New Roman"/>
          <w:sz w:val="24"/>
          <w:szCs w:val="24"/>
        </w:rPr>
        <w:fldChar w:fldCharType="begin" w:fldLock="1"/>
      </w:r>
      <w:r>
        <w:rPr>
          <w:rFonts w:ascii="Times New Roman" w:hAnsi="Times New Roman"/>
          <w:sz w:val="24"/>
          <w:szCs w:val="24"/>
        </w:rPr>
        <w:instrText>ADDIN CSL_CITATION {"citationItems":[{"id":"ITEM-1","itemData":{"DOI":"10.1007/s00253-017-8234-4","ISSN":"14320614","abstract":"The F420-reducing hydrogenase of methanogens functions in methanogenesis by providing reduced coenzyme F420 (F420H2) as an electron donor. In non-methanogens, however, their physiological function has not been identified yet. In this study, we constructed an $Δ$frhA mutant, whose frhA gene encoding the hydrogenase $α$ subunit was deleted, in the non-methanogenic Thermococcus onnurineus NA1 as a model organism. There was no significant difference in the formate-dependent growth between the mutant and the wild-type strains. Interestingly, the mutation in the frhA gene affected the expression of genes involved in various cellular functions such as H2 oxidation, chemotactic signal transduction, and carbon monoxide (CO) metabolism. Among these genes, the CO oxidation gene cluster, enabling CO-dependent growth and H2 production, showed a 2.8- to 7.0-fold upregulation by microarray-based whole transcriptome expression profiling. The levels of proteins produced by this gene cluster were also significantly increased not only under the formate condition but also under the CO condition. In a controlled bioreactor, where 100{%} CO was continuously fed, the $Δ$frhA mutant exhibited significant increases in cell growth (2.8-fold) and H2 production (3.4-fold). These findings strongly imply that this hydrogenase is functional in non-methanogens and is related to various cellular metabolic processes through an unidentified mechanism. An understanding of the mechanism by which the frhA gene deletion affected the expression of other genes will provide insights that can be applied to the development of strategies for the enhancement of H2 production using CO as a substrate.","author":[{"dropping-particle":"","family":"Lee","given":"Seong Hyuk","non-dropping-particle":"","parse-names":false,"suffix":""},{"dropping-particle":"","family":"Kim","given":"Min Sik","non-dropping-particle":"","parse-names":false,"suffix":""},{"dropping-particle":"","family":"Kim","given":"Yun Jae","non-dropping-particle":"","parse-names":false,"suffix":""},{"dropping-particle":"","family":"Kim","given":"Tae Wan","non-dropping-particle":"","parse-names":false,"suffix":""},{"dropping-particle":"","family":"Kang","given":"Sung Gyun","non-dropping-particle":"","parse-names":false,"suffix":""},{"dropping-particle":"","family":"Lee","given":"Hyun Sook","non-dropping-particle":"","parse-names":false,"suffix":""}],"container-title":"Applied Microbiology and Biotechnology","id":"ITEM-1","issued":{"date-parts":[["2017"]]},"title":"Transcriptomic profiling and its implications for the H2production of a non-methanogen deficient in the frhAGB-encoding hydrogenase","type":"article-journal"},"uris":["http://www.mendeley.com/documents/?uuid=415c4543-5541-4e24-8223-8c67addbbc46"]}],"mendeley":{"formattedCitation":"(Lee et al., 2017)","plainTextFormattedCitation":"(Lee et al., 2017)","previouslyFormattedCitation":"(Lee et al. 2017)"},"properties":{"noteIndex":0},"schema":"https://github.com/citation-style-language/schema/raw/master/csl-citation.json"}</w:instrText>
      </w:r>
      <w:r w:rsidR="000F13A7" w:rsidRPr="0043479F">
        <w:rPr>
          <w:rFonts w:ascii="Times New Roman" w:hAnsi="Times New Roman"/>
          <w:sz w:val="24"/>
          <w:szCs w:val="24"/>
        </w:rPr>
        <w:fldChar w:fldCharType="separate"/>
      </w:r>
      <w:r w:rsidRPr="00F51E74">
        <w:rPr>
          <w:rFonts w:ascii="Times New Roman" w:hAnsi="Times New Roman"/>
          <w:noProof/>
          <w:sz w:val="24"/>
          <w:szCs w:val="24"/>
        </w:rPr>
        <w:t>(Lee et al., 2017)</w:t>
      </w:r>
      <w:r w:rsidR="000F13A7" w:rsidRPr="0043479F">
        <w:rPr>
          <w:rFonts w:ascii="Times New Roman" w:hAnsi="Times New Roman"/>
          <w:sz w:val="24"/>
          <w:szCs w:val="24"/>
        </w:rPr>
        <w:fldChar w:fldCharType="end"/>
      </w:r>
      <w:r w:rsidRPr="00D10A91">
        <w:rPr>
          <w:rFonts w:ascii="Times New Roman" w:hAnsi="Times New Roman"/>
          <w:sz w:val="24"/>
          <w:szCs w:val="24"/>
        </w:rPr>
        <w:t>.</w:t>
      </w:r>
    </w:p>
    <w:p w:rsidR="00076443" w:rsidRDefault="00195BC7" w:rsidP="00195BC7">
      <w:pPr>
        <w:spacing w:line="480" w:lineRule="auto"/>
        <w:sectPr w:rsidR="00076443" w:rsidSect="007F79C8">
          <w:pgSz w:w="16838" w:h="11906" w:orient="landscape"/>
          <w:pgMar w:top="1440" w:right="1440" w:bottom="1440" w:left="1701" w:header="851" w:footer="992" w:gutter="0"/>
          <w:cols w:space="425"/>
          <w:docGrid w:linePitch="360"/>
        </w:sectPr>
      </w:pPr>
      <w:proofErr w:type="spellStart"/>
      <w:r w:rsidRPr="00D10A91">
        <w:rPr>
          <w:rFonts w:ascii="Times New Roman" w:hAnsi="Times New Roman"/>
          <w:sz w:val="24"/>
          <w:szCs w:val="24"/>
          <w:vertAlign w:val="superscript"/>
        </w:rPr>
        <w:t>b</w:t>
      </w:r>
      <w:r w:rsidRPr="00D10A91">
        <w:rPr>
          <w:rFonts w:ascii="Times New Roman" w:hAnsi="Times New Roman"/>
          <w:sz w:val="24"/>
          <w:szCs w:val="24"/>
        </w:rPr>
        <w:t>Genes</w:t>
      </w:r>
      <w:proofErr w:type="spellEnd"/>
      <w:r w:rsidRPr="00D10A91">
        <w:rPr>
          <w:rFonts w:ascii="Times New Roman" w:hAnsi="Times New Roman"/>
          <w:sz w:val="24"/>
          <w:szCs w:val="24"/>
        </w:rPr>
        <w:t xml:space="preserve"> identified as downregulated transcripts with a </w:t>
      </w:r>
      <w:r w:rsidRPr="0043479F">
        <w:rPr>
          <w:rFonts w:ascii="Times New Roman" w:hAnsi="Times New Roman"/>
          <w:sz w:val="24"/>
          <w:szCs w:val="24"/>
        </w:rPr>
        <w:t>expression ratio</w:t>
      </w:r>
      <w:r w:rsidRPr="00D10A91">
        <w:rPr>
          <w:rFonts w:ascii="Times New Roman" w:hAnsi="Times New Roman"/>
          <w:sz w:val="24"/>
          <w:szCs w:val="24"/>
        </w:rPr>
        <w:t xml:space="preserve"> </w:t>
      </w:r>
      <w:r w:rsidRPr="0043479F">
        <w:rPr>
          <w:rFonts w:ascii="Times New Roman" w:hAnsi="Times New Roman"/>
          <w:sz w:val="24"/>
          <w:szCs w:val="24"/>
        </w:rPr>
        <w:t>≥2 were selected</w:t>
      </w:r>
      <w:r w:rsidRPr="00D10A91">
        <w:rPr>
          <w:rFonts w:ascii="Times New Roman" w:hAnsi="Times New Roman"/>
          <w:sz w:val="24"/>
          <w:szCs w:val="24"/>
        </w:rPr>
        <w:t>, but to escape bias by overexpression of the</w:t>
      </w:r>
      <w:r w:rsidRPr="00D10A91">
        <w:rPr>
          <w:rFonts w:ascii="Times New Roman" w:hAnsi="Times New Roman"/>
          <w:i/>
          <w:sz w:val="24"/>
          <w:szCs w:val="24"/>
        </w:rPr>
        <w:t xml:space="preserve"> </w:t>
      </w:r>
      <w:proofErr w:type="spellStart"/>
      <w:r w:rsidRPr="00D10A91">
        <w:rPr>
          <w:rFonts w:ascii="Times New Roman" w:hAnsi="Times New Roman"/>
          <w:i/>
          <w:sz w:val="24"/>
          <w:szCs w:val="24"/>
        </w:rPr>
        <w:t>hmg</w:t>
      </w:r>
      <w:proofErr w:type="spellEnd"/>
      <w:r w:rsidRPr="00D10A91">
        <w:rPr>
          <w:rFonts w:ascii="Times New Roman" w:hAnsi="Times New Roman"/>
          <w:sz w:val="24"/>
          <w:szCs w:val="24"/>
        </w:rPr>
        <w:t xml:space="preserve"> gene </w:t>
      </w:r>
      <w:r w:rsidRPr="0043479F">
        <w:rPr>
          <w:rFonts w:ascii="Times New Roman" w:hAnsi="Times New Roman"/>
          <w:sz w:val="24"/>
          <w:szCs w:val="24"/>
        </w:rPr>
        <w:t xml:space="preserve">encoding </w:t>
      </w:r>
      <w:proofErr w:type="spellStart"/>
      <w:r w:rsidRPr="0043479F">
        <w:rPr>
          <w:rFonts w:ascii="Times New Roman" w:hAnsi="Times New Roman"/>
          <w:sz w:val="24"/>
          <w:szCs w:val="24"/>
        </w:rPr>
        <w:t>hydroxymethylglutaryl</w:t>
      </w:r>
      <w:proofErr w:type="spellEnd"/>
      <w:r w:rsidRPr="0043479F">
        <w:rPr>
          <w:rFonts w:ascii="Times New Roman" w:hAnsi="Times New Roman"/>
          <w:sz w:val="24"/>
          <w:szCs w:val="24"/>
        </w:rPr>
        <w:t xml:space="preserve"> (</w:t>
      </w:r>
      <w:proofErr w:type="spellStart"/>
      <w:r w:rsidRPr="0043479F">
        <w:rPr>
          <w:rFonts w:ascii="Times New Roman" w:hAnsi="Times New Roman"/>
          <w:sz w:val="24"/>
          <w:szCs w:val="24"/>
        </w:rPr>
        <w:t>HMG</w:t>
      </w:r>
      <w:proofErr w:type="spellEnd"/>
      <w:r w:rsidRPr="0043479F">
        <w:rPr>
          <w:rFonts w:ascii="Times New Roman" w:hAnsi="Times New Roman"/>
          <w:sz w:val="24"/>
          <w:szCs w:val="24"/>
        </w:rPr>
        <w:t>)-</w:t>
      </w:r>
      <w:proofErr w:type="spellStart"/>
      <w:r w:rsidRPr="0043479F">
        <w:rPr>
          <w:rFonts w:ascii="Times New Roman" w:hAnsi="Times New Roman"/>
          <w:sz w:val="24"/>
          <w:szCs w:val="24"/>
        </w:rPr>
        <w:t>CoA</w:t>
      </w:r>
      <w:proofErr w:type="spellEnd"/>
      <w:r w:rsidRPr="0043479F">
        <w:rPr>
          <w:rFonts w:ascii="Times New Roman" w:hAnsi="Times New Roman"/>
          <w:sz w:val="24"/>
          <w:szCs w:val="24"/>
        </w:rPr>
        <w:t xml:space="preserve"> reductase</w:t>
      </w:r>
      <w:r w:rsidRPr="00D10A91">
        <w:rPr>
          <w:rFonts w:ascii="Times New Roman" w:hAnsi="Times New Roman"/>
          <w:sz w:val="24"/>
          <w:szCs w:val="24"/>
        </w:rPr>
        <w:t>, down</w:t>
      </w:r>
      <w:r w:rsidRPr="0043479F">
        <w:rPr>
          <w:rFonts w:ascii="Times New Roman" w:hAnsi="Times New Roman"/>
          <w:sz w:val="24"/>
          <w:szCs w:val="24"/>
        </w:rPr>
        <w:t xml:space="preserve">-regulated genes (≥2 fold changes) </w:t>
      </w:r>
      <w:r w:rsidRPr="00D10A91">
        <w:rPr>
          <w:rFonts w:ascii="Times New Roman" w:hAnsi="Times New Roman"/>
          <w:sz w:val="24"/>
          <w:szCs w:val="24"/>
        </w:rPr>
        <w:t>of the</w:t>
      </w:r>
      <w:r w:rsidRPr="0043479F">
        <w:rPr>
          <w:rFonts w:ascii="Times New Roman" w:hAnsi="Times New Roman"/>
          <w:sz w:val="24"/>
          <w:szCs w:val="24"/>
        </w:rPr>
        <w:t xml:space="preserve"> </w:t>
      </w:r>
      <w:r w:rsidRPr="0043479F">
        <w:rPr>
          <w:rFonts w:ascii="Times New Roman" w:hAnsi="Times New Roman"/>
          <w:sz w:val="24"/>
          <w:szCs w:val="24"/>
        </w:rPr>
        <w:sym w:font="Symbol" w:char="F044"/>
      </w:r>
      <w:proofErr w:type="spellStart"/>
      <w:r w:rsidRPr="0043479F">
        <w:rPr>
          <w:rFonts w:ascii="Times New Roman" w:hAnsi="Times New Roman"/>
          <w:i/>
          <w:sz w:val="24"/>
          <w:szCs w:val="24"/>
        </w:rPr>
        <w:t>frhA</w:t>
      </w:r>
      <w:proofErr w:type="spellEnd"/>
      <w:r w:rsidRPr="0043479F">
        <w:rPr>
          <w:rFonts w:ascii="Times New Roman" w:hAnsi="Times New Roman"/>
          <w:sz w:val="24"/>
          <w:szCs w:val="24"/>
        </w:rPr>
        <w:t xml:space="preserve"> </w:t>
      </w:r>
      <w:r w:rsidRPr="00D10A91">
        <w:rPr>
          <w:rFonts w:ascii="Times New Roman" w:hAnsi="Times New Roman"/>
          <w:sz w:val="24"/>
          <w:szCs w:val="24"/>
        </w:rPr>
        <w:t xml:space="preserve">mutant </w:t>
      </w:r>
      <w:r w:rsidRPr="0043479F">
        <w:rPr>
          <w:rFonts w:ascii="Times New Roman" w:hAnsi="Times New Roman"/>
          <w:sz w:val="24"/>
          <w:szCs w:val="24"/>
        </w:rPr>
        <w:t xml:space="preserve">strain (Lee et al. 2017) </w:t>
      </w:r>
      <w:r w:rsidRPr="00D10A91">
        <w:rPr>
          <w:rFonts w:ascii="Times New Roman" w:hAnsi="Times New Roman"/>
          <w:sz w:val="24"/>
          <w:szCs w:val="24"/>
        </w:rPr>
        <w:t xml:space="preserve">were </w:t>
      </w:r>
      <w:r w:rsidRPr="0043479F">
        <w:rPr>
          <w:rFonts w:ascii="Times New Roman" w:hAnsi="Times New Roman"/>
          <w:sz w:val="24"/>
          <w:szCs w:val="24"/>
        </w:rPr>
        <w:t>exclu</w:t>
      </w:r>
      <w:r w:rsidRPr="00D10A91">
        <w:rPr>
          <w:rFonts w:ascii="Times New Roman" w:hAnsi="Times New Roman"/>
          <w:sz w:val="24"/>
          <w:szCs w:val="24"/>
        </w:rPr>
        <w:t>ded.</w:t>
      </w:r>
      <w:r w:rsidRPr="0043479F">
        <w:rPr>
          <w:rFonts w:ascii="Times New Roman" w:hAnsi="Times New Roman"/>
          <w:sz w:val="24"/>
          <w:szCs w:val="24"/>
        </w:rPr>
        <w:t xml:space="preserve"> </w:t>
      </w:r>
      <w:r w:rsidRPr="00D10A91">
        <w:rPr>
          <w:rFonts w:ascii="Times New Roman" w:hAnsi="Times New Roman"/>
          <w:sz w:val="24"/>
          <w:szCs w:val="24"/>
        </w:rPr>
        <w:t>All four data points of each transcript were used to</w:t>
      </w:r>
      <w:r w:rsidRPr="0043479F">
        <w:rPr>
          <w:rFonts w:ascii="Times New Roman" w:hAnsi="Times New Roman"/>
          <w:sz w:val="24"/>
          <w:szCs w:val="24"/>
        </w:rPr>
        <w:t xml:space="preserve"> </w:t>
      </w:r>
      <w:r w:rsidRPr="00D10A91">
        <w:rPr>
          <w:rFonts w:ascii="Times New Roman" w:hAnsi="Times New Roman"/>
          <w:sz w:val="24"/>
          <w:szCs w:val="24"/>
        </w:rPr>
        <w:t xml:space="preserve">measure of expression ratio that were determined by </w:t>
      </w:r>
      <w:r w:rsidRPr="0043479F">
        <w:rPr>
          <w:rFonts w:ascii="Times New Roman" w:hAnsi="Times New Roman"/>
          <w:noProof/>
          <w:sz w:val="24"/>
          <w:szCs w:val="24"/>
        </w:rPr>
        <w:t xml:space="preserve">dividing </w:t>
      </w:r>
      <w:r w:rsidRPr="00D10A91">
        <w:rPr>
          <w:rFonts w:ascii="Times New Roman" w:hAnsi="Times New Roman"/>
          <w:noProof/>
          <w:sz w:val="24"/>
          <w:szCs w:val="24"/>
        </w:rPr>
        <w:t>each transcripts level of FO per wild-type strain</w:t>
      </w:r>
      <w:r>
        <w:rPr>
          <w:rFonts w:hint="eastAsia"/>
        </w:rPr>
        <w:t>.</w:t>
      </w:r>
    </w:p>
    <w:p w:rsidR="00076443" w:rsidRDefault="00076443" w:rsidP="00076443">
      <w:pPr>
        <w:spacing w:line="480" w:lineRule="auto"/>
        <w:rPr>
          <w:rFonts w:ascii="Times New Roman" w:hAnsi="Times New Roman"/>
          <w:b/>
          <w:sz w:val="24"/>
          <w:szCs w:val="24"/>
        </w:rPr>
      </w:pPr>
    </w:p>
    <w:p w:rsidR="00076443" w:rsidRPr="0043479F" w:rsidRDefault="00076443" w:rsidP="00076443">
      <w:pPr>
        <w:spacing w:line="480" w:lineRule="auto"/>
        <w:rPr>
          <w:rFonts w:ascii="Times New Roman" w:hAnsi="Times New Roman"/>
          <w:b/>
          <w:sz w:val="24"/>
          <w:szCs w:val="24"/>
        </w:rPr>
      </w:pPr>
      <w:r>
        <w:rPr>
          <w:rFonts w:ascii="Times New Roman" w:hAnsi="Times New Roman"/>
          <w:b/>
          <w:noProof/>
          <w:sz w:val="24"/>
          <w:szCs w:val="24"/>
          <w:lang w:val="en-IN" w:eastAsia="en-IN"/>
        </w:rPr>
        <w:drawing>
          <wp:inline distT="0" distB="0" distL="0" distR="0">
            <wp:extent cx="2877820" cy="1251585"/>
            <wp:effectExtent l="0" t="0" r="0" b="5715"/>
            <wp:docPr id="2" name="그림 2" descr="F:\NA1\phynotypes of Dfrh,Dmfh2 (MM1-formate , +Tryptone, +amino acid)\frh overexpression\data\AI and TIF\FO_Suppl_Fig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6" descr="F:\NA1\phynotypes of Dfrh,Dmfh2 (MM1-formate , +Tryptone, +amino acid)\frh overexpression\data\AI and TIF\FO_Suppl_Fig_1.t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7820" cy="1251585"/>
                    </a:xfrm>
                    <a:prstGeom prst="rect">
                      <a:avLst/>
                    </a:prstGeom>
                    <a:noFill/>
                    <a:ln>
                      <a:noFill/>
                    </a:ln>
                  </pic:spPr>
                </pic:pic>
              </a:graphicData>
            </a:graphic>
          </wp:inline>
        </w:drawing>
      </w:r>
    </w:p>
    <w:p w:rsidR="00076443" w:rsidRDefault="00076443" w:rsidP="00076443">
      <w:pPr>
        <w:spacing w:line="480" w:lineRule="auto"/>
        <w:rPr>
          <w:rFonts w:ascii="Times New Roman" w:hAnsi="Times New Roman"/>
          <w:b/>
          <w:sz w:val="24"/>
          <w:szCs w:val="24"/>
        </w:rPr>
      </w:pPr>
      <w:r w:rsidRPr="00273049">
        <w:rPr>
          <w:rFonts w:ascii="Times New Roman" w:hAnsi="Times New Roman" w:hint="eastAsia"/>
          <w:b/>
          <w:sz w:val="24"/>
          <w:szCs w:val="24"/>
        </w:rPr>
        <w:t>Figure S1.</w:t>
      </w:r>
      <w:r>
        <w:rPr>
          <w:rFonts w:ascii="Times New Roman" w:hAnsi="Times New Roman" w:hint="eastAsia"/>
          <w:sz w:val="24"/>
          <w:szCs w:val="24"/>
        </w:rPr>
        <w:t xml:space="preserve"> </w:t>
      </w:r>
      <w:proofErr w:type="gramStart"/>
      <w:r w:rsidRPr="00D80FC7">
        <w:rPr>
          <w:rFonts w:ascii="Times New Roman" w:hAnsi="Times New Roman"/>
          <w:sz w:val="24"/>
          <w:szCs w:val="24"/>
        </w:rPr>
        <w:t xml:space="preserve">Construction of FO </w:t>
      </w:r>
      <w:r w:rsidR="00A045CE">
        <w:rPr>
          <w:rFonts w:ascii="Times New Roman" w:hAnsi="Times New Roman" w:hint="eastAsia"/>
          <w:sz w:val="24"/>
          <w:szCs w:val="24"/>
        </w:rPr>
        <w:t>strain</w:t>
      </w:r>
      <w:r w:rsidRPr="00D80FC7">
        <w:rPr>
          <w:rFonts w:ascii="Times New Roman" w:hAnsi="Times New Roman"/>
          <w:sz w:val="24"/>
          <w:szCs w:val="24"/>
        </w:rPr>
        <w:t>.</w:t>
      </w:r>
      <w:proofErr w:type="gramEnd"/>
      <w:r w:rsidRPr="0043479F">
        <w:rPr>
          <w:rFonts w:ascii="Times New Roman" w:hAnsi="Times New Roman"/>
          <w:b/>
          <w:sz w:val="24"/>
          <w:szCs w:val="24"/>
        </w:rPr>
        <w:t xml:space="preserve"> </w:t>
      </w:r>
      <w:proofErr w:type="spellStart"/>
      <w:r w:rsidRPr="0043479F">
        <w:rPr>
          <w:rFonts w:ascii="Times New Roman" w:hAnsi="Times New Roman"/>
          <w:sz w:val="24"/>
          <w:szCs w:val="24"/>
        </w:rPr>
        <w:t>P</w:t>
      </w:r>
      <w:r w:rsidRPr="0043479F">
        <w:rPr>
          <w:rFonts w:ascii="Times New Roman" w:hAnsi="Times New Roman"/>
          <w:i/>
          <w:sz w:val="24"/>
          <w:szCs w:val="24"/>
          <w:vertAlign w:val="subscript"/>
        </w:rPr>
        <w:t>gdh</w:t>
      </w:r>
      <w:proofErr w:type="spellEnd"/>
      <w:r w:rsidRPr="0043479F">
        <w:rPr>
          <w:rFonts w:ascii="Times New Roman" w:hAnsi="Times New Roman"/>
          <w:sz w:val="24"/>
          <w:szCs w:val="24"/>
        </w:rPr>
        <w:t xml:space="preserve"> and </w:t>
      </w:r>
      <w:proofErr w:type="spellStart"/>
      <w:r w:rsidRPr="0043479F">
        <w:rPr>
          <w:rFonts w:ascii="Times New Roman" w:hAnsi="Times New Roman"/>
          <w:sz w:val="24"/>
          <w:szCs w:val="24"/>
        </w:rPr>
        <w:t>hmg</w:t>
      </w:r>
      <w:r w:rsidRPr="0043479F">
        <w:rPr>
          <w:rFonts w:ascii="Times New Roman" w:hAnsi="Times New Roman"/>
          <w:i/>
          <w:sz w:val="24"/>
          <w:szCs w:val="24"/>
          <w:vertAlign w:val="subscript"/>
        </w:rPr>
        <w:t>Pfu</w:t>
      </w:r>
      <w:proofErr w:type="spellEnd"/>
      <w:r w:rsidRPr="0043479F">
        <w:rPr>
          <w:rFonts w:ascii="Times New Roman" w:hAnsi="Times New Roman"/>
          <w:sz w:val="24"/>
          <w:szCs w:val="24"/>
        </w:rPr>
        <w:t xml:space="preserve"> indicate a promoter for the structural gene for glutamate dehydrogenase (</w:t>
      </w:r>
      <w:proofErr w:type="spellStart"/>
      <w:r w:rsidRPr="0043479F">
        <w:rPr>
          <w:rFonts w:ascii="Times New Roman" w:hAnsi="Times New Roman"/>
          <w:sz w:val="24"/>
          <w:szCs w:val="24"/>
        </w:rPr>
        <w:t>gdh</w:t>
      </w:r>
      <w:proofErr w:type="spellEnd"/>
      <w:r w:rsidRPr="0043479F">
        <w:rPr>
          <w:rFonts w:ascii="Times New Roman" w:hAnsi="Times New Roman"/>
          <w:sz w:val="24"/>
          <w:szCs w:val="24"/>
        </w:rPr>
        <w:t xml:space="preserve">) of </w:t>
      </w:r>
      <w:proofErr w:type="spellStart"/>
      <w:r w:rsidRPr="0043479F">
        <w:rPr>
          <w:rFonts w:ascii="Times New Roman" w:hAnsi="Times New Roman"/>
          <w:i/>
          <w:sz w:val="24"/>
          <w:szCs w:val="24"/>
        </w:rPr>
        <w:t>Thermococcus</w:t>
      </w:r>
      <w:proofErr w:type="spellEnd"/>
      <w:r w:rsidRPr="0043479F">
        <w:rPr>
          <w:rFonts w:ascii="Times New Roman" w:hAnsi="Times New Roman"/>
          <w:i/>
          <w:sz w:val="24"/>
          <w:szCs w:val="24"/>
        </w:rPr>
        <w:t xml:space="preserve"> </w:t>
      </w:r>
      <w:proofErr w:type="spellStart"/>
      <w:r w:rsidRPr="0043479F">
        <w:rPr>
          <w:rFonts w:ascii="Times New Roman" w:hAnsi="Times New Roman"/>
          <w:i/>
          <w:sz w:val="24"/>
          <w:szCs w:val="24"/>
        </w:rPr>
        <w:t>kodakarensis</w:t>
      </w:r>
      <w:proofErr w:type="spellEnd"/>
      <w:r w:rsidRPr="0043479F">
        <w:rPr>
          <w:rFonts w:ascii="Times New Roman" w:hAnsi="Times New Roman"/>
          <w:sz w:val="24"/>
          <w:szCs w:val="24"/>
        </w:rPr>
        <w:t xml:space="preserve"> and a 3-hydroxy-3-methylglutaryl coenzyme A (</w:t>
      </w:r>
      <w:proofErr w:type="spellStart"/>
      <w:r w:rsidRPr="0043479F">
        <w:rPr>
          <w:rFonts w:ascii="Times New Roman" w:hAnsi="Times New Roman"/>
          <w:sz w:val="24"/>
          <w:szCs w:val="24"/>
        </w:rPr>
        <w:t>HMG-CoA</w:t>
      </w:r>
      <w:proofErr w:type="spellEnd"/>
      <w:r w:rsidRPr="0043479F">
        <w:rPr>
          <w:rFonts w:ascii="Times New Roman" w:hAnsi="Times New Roman"/>
          <w:sz w:val="24"/>
          <w:szCs w:val="24"/>
        </w:rPr>
        <w:t xml:space="preserve">) reductase gene of </w:t>
      </w:r>
      <w:proofErr w:type="spellStart"/>
      <w:r w:rsidRPr="0043479F">
        <w:rPr>
          <w:rFonts w:ascii="Times New Roman" w:hAnsi="Times New Roman"/>
          <w:i/>
          <w:sz w:val="24"/>
          <w:szCs w:val="24"/>
        </w:rPr>
        <w:t>Pyrococcus</w:t>
      </w:r>
      <w:proofErr w:type="spellEnd"/>
      <w:r w:rsidRPr="0043479F">
        <w:rPr>
          <w:rFonts w:ascii="Times New Roman" w:hAnsi="Times New Roman"/>
          <w:i/>
          <w:sz w:val="24"/>
          <w:szCs w:val="24"/>
        </w:rPr>
        <w:t xml:space="preserve"> furiosus</w:t>
      </w:r>
      <w:r w:rsidRPr="0043479F">
        <w:rPr>
          <w:rFonts w:ascii="Times New Roman" w:hAnsi="Times New Roman"/>
          <w:sz w:val="24"/>
          <w:szCs w:val="24"/>
        </w:rPr>
        <w:t xml:space="preserve">, respectively. WT, wild-type strain; FO, </w:t>
      </w:r>
      <w:proofErr w:type="spellStart"/>
      <w:r w:rsidRPr="0043479F">
        <w:rPr>
          <w:rFonts w:ascii="Times New Roman" w:hAnsi="Times New Roman"/>
          <w:i/>
          <w:sz w:val="24"/>
          <w:szCs w:val="24"/>
        </w:rPr>
        <w:t>frhAGB</w:t>
      </w:r>
      <w:proofErr w:type="spellEnd"/>
      <w:r w:rsidRPr="0043479F">
        <w:rPr>
          <w:rFonts w:ascii="Times New Roman" w:hAnsi="Times New Roman"/>
          <w:sz w:val="24"/>
          <w:szCs w:val="24"/>
        </w:rPr>
        <w:t xml:space="preserve"> –overexpressing </w:t>
      </w:r>
      <w:r w:rsidR="00E934D7">
        <w:rPr>
          <w:rFonts w:ascii="Times New Roman" w:hAnsi="Times New Roman" w:hint="eastAsia"/>
          <w:sz w:val="24"/>
          <w:szCs w:val="24"/>
        </w:rPr>
        <w:t>strain</w:t>
      </w:r>
      <w:r>
        <w:rPr>
          <w:rFonts w:ascii="Times New Roman" w:hAnsi="Times New Roman" w:hint="eastAsia"/>
          <w:sz w:val="24"/>
          <w:szCs w:val="24"/>
        </w:rPr>
        <w:t>.</w:t>
      </w:r>
      <w:r w:rsidRPr="0043479F">
        <w:rPr>
          <w:rFonts w:ascii="Times New Roman" w:hAnsi="Times New Roman"/>
          <w:b/>
          <w:sz w:val="24"/>
          <w:szCs w:val="24"/>
        </w:rPr>
        <w:t xml:space="preserve"> </w:t>
      </w:r>
    </w:p>
    <w:p w:rsidR="00522182" w:rsidRDefault="00522182" w:rsidP="00076443">
      <w:pPr>
        <w:spacing w:line="480" w:lineRule="auto"/>
        <w:rPr>
          <w:rFonts w:ascii="Times New Roman" w:hAnsi="Times New Roman"/>
          <w:sz w:val="24"/>
          <w:szCs w:val="24"/>
        </w:rPr>
        <w:sectPr w:rsidR="00522182" w:rsidSect="007F79C8">
          <w:type w:val="continuous"/>
          <w:pgSz w:w="11906" w:h="16838"/>
          <w:pgMar w:top="1701" w:right="1440" w:bottom="1440" w:left="1440" w:header="720" w:footer="720" w:gutter="0"/>
          <w:cols w:space="720"/>
          <w:docGrid w:linePitch="360"/>
        </w:sectPr>
      </w:pPr>
    </w:p>
    <w:p w:rsidR="00076443" w:rsidRDefault="00076443" w:rsidP="00076443">
      <w:pPr>
        <w:spacing w:line="480" w:lineRule="auto"/>
        <w:rPr>
          <w:rFonts w:ascii="Times New Roman" w:hAnsi="Times New Roman"/>
          <w:b/>
          <w:sz w:val="24"/>
          <w:szCs w:val="24"/>
        </w:rPr>
        <w:sectPr w:rsidR="00076443" w:rsidSect="007F79C8">
          <w:pgSz w:w="11906" w:h="16838"/>
          <w:pgMar w:top="1701" w:right="1440" w:bottom="1440" w:left="1440" w:header="720" w:footer="720" w:gutter="0"/>
          <w:cols w:space="720"/>
          <w:docGrid w:linePitch="360"/>
        </w:sectPr>
      </w:pPr>
    </w:p>
    <w:p w:rsidR="00076443" w:rsidRPr="0043479F" w:rsidRDefault="00076443" w:rsidP="00076443">
      <w:pPr>
        <w:spacing w:line="480" w:lineRule="auto"/>
        <w:rPr>
          <w:rFonts w:ascii="Times New Roman" w:hAnsi="Times New Roman"/>
          <w:b/>
          <w:sz w:val="24"/>
          <w:szCs w:val="24"/>
        </w:rPr>
      </w:pPr>
      <w:r>
        <w:rPr>
          <w:rFonts w:ascii="Times New Roman" w:hAnsi="Times New Roman"/>
          <w:b/>
          <w:noProof/>
          <w:sz w:val="24"/>
          <w:szCs w:val="24"/>
          <w:lang w:val="en-IN" w:eastAsia="en-IN"/>
        </w:rPr>
        <w:lastRenderedPageBreak/>
        <w:drawing>
          <wp:inline distT="0" distB="0" distL="0" distR="0">
            <wp:extent cx="2158365" cy="2750820"/>
            <wp:effectExtent l="0" t="0" r="0" b="0"/>
            <wp:docPr id="1" name="그림 1" descr="F:\NA1\phynotypes of Dfrh,Dmfh2 (MM1-formate , +Tryptone, +amino acid)\frh overexpression\data\AI and TIF\FO_Suppl_Fig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7" descr="F:\NA1\phynotypes of Dfrh,Dmfh2 (MM1-formate , +Tryptone, +amino acid)\frh overexpression\data\AI and TIF\FO_Suppl_Fig_2.t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8365" cy="2750820"/>
                    </a:xfrm>
                    <a:prstGeom prst="rect">
                      <a:avLst/>
                    </a:prstGeom>
                    <a:noFill/>
                    <a:ln>
                      <a:noFill/>
                    </a:ln>
                  </pic:spPr>
                </pic:pic>
              </a:graphicData>
            </a:graphic>
          </wp:inline>
        </w:drawing>
      </w:r>
    </w:p>
    <w:p w:rsidR="00076443" w:rsidRPr="0043479F" w:rsidRDefault="00076443" w:rsidP="00076443">
      <w:pPr>
        <w:spacing w:line="480" w:lineRule="auto"/>
        <w:rPr>
          <w:rFonts w:ascii="Times New Roman" w:hAnsi="Times New Roman"/>
          <w:b/>
          <w:sz w:val="24"/>
          <w:szCs w:val="24"/>
        </w:rPr>
      </w:pPr>
      <w:r>
        <w:rPr>
          <w:rFonts w:ascii="Times New Roman" w:hAnsi="Times New Roman" w:hint="eastAsia"/>
          <w:b/>
          <w:sz w:val="24"/>
          <w:szCs w:val="24"/>
        </w:rPr>
        <w:t>Figure S2</w:t>
      </w:r>
      <w:r w:rsidRPr="00273049">
        <w:rPr>
          <w:rFonts w:ascii="Times New Roman" w:hAnsi="Times New Roman" w:hint="eastAsia"/>
          <w:b/>
          <w:sz w:val="24"/>
          <w:szCs w:val="24"/>
        </w:rPr>
        <w:t>.</w:t>
      </w:r>
      <w:r>
        <w:rPr>
          <w:rFonts w:ascii="Times New Roman" w:hAnsi="Times New Roman" w:hint="eastAsia"/>
          <w:b/>
          <w:sz w:val="24"/>
          <w:szCs w:val="24"/>
        </w:rPr>
        <w:t xml:space="preserve"> </w:t>
      </w:r>
      <w:r w:rsidRPr="00D80FC7">
        <w:rPr>
          <w:rFonts w:ascii="Times New Roman" w:hAnsi="Times New Roman"/>
          <w:sz w:val="24"/>
          <w:szCs w:val="24"/>
        </w:rPr>
        <w:t>Protein level of Mfh2 in the wild-type and FO strains.</w:t>
      </w:r>
      <w:r w:rsidRPr="0043479F">
        <w:rPr>
          <w:rFonts w:ascii="Times New Roman" w:hAnsi="Times New Roman"/>
          <w:b/>
          <w:sz w:val="24"/>
          <w:szCs w:val="24"/>
        </w:rPr>
        <w:t xml:space="preserve"> </w:t>
      </w:r>
      <w:r w:rsidRPr="0043479F">
        <w:rPr>
          <w:rFonts w:ascii="Times New Roman" w:hAnsi="Times New Roman"/>
          <w:sz w:val="24"/>
          <w:szCs w:val="24"/>
        </w:rPr>
        <w:t xml:space="preserve">The amounts of large subunit of Mfh2 hydrogenase was monitored by </w:t>
      </w:r>
      <w:r w:rsidR="008F5493">
        <w:rPr>
          <w:rFonts w:ascii="Times New Roman" w:hAnsi="Times New Roman" w:hint="eastAsia"/>
          <w:sz w:val="24"/>
          <w:szCs w:val="24"/>
        </w:rPr>
        <w:t>W</w:t>
      </w:r>
      <w:r w:rsidR="008F5493" w:rsidRPr="0043479F">
        <w:rPr>
          <w:rFonts w:ascii="Times New Roman" w:hAnsi="Times New Roman"/>
          <w:sz w:val="24"/>
          <w:szCs w:val="24"/>
        </w:rPr>
        <w:t xml:space="preserve">estern </w:t>
      </w:r>
      <w:r w:rsidR="003A5546">
        <w:rPr>
          <w:rFonts w:ascii="Times New Roman" w:hAnsi="Times New Roman" w:hint="eastAsia"/>
          <w:sz w:val="24"/>
          <w:szCs w:val="24"/>
        </w:rPr>
        <w:t>b</w:t>
      </w:r>
      <w:r w:rsidR="008F5493" w:rsidRPr="0043479F">
        <w:rPr>
          <w:rFonts w:ascii="Times New Roman" w:hAnsi="Times New Roman"/>
          <w:sz w:val="24"/>
          <w:szCs w:val="24"/>
        </w:rPr>
        <w:t xml:space="preserve">lot </w:t>
      </w:r>
      <w:r w:rsidRPr="0043479F">
        <w:rPr>
          <w:rFonts w:ascii="Times New Roman" w:hAnsi="Times New Roman"/>
          <w:sz w:val="24"/>
          <w:szCs w:val="24"/>
        </w:rPr>
        <w:t xml:space="preserve">(upper gel) under formate-supplemented condition. Two Mfh2 bands represent the precursor and the processed form. WT, wild-type; FO, </w:t>
      </w:r>
      <w:proofErr w:type="spellStart"/>
      <w:r w:rsidRPr="0043479F">
        <w:rPr>
          <w:rFonts w:ascii="Times New Roman" w:hAnsi="Times New Roman"/>
          <w:i/>
          <w:sz w:val="24"/>
          <w:szCs w:val="24"/>
        </w:rPr>
        <w:t>frhAGB</w:t>
      </w:r>
      <w:proofErr w:type="spellEnd"/>
      <w:r w:rsidRPr="0043479F">
        <w:rPr>
          <w:rFonts w:ascii="Times New Roman" w:hAnsi="Times New Roman"/>
          <w:sz w:val="24"/>
          <w:szCs w:val="24"/>
        </w:rPr>
        <w:t xml:space="preserve">-overexpressing </w:t>
      </w:r>
      <w:r w:rsidR="008F5493">
        <w:rPr>
          <w:rFonts w:ascii="Times New Roman" w:hAnsi="Times New Roman" w:hint="eastAsia"/>
          <w:sz w:val="24"/>
          <w:szCs w:val="24"/>
        </w:rPr>
        <w:t>strain</w:t>
      </w:r>
      <w:r>
        <w:rPr>
          <w:rFonts w:ascii="Times New Roman" w:hAnsi="Times New Roman" w:hint="eastAsia"/>
          <w:sz w:val="24"/>
          <w:szCs w:val="24"/>
        </w:rPr>
        <w:t>.</w:t>
      </w:r>
    </w:p>
    <w:p w:rsidR="005F3F9E" w:rsidRDefault="005F3F9E" w:rsidP="00195BC7">
      <w:pPr>
        <w:spacing w:line="480" w:lineRule="auto"/>
      </w:pPr>
    </w:p>
    <w:sectPr w:rsidR="005F3F9E" w:rsidSect="007F79C8">
      <w:type w:val="continuous"/>
      <w:pgSz w:w="11906" w:h="16838"/>
      <w:pgMar w:top="1440" w:right="1440" w:bottom="1701"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85C" w:rsidRDefault="00BF785C" w:rsidP="009E0699">
      <w:r>
        <w:separator/>
      </w:r>
    </w:p>
  </w:endnote>
  <w:endnote w:type="continuationSeparator" w:id="0">
    <w:p w:rsidR="00BF785C" w:rsidRDefault="00BF785C" w:rsidP="009E0699">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83" w:usb1="10000000" w:usb2="00000000" w:usb3="00000000" w:csb0="8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85C" w:rsidRDefault="00BF785C" w:rsidP="009E0699">
      <w:r>
        <w:separator/>
      </w:r>
    </w:p>
  </w:footnote>
  <w:footnote w:type="continuationSeparator" w:id="0">
    <w:p w:rsidR="00BF785C" w:rsidRDefault="00BF785C" w:rsidP="009E0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1A00"/>
    <w:rsid w:val="00076443"/>
    <w:rsid w:val="00080FF2"/>
    <w:rsid w:val="000F13A7"/>
    <w:rsid w:val="00161A00"/>
    <w:rsid w:val="00195BC7"/>
    <w:rsid w:val="002F67CC"/>
    <w:rsid w:val="003A5546"/>
    <w:rsid w:val="003D2CB6"/>
    <w:rsid w:val="00522182"/>
    <w:rsid w:val="005F3F9E"/>
    <w:rsid w:val="00632D42"/>
    <w:rsid w:val="00670B9C"/>
    <w:rsid w:val="007806F5"/>
    <w:rsid w:val="00786592"/>
    <w:rsid w:val="007F79C8"/>
    <w:rsid w:val="008B7239"/>
    <w:rsid w:val="008D1C8E"/>
    <w:rsid w:val="008F5493"/>
    <w:rsid w:val="00957FC8"/>
    <w:rsid w:val="009E0699"/>
    <w:rsid w:val="00A045CE"/>
    <w:rsid w:val="00A626B8"/>
    <w:rsid w:val="00A66568"/>
    <w:rsid w:val="00A7196D"/>
    <w:rsid w:val="00AB0F00"/>
    <w:rsid w:val="00AC1678"/>
    <w:rsid w:val="00B10BD8"/>
    <w:rsid w:val="00B41BAE"/>
    <w:rsid w:val="00BF785C"/>
    <w:rsid w:val="00D05180"/>
    <w:rsid w:val="00D34855"/>
    <w:rsid w:val="00D3756B"/>
    <w:rsid w:val="00E934D7"/>
    <w:rsid w:val="00F86E85"/>
    <w:rsid w:val="00FB476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C7"/>
    <w:pPr>
      <w:widowControl w:val="0"/>
      <w:wordWrap w:val="0"/>
      <w:autoSpaceDE w:val="0"/>
      <w:autoSpaceDN w:val="0"/>
      <w:spacing w:after="0" w:line="240" w:lineRule="auto"/>
    </w:pPr>
    <w:rPr>
      <w:rFonts w:ascii="Malgun Gothic" w:eastAsia="Malgun Gothic" w:hAnsi="Malgun Gothic"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B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95BC7"/>
    <w:rPr>
      <w:rFonts w:asciiTheme="majorHAnsi" w:eastAsiaTheme="majorEastAsia" w:hAnsiTheme="majorHAnsi" w:cstheme="majorBidi"/>
      <w:sz w:val="18"/>
      <w:szCs w:val="18"/>
    </w:rPr>
  </w:style>
  <w:style w:type="character" w:styleId="LineNumber">
    <w:name w:val="line number"/>
    <w:basedOn w:val="DefaultParagraphFont"/>
    <w:uiPriority w:val="99"/>
    <w:semiHidden/>
    <w:unhideWhenUsed/>
    <w:rsid w:val="00195BC7"/>
  </w:style>
  <w:style w:type="paragraph" w:styleId="Header">
    <w:name w:val="header"/>
    <w:basedOn w:val="Normal"/>
    <w:link w:val="HeaderChar"/>
    <w:uiPriority w:val="99"/>
    <w:unhideWhenUsed/>
    <w:rsid w:val="009E0699"/>
    <w:pPr>
      <w:tabs>
        <w:tab w:val="center" w:pos="4513"/>
        <w:tab w:val="right" w:pos="9026"/>
      </w:tabs>
      <w:snapToGrid w:val="0"/>
    </w:pPr>
  </w:style>
  <w:style w:type="character" w:customStyle="1" w:styleId="HeaderChar">
    <w:name w:val="Header Char"/>
    <w:basedOn w:val="DefaultParagraphFont"/>
    <w:link w:val="Header"/>
    <w:uiPriority w:val="99"/>
    <w:rsid w:val="009E0699"/>
    <w:rPr>
      <w:rFonts w:ascii="Malgun Gothic" w:eastAsia="Malgun Gothic" w:hAnsi="Malgun Gothic" w:cs="Times New Roman"/>
      <w:szCs w:val="20"/>
    </w:rPr>
  </w:style>
  <w:style w:type="paragraph" w:styleId="Footer">
    <w:name w:val="footer"/>
    <w:basedOn w:val="Normal"/>
    <w:link w:val="FooterChar"/>
    <w:uiPriority w:val="99"/>
    <w:unhideWhenUsed/>
    <w:rsid w:val="009E0699"/>
    <w:pPr>
      <w:tabs>
        <w:tab w:val="center" w:pos="4513"/>
        <w:tab w:val="right" w:pos="9026"/>
      </w:tabs>
      <w:snapToGrid w:val="0"/>
    </w:pPr>
  </w:style>
  <w:style w:type="character" w:customStyle="1" w:styleId="FooterChar">
    <w:name w:val="Footer Char"/>
    <w:basedOn w:val="DefaultParagraphFont"/>
    <w:link w:val="Footer"/>
    <w:uiPriority w:val="99"/>
    <w:rsid w:val="009E0699"/>
    <w:rPr>
      <w:rFonts w:ascii="Malgun Gothic" w:eastAsia="Malgun Gothic" w:hAnsi="Malgun Gothic"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BC7"/>
    <w:pPr>
      <w:widowControl w:val="0"/>
      <w:wordWrap w:val="0"/>
      <w:autoSpaceDE w:val="0"/>
      <w:autoSpaceDN w:val="0"/>
      <w:spacing w:after="0" w:line="240" w:lineRule="auto"/>
    </w:pPr>
    <w:rPr>
      <w:rFonts w:ascii="맑은 고딕" w:eastAsia="맑은 고딕" w:hAnsi="맑은 고딕"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95BC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95BC7"/>
    <w:rPr>
      <w:rFonts w:asciiTheme="majorHAnsi" w:eastAsiaTheme="majorEastAsia" w:hAnsiTheme="majorHAnsi" w:cstheme="majorBidi"/>
      <w:sz w:val="18"/>
      <w:szCs w:val="18"/>
    </w:rPr>
  </w:style>
  <w:style w:type="character" w:styleId="a4">
    <w:name w:val="line number"/>
    <w:basedOn w:val="a0"/>
    <w:uiPriority w:val="99"/>
    <w:semiHidden/>
    <w:unhideWhenUsed/>
    <w:rsid w:val="00195BC7"/>
  </w:style>
  <w:style w:type="paragraph" w:styleId="a5">
    <w:name w:val="header"/>
    <w:basedOn w:val="a"/>
    <w:link w:val="Char0"/>
    <w:uiPriority w:val="99"/>
    <w:unhideWhenUsed/>
    <w:rsid w:val="009E0699"/>
    <w:pPr>
      <w:tabs>
        <w:tab w:val="center" w:pos="4513"/>
        <w:tab w:val="right" w:pos="9026"/>
      </w:tabs>
      <w:snapToGrid w:val="0"/>
    </w:pPr>
  </w:style>
  <w:style w:type="character" w:customStyle="1" w:styleId="Char0">
    <w:name w:val="머리글 Char"/>
    <w:basedOn w:val="a0"/>
    <w:link w:val="a5"/>
    <w:uiPriority w:val="99"/>
    <w:rsid w:val="009E0699"/>
    <w:rPr>
      <w:rFonts w:ascii="맑은 고딕" w:eastAsia="맑은 고딕" w:hAnsi="맑은 고딕" w:cs="Times New Roman"/>
      <w:szCs w:val="20"/>
    </w:rPr>
  </w:style>
  <w:style w:type="paragraph" w:styleId="a6">
    <w:name w:val="footer"/>
    <w:basedOn w:val="a"/>
    <w:link w:val="Char1"/>
    <w:uiPriority w:val="99"/>
    <w:unhideWhenUsed/>
    <w:rsid w:val="009E0699"/>
    <w:pPr>
      <w:tabs>
        <w:tab w:val="center" w:pos="4513"/>
        <w:tab w:val="right" w:pos="9026"/>
      </w:tabs>
      <w:snapToGrid w:val="0"/>
    </w:pPr>
  </w:style>
  <w:style w:type="character" w:customStyle="1" w:styleId="Char1">
    <w:name w:val="바닥글 Char"/>
    <w:basedOn w:val="a0"/>
    <w:link w:val="a6"/>
    <w:uiPriority w:val="99"/>
    <w:rsid w:val="009E0699"/>
    <w:rPr>
      <w:rFonts w:ascii="맑은 고딕" w:eastAsia="맑은 고딕" w:hAnsi="맑은 고딕"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1874</Words>
  <Characters>10682</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KIOST</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이성혁</dc:creator>
  <cp:lastModifiedBy>0012764</cp:lastModifiedBy>
  <cp:revision>3</cp:revision>
  <dcterms:created xsi:type="dcterms:W3CDTF">2019-01-16T06:24:00Z</dcterms:created>
  <dcterms:modified xsi:type="dcterms:W3CDTF">2019-02-02T11:02:00Z</dcterms:modified>
</cp:coreProperties>
</file>